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333- 284768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30,440,060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including up to 1,140,370 Dividend Shares)</w:t>
      </w:r>
    </w:p>
    <w:p>
      <w:pPr>
        <w:spacing w:after="0" w:line="207"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named in this prospectus from time to time of up to an aggregate of 30,440,060 shares of our common stock, par value $0.01 per share (the “Common Stock”), issuable upon (i) the conversion of shares of our newly designated Series G convertible preferred stock (the “Preferred Shares”), (ii) exercise of the Series A warrants (the “Series A Warrants”) to purchase up to 2,673,797 shares of Common Stock, (iii) exercise of the Series B warrants (the “Series B Warrants” and together with the Series A Warrants, the “Warrants”) to purchase up to 2,673,797 shares of Common Stock, and (iv) the issuance of Common Stock as dividends to the holders of the Preferred Shares (the “Dividend Shares”). The 30,440,060 shares of Common Stock issuable upon conversion of the Preferred Shares, exercise of the Warrants and issuance of the Dividend Shares, are comprised of (A) shares of Common Stock underlying (i) 4,000 Preferred Shares, which are convertible into an aggregate of 23,952,096 Conversion Shares (as defined below) at a conversion price of $0.167 (which such conversion price is equal to the Floor Price (as defined herein) and a stated value of $1,000 per share, (ii) Series A Warrants to purchase up to 2,673,797 shares of Common Stock at an initial exercise price of $1.496 per share, (iii) Series B Warrants to purchase up to 2,673,797 shares of Common Stock at an initial exercise price of $1.7952 per share, and (B) 1,140,370 shares of Common Stock issuable as Dividend Shares to the holders of the Preferred Shares at a rate of 8% per annum on the stated value of the Preferred Shares, compounded each calendar quarter over a term of five years. Subject to the terms of the Certificate of Designations (as defined herein), the issuance of the Dividend Shares may begin on July 1, 2025, and occur thereafter on the first trading day of each calendar quarter immediately following the previous Installment Date (as defined in the Certificate of Designations) until the maturity date (which such maturity date also constitutes an Installment Date).</w:t>
      </w:r>
    </w:p>
    <w:p>
      <w:pPr>
        <w:spacing w:after="0" w:line="19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Shares were acquired by the applicable selling stockholders under the Securities Purchase Agreement (the “Purchase Agreement”), dated January 14, 2025, by and among the Company and the investors party thereto (the “Investors”). The Warrants were acquired by the selling stockholders under the Purchase Agreement. The shares of Common Stock issuable upon the conversion of the Preferred Shares are herein referred to as “Conversion Shares,” and the shares of Common Stock issuable upon the exercise of the Warrants are herein referred to as “Warrant Shares.”</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Conversion Shares and the Warrant Shares were issued in reliance upon the exemption from the registration requirements in Section 4(a)(2) of the Securities Act of 1933, as amended (the “Securities Act”) and Regulation D promulgated thereunder.</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resale of the Conversion Shares and Warrant Shares covered by this prospectus as required by the Registration Rights Agreement, dated January 14, 2025, by and among the Company and the Investors (as amended, the “Registration Rights Agreement”), as well as the Dividend Shares. 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w:t>
      </w:r>
    </w:p>
    <w:p>
      <w:pPr>
        <w:spacing w:after="0" w:line="18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the shares of Common Stock covered by this prospectus could cause substantial dilution to our existing stockholders. The number of shares covered by this prospectus represents approximately 557% of the number of shares of Common Stock issued and outstanding as of the date of this prospectus. The actual number of shares of Common Stock that we issue to the selling stockholders may be less than the aggregate number of shares covered by this prospectus. Please refer to risk factor entitled “</w:t>
      </w:r>
      <w:r>
        <w:rPr>
          <w:rFonts w:ascii="Times New Roman" w:cs="Times New Roman" w:eastAsia="Times New Roman" w:hAnsi="Times New Roman"/>
          <w:sz w:val="18"/>
          <w:szCs w:val="18"/>
          <w:i w:val="1"/>
          <w:iCs w:val="1"/>
          <w:color w:val="auto"/>
        </w:rPr>
        <w:t>The issuance of the shares of Common Stock covered by this prospectus could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the total number of shares of Common Stock issued and outstanding and thereby cause our existing stockholders to experience substantial dilution</w:t>
      </w:r>
      <w:r>
        <w:rPr>
          <w:rFonts w:ascii="Times New Roman" w:cs="Times New Roman" w:eastAsia="Times New Roman" w:hAnsi="Times New Roman"/>
          <w:sz w:val="18"/>
          <w:szCs w:val="18"/>
          <w:color w:val="auto"/>
        </w:rPr>
        <w:t>” on page 10 of this prospectus. For additional information on the terms of the Preferred Shares and the Warrants, including those terms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number of Conversion Shares, Dividend Shares or Warrant Shares that will be issued to the holders of the Preferred Shares and the Warrants, you should refer to the section of this prospectus entitled “Prospectus Summary—Private Placement of Preferred Shares and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shares of Common Stock subject to resale hereunder will have been issued by us and acquired by the selling stockholders prior to any resale of such shares pursuant to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“XWEL.” On July 2, 2025, the last reported sales price for our Common Stock was $0.97 per share.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our Common Stock involves risk. See “Risk Factors”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580" w:type="dxa"/>
            <w:vAlign w:val="bottom"/>
            <w:gridSpan w:val="4"/>
            <w:shd w:val="clear" w:color="auto" w:fill="CCEEFF"/>
          </w:tcPr>
          <w:p>
            <w:pPr>
              <w:spacing w:after="0"/>
              <w:rPr>
                <w:sz w:val="15"/>
                <w:szCs w:val="15"/>
                <w:color w:val="auto"/>
              </w:rPr>
            </w:pP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580" w:type="dxa"/>
            <w:vAlign w:val="bottom"/>
            <w:gridSpan w:val="4"/>
          </w:tcPr>
          <w:p>
            <w:pPr>
              <w:spacing w:after="0"/>
              <w:rPr>
                <w:sz w:val="15"/>
                <w:szCs w:val="15"/>
                <w:color w:val="auto"/>
              </w:rPr>
            </w:pP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540" w:type="dxa"/>
            <w:vAlign w:val="bottom"/>
            <w:gridSpan w:val="10"/>
          </w:tcPr>
          <w:p>
            <w:pPr>
              <w:spacing w:after="0"/>
              <w:rPr>
                <w:sz w:val="15"/>
                <w:szCs w:val="15"/>
                <w:color w:val="auto"/>
              </w:rPr>
            </w:pP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8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6600" w:type="dxa"/>
            <w:vAlign w:val="bottom"/>
            <w:tcBorders>
              <w:bottom w:val="single" w:sz="8" w:color="CCEEFF"/>
            </w:tcBorders>
            <w:gridSpan w:val="5"/>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60" w:type="dxa"/>
            <w:vAlign w:val="bottom"/>
            <w:tcBorders>
              <w:top w:val="single" w:sz="8" w:color="CCEEFF"/>
            </w:tcBorders>
            <w:gridSpan w:val="9"/>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Information by Reference” in this prospectus.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10 of this prospectus. These and other factors could cause our future performance to differ materially from our assumptions and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 the “Company,” the “registrant,” “we,” “us,” “our,” or “ours” refer to XWELL, Inc. and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XpresSpa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there were 17 domestic XpresSpa locations in total comprised of 16 Company-owned locations and one franchise. The Company also had 11 international locations operating as of March 31,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Naples Wax Center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will be looking to further expand internationally. We believe a strategy for international expansion further advances our ability to expand our other brands including bio surveillance outside of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Preferred Shares and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2025, we entered into the Purchase Agreement with the Investors, pursuant to which we issued and sold on January 14, 2025 (the “Closing Date”), in a private placement (the “Private Placement”), (i) an aggregate of 4,000 shares of the Company’s newly-designated Series G Convertible Preferred Stock initially convertible into up to 2,673,797 Conversion Shares at a conversion price of $1.496 per share (the “Conversion Price”), (ii) Series A warrants (the “Series A Warrants”) to acquire up to an aggregate of 2,673,797 shares of Common Stock at an initial exercise price of $1.496 per share, and (iii) Series B warrants to acquire up to an aggregate of 2,673,797 shares of Common Stock (the “Series B Warrants,” and collectively with the Series A Warrants, the “Warrants”) at an initial exercise price of $1.7952 per share. Each Preferred Share and accompanying Warrants were sold together at a combined offering price of $1,000.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Preferred Shares are as set forth in the Certificate of Designations of the Series G Convertible Preferred Stock of XWELL, Inc. (the “Certificate of Designations”), which was filed and became effective with the Secretary of State of the State of Delaware on January 14, 2025. The Warrants are immediately exercisable and expire five years from the date of issuance.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Warrants were offered without any general solicitation by us or our representatives.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Private Placement, we entered into the Registration Rights Agreement, pursuant to which we are obligated, among other things, to</w:t>
      </w:r>
    </w:p>
    <w:p>
      <w:pPr>
        <w:spacing w:after="0" w:line="27" w:lineRule="exact"/>
        <w:rPr>
          <w:sz w:val="20"/>
          <w:szCs w:val="20"/>
          <w:color w:val="auto"/>
        </w:rPr>
      </w:pPr>
    </w:p>
    <w:p>
      <w:pPr>
        <w:jc w:val="both"/>
        <w:ind w:firstLine="8"/>
        <w:spacing w:after="0" w:line="251" w:lineRule="auto"/>
        <w:tabs>
          <w:tab w:leader="none" w:pos="3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resale registration statement (the “Registration Statement”) with the SEC to register for resale promptly following the Closing Date, but in no event later than 30 calendar days after the Closing Date, the sum of (i) 100% of the maximum number of Conversion Shares issuable upon conversion of the Preferred Shares ((x) assuming for purposes hereof that the Preferred Shares are convertible at the Floor Price (as defined herein) and (y) any such conversion shall not take into account any limitations on the conversion of the Preferred Shares set forth in the Certificate of Designations) and (ii) 100% of the maximum number of Warrant Shares issuable upon exercise of the Warrants (x) assuming for purposes hereof that the Warrants will be exercised at the initial exercise price as set forth in the Warrants (as defined herein) and (y) any such exercise shall not take into account any limitations on the exercise of the Warrant Shares set forth in the Warrants, all subject to adjustment as provided in Registration Rights Agreement, (B) have such Registration Statement declared effective by the Effectiveness Deadline (as defined in the Registration Rights Agreement and as may be amended from time to time), and (C) maintain the registration until the earlier of (x) the date on which the selling stockholders may sell their Conversion Shares or Warrant Shares without restriction pursuant to Rule 144 under the Securities Act, (y) the date on which the selling stockholders no longer hold any Conversion Shares or Warrant Shares and (z) the five year anniversary of the Closing Date. The Company will be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shares of capital stock of the Company rank junior to the Preferred Shares, with respect to the preferences as to dividends, distributions and payments upon the liquidation, dissolution and winding up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Shares are convertible into Common Stock at the election of the holder at any time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Nasdaq.</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redeem the Preferred Shares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$0.167, which was 20% of the “Minimum Price” (as defined in Nasdaq Stock Market Rule 5635) on the Stockholder Approval Date (as defined below), such lower amount as permitted, from time to time, by Nasdaq, and subject to adjustment for stock splits, stock dividends, stock combinations, recapitalizations or other similar events, which amortization amounts are subject to certain adjustments as set forth in the Certificate of Designations (the “Floor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including, among other things, our failure to pay any amounts due to the holders of the Preferred Shares when due, the Preferred Shares accrue dividends at the rate of 15% per annum. Upon conversion or redemption, the holders of the Preferred Shares are also entitled to receive a dividend make-whole payment, assuming, for calculation purposes, that the stated value of such Preferred Shares remained outstanding through and including the one-year anniversary of the applicable date of conversion.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Preferred Shares are entitled to vote with holders of the Common Stock on as as-converted basis, with the number of votes to which each holder of Preferred Shares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our ability to settle conversions and make amortization and dividend make-whole payments using shares of Common Stock is subject to certain limitations set forth in the Certificate of Designations. Prior to receiving approval from our stockholders in accordance with the Nasdaq listing standards, such limitations included a limit on the number of shares that may be issued until the time that our stockholders approved the issuance of more than 19.99% of our issued and outstanding shares of Common Stock in accordance with Nasdaq listing standards (the “Stockholder Approval”). We agreed to seek stockholder approval of these matters at a meeting to be held no later than June 1, 2025, and the Stockholder Approval was obtained on April 10, 2025 (the “Stockholder Approval Date”), at a special meeting of stockholders. Further, the Certificate of Designations contains a certain beneficial ownership limitation after giving effect to the issuance of shares of Common Stock issuable upon conversion of the Preferred Shares or as part of any amortization payment or dividend make-whole payment under the Certificate of Designations.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Preferred Shares when due. In connection with a Triggering Event, each holder of Preferred Shares will be able to require us to redeem in cash any or all of the holder’s Preferred Shares at a premium set forth in the Certificate of Designations.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Upon any such price-based adjustment to the exercise price, the number of Warrant Shares issuable upon exercise of the Warrants will be increased proportionately. The exercise price may also be voluntarily reduced by the Company to any amount and for any period of time with the prior written consent of the holders of at least a majority of the outstanding Warrants, subject to the rules and regulations of Nasdaq. The Warrants may be exercised for cash, provided that, if there is no effective registration statement available registering the exercise of the Warrants, the Warrants may be exercised on a cashless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as we have received the Stockholder Approval, we cannot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Nasdaq. We received Stockholder Approval at a special meeting of stockholders held on April 10,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Common Stock which was previously listed since January 8, 2018, under the trading symbol “XSPA” on Nasdaq, has been listed under the trading symbol “XWEL” since October 25, 2022. Our principal executive offices are located at 254 West 31st Street, 11th Floor, New York, New York 10001. Our telephone number is</w:t>
      </w:r>
    </w:p>
    <w:p>
      <w:pPr>
        <w:spacing w:after="0" w:line="1" w:lineRule="exact"/>
        <w:rPr>
          <w:sz w:val="20"/>
          <w:szCs w:val="20"/>
          <w:color w:val="auto"/>
        </w:rPr>
      </w:pPr>
    </w:p>
    <w:p>
      <w:pPr>
        <w:jc w:val="both"/>
        <w:ind w:firstLine="8"/>
        <w:spacing w:after="0" w:line="253" w:lineRule="auto"/>
        <w:tabs>
          <w:tab w:leader="none" w:pos="4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750-9595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 www.xprescheck.com, www.hyperpointe.com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www.napleswaxcenter.com</w:t>
      </w:r>
      <w:r>
        <w:rPr>
          <w:rFonts w:ascii="Times New Roman" w:cs="Times New Roman" w:eastAsia="Times New Roman" w:hAnsi="Times New Roman"/>
          <w:sz w:val="18"/>
          <w:szCs w:val="18"/>
          <w:color w:val="auto"/>
        </w:rPr>
        <w:t>. Through our website, we will make available, free of charge, our annual report on Form 10-K, quarterly reports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to be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left="30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 to an aggregate of 30,440,060 shares of Common Stock, which are issuable to such selling stockholders pursuant to the terms of the Preferred Shares and Warrants and which includes 1,140,370 Dividend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Registration Rights Agreement, as amended,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also registering up to 1,140,370 Dividend Shares in connection with the payments of dividends in the form of shares of Common Stock, if any, to the holders of the Preferred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Conversion Shares and Warrant Shares by the selling stockholders. However, we will receive proceeds from the exercise of the Warrants if such Warrants are exercised for cash. We currently intend to use such proceeds, if any, for general corporate purposes.</w:t>
      </w:r>
    </w:p>
    <w:p>
      <w:pPr>
        <w:spacing w:after="0" w:line="176" w:lineRule="exact"/>
        <w:rPr>
          <w:sz w:val="20"/>
          <w:szCs w:val="20"/>
          <w:color w:val="auto"/>
        </w:rPr>
      </w:pPr>
    </w:p>
    <w:p>
      <w:pPr>
        <w:sectPr>
          <w:pgSz w:w="11900" w:h="16838" w:orient="portrait"/>
          <w:cols w:equalWidth="0" w:num="2">
            <w:col w:w="1600" w:space="300"/>
            <w:col w:w="934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selling stockholders named in this prospectus, or their pledgees, donees, transferees, distributees, beneficiaries or other</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successors-in-interest, may offer or sell the shares of Common Stock from time to time through public or private transactions at</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prevailing market prices, at prices related to prevailing market prices or at privately negotiated prices. The selling stockholders</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may also resell the shares of Common Stock to or through underwriters, broker-dealers or agents, who may receive compensation</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form of discounts, concessions or commissions.</w:t>
            </w:r>
          </w:p>
        </w:tc>
      </w:tr>
      <w:tr>
        <w:trPr>
          <w:trHeight w:val="414"/>
        </w:trPr>
        <w:tc>
          <w:tcPr>
            <w:tcW w:w="1780" w:type="dxa"/>
            <w:vAlign w:val="bottom"/>
          </w:tcPr>
          <w:p>
            <w:pPr>
              <w:spacing w:after="0"/>
              <w:rPr>
                <w:sz w:val="24"/>
                <w:szCs w:val="24"/>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See “Plan of Distribution” beginning on page 17 of this prospectus for additional information on the methods of sale that may be</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used by the selling stockholders.</w:t>
            </w:r>
          </w:p>
        </w:tc>
      </w:tr>
      <w:tr>
        <w:trPr>
          <w:trHeight w:val="41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“XWEL.”</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Symbol</w:t>
            </w:r>
          </w:p>
        </w:tc>
        <w:tc>
          <w:tcPr>
            <w:tcW w:w="9460" w:type="dxa"/>
            <w:vAlign w:val="bottom"/>
          </w:tcPr>
          <w:p>
            <w:pPr>
              <w:spacing w:after="0"/>
              <w:rPr>
                <w:sz w:val="20"/>
                <w:szCs w:val="20"/>
                <w:color w:val="auto"/>
              </w:rPr>
            </w:pPr>
          </w:p>
        </w:tc>
      </w:tr>
      <w:tr>
        <w:trPr>
          <w:trHeight w:val="41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beginning on page 10 of this prospectus and the</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documents incorporated by reference in this prospectus.</w:t>
            </w:r>
          </w:p>
        </w:tc>
      </w:tr>
      <w:tr>
        <w:trPr>
          <w:trHeight w:val="648"/>
        </w:trPr>
        <w:tc>
          <w:tcPr>
            <w:tcW w:w="17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prospectus and in the documents we incorporate by reference, you should carefully consider the risks discussed below and under the heading “Risk Factors” in our Annual Report on Form 10-K, as amended, for the fiscal year ended December 31, 2024,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$2,500,000.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pursuant to the Minimum Bid Price Rule. The letter also indicated that we will be provided with the Compliance Period (until November 10, 2025), in which to regain compliance pursuant to Nasdaq Listing Rule 5810(c)(3)(A).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our securities. As of the date of this prospectus, we have not regained compliance with the Minimum Bid Price Rule.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in the future we seek to implement a reverse stock split to remain listed on Nasdaq, the announcement and/or implementation of a reverse stock split could significantly negatively affect the price of our Common Stock. Additionally, if we seek to implement a reverse stock split to remain listed on Nasdaq, it cannot be assured that such reverse stock split will result in any sustained proportionate increase in the market price of our Common Stock, which is dependent upon many factors, including our business and financial performance, general market conditions, and prospects for future success, which are unrelated to the number of shares of our Common Stock outstanding. It is not uncommon for the market price of a company’s common stock to decline in the period following a reverse stock split.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expect to take actions intended to restore our compliance with the listing requirements, we can provide no assurance that any action taken by us would be successful, that we would successfully maintain compliance with the minimum bid price requirement or any of Nasdaq’s other listing requirements or that any such action would stabilize the market price or improve the liquidity of our Common Stock. 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being offered pursuant to this prospectus represent Conversion Shares issuable upon the conversion of our Preferred Shares and Warrant Shares issuable upon the exercise of the Warrants. As of May 15, 2025, there were 5,261,024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557%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provides for amortization payments to be issued in the form of shares of Common Stock at a conversion price that varies with the trading price of our Common Stock. This feature may result in a greater number of shares of Common Stock being issued upon conversions than if the conversions were effected at the conversion price in effect as of the date of this prospectus. Sales of these shares will dilute the interests of other security holders and may depress the price of our Common Stock and make it difficult for us to raise additional capital.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for our Preferred Shares provides for the payment of amortization payments to the holder of our Preferred Shares in cash or shares of Common Stock, or a combination thereof, at the Company’s option. If the Company elects to pay any dividends in shares of Common Stock, the conversion price used to calculate the number of shares issuable will equal to the greater of (A) 80% of the average of the three lowest closing prices of our Common Stock during the thirty consecutive trading day period ending and including the trading day immediately prior to the date the amortization payment is due or (B) $0.167, which was 20% of the Minimum Price on the Stockholder Approval Date or such lower amount as permitted, from time to time, by the Nasdaq Capital Market. The potential for such additional issuances below the Conversion Price as of the date of this prospectus may depress the price of our Common Stock regardless of our business performance. We may find it more difficult to raise additional equity capital while any of our Preferred Shares is outstanding.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provides for the payment of dividends in cash or in shares of our Common Stock, or a combination thereof, and we may not be permitted to pay such dividends in cash, which will require us to have shares of Common Stock available to pay the dividends.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the Preferred Shares is entitled to receive cumulative dividends at the rate per share of 8% per annum of the stated value per share, compounded each calendar quarter. The dividends are payable in cash, out of any funds legally available for such purpose, or shares of Common Stock in the case of an Installment Conversion (as defined in the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Holders of our Preferred Shares are entitled to certain payments under the applicable Certificate of Designations that may be paid in cash, in shares of Common Stock or in additional Preferred Shares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Certificate of Designations, we are required to redeem Preferred Shares in six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and in each case subject to adjustment for stock splits, stock dividends, stock combinations, recapitalizations or other similar events. Holders of our Preferred Shares are also entitled to receive dividends of 8% per annum, compounded each calendar quarter, which are payable in arrears monthly in cash or shares of our Common Stock, at our option, in accordance with the terms of the Certificate of Designations.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payments due to the holders of our Preferred Shares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due to the holders of our Preferred Shares using cash is also limited by the amount of cash we have on hand at the time such payments are due as well as certain provisions of the Delaware General Corporation Law (the “DGCL”). Further, we intend to make the installment payments due to holders of Preferred Shares in the form of Common Stock to the extent allowed under the applicable Certificate of Designation and applicable law in order to preserve our cash resources. The issuance of shares of common stock to the holders of our Preferred Shares with increase the number of shares of Common Stock outstanding and could result in substantial dilution to the existing holders of our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Preferred Shares and the Warrants contain certain anti-dilution provisions, which may dilute the interests of our stockholders, depress the price of our Common Stock, and make it difficult for us to raise additional capital.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events, for example, a Stock Combination Event (as defined in the Certificate of Designations) may reduce the conversion price of the Preferred Shares, which in turn may lead to further dilution to the holders of our Common Stock. The Warrants additionally contain anti-dilution provisions applicable to the exercise price. If in the future, while any of the Warrants are outstanding, we may be required upon the occurrence of certain events, to adjust the exercise price of the Warrants, and simultaneously with any adjustment to the exercise price, the number of shares of Common Stock that may be purchased upon exercise of the Warrants shall be increased or decreased proportionately, so that after such adjustment the aggregate exercise price payable thereunder for the adjusted number of shares of common stock issuable upon exercise of the Warrants shall be the same as the aggregate exercise price in effect immediately prior to such adjustment. Such adjustments can dilute the book value per share of Common Stock and reduce any proceeds we may receive from the exercise of the Warrants. In addition, the perceived risk of dilution may cause our shareholders to be more inclined to sell their Common Stock, which may in turn depress the price of common shares regardless of our business performance. We may also find it more difficult to raise additional equity capital while any of the Warrants and the Preferred Shares remain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contains restrictive covenants and terms that may make it difficult to procure additional financing and that may affect our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contains certain restrictive covenants including but not limited to, maintaining a Cash Minimum (as defined in the Certificate of Designations), restrictions on incurring any indebtedness until the date on which at least 80% of the Preferred Shares have been converted to Common Stock and/or redeemed by us, subject to certain exceptions, restrictions on directly or indirectly, redeeming, repurchasing or declaring or paying any cash dividend or distribution on any of our capital stock (other than as required by the Certificate of Designations), and restrictions on directly or indirectly, permitting any of our indebtedness to mature or accelerate prior to the Maturity Date (as defined in the Certificate of Designations). Additionally, the Preferred Shares also contains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may limit our flexibility in raising capital or incurring any indebtedness, which may have an adverse effect on our financial condition.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8%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Preferred Shares accrue dividends at the rate of 15% per annum (the “Default Rate”). In connection with a Triggering Event, each holder of the Preferred Shares will be able to require us to redeem in cash any or all of the holder’s Preferred Shares at a premium set forth in the Certificate of Designations. If such Triggering Event occurs, our financial condition and results of operations could be materially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the Purchase Agreement, we are subject to certain restrictive covenants that may make it difficult to procure additional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contains, among others, the following restrictive covenants: (A) until all of Preferred Shares are no longer outstanding (or until no Warrants remain outstanding if the stockholder approval for the issuance of the shares of Common Stock upon conversion or exercise of the Preferred Shares and Warrants, as applicable, is not obtained) we shall be prohibited from effecting or entering into an agreement to effect any subsequent placement involving a variable rate transaction and (B) until the earlier of (i) the second anniversary of the closing date of the Private Placement, and (ii) the date in which no Preferred Shares remain outstanding, the opportunity to participate in any subsequent securities offerings by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investors party to the Purchase Agreement, which such investors are not obligated to grant to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other issuances of our Common Stock could depress the market for our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The issuance the shares of Common Stock upon conversion of the Preferred Shares and the exercise of the Warrants and the issuance of the Dividend Shares, for example, is likely to further depress the price of our Common Stock, which could, among other factors, make it more difficult for us to regain compliance with the Minimum Bid Price Rule and to maintain compliance with Nasdaq’s continued listing requirements. In turn, this may also increase the likelihood that we may have to implement a reverse stock split of our Common Stock to regain compliance with the Minimum Bid Price Rule and the announcement and/or implementation of a reverse stock split could significantly negatively affect the price of our Common Stock. We may additionally be unable to maintain any proportionate increase in the market price of our Common Stock following a reverse stock split. See “Risk Factors – Risks Related to this Offering and Our Common Stock – ‘</w:t>
      </w:r>
      <w:r>
        <w:rPr>
          <w:rFonts w:ascii="Times New Roman" w:cs="Times New Roman" w:eastAsia="Times New Roman" w:hAnsi="Times New Roman"/>
          <w:sz w:val="18"/>
          <w:szCs w:val="18"/>
          <w:i w:val="1"/>
          <w:iCs w:val="1"/>
          <w:color w:val="auto"/>
        </w:rPr>
        <w:t>Our failure to meet the continued listing requirements of Nasdaq could result in a delisting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or their successors, assignees or other permitted transferees to sell or otherwise dispose of, from time to time, up to 30,440,060 shares of our Common Stock, which includes up to 1,140,370 shares of Common Stock issuable as Dividend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Conversion Shares and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the 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ownership of the Preferred Shares and the Warrants issued pursuant to the Purchase Agreement and, except as disclosed in our periodic reports and current reports filed with the SEC from time to time, the selling stockholders have not had any material relationship with us within the past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Selling Stockholders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May 15, 2025 , assuming conversion of the Preferred Shares and exercise of the Warrants and any other warrants held by each such selling stockholder on that date, and taking account of any beneficial ownership limitations on conversion and exercise set forth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 column (titled “Maximum Number of Shares of Common Stock to be Sold Pursuant to this Prospectus”) lists the shares of Common Stock being offered by this prospectus by the selling stockholders at the Floor Price and exercise price of the Preferred Shares and the Warrants, respectively, and does not take in account any beneficial ownership limitations on (i) conversion of the Preferred Shares as set forth in the Certificate of Designations or (ii) exercise of the Warrants as set forth in the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fourth and fifth columns (titled “Number of Shares of Common Stock Owned After Offering” and “Percentage of Common Stock Owned After Offering”, respectively) assume the conversion of the Preferred Shares at the Floor Price and exercise of the Warrants at the initial exercise price and the sale of all of the shares offered by the selling stockholders pursuant to this prospectus, including the Dividend Shares apportioned to the selling stockholders on a pro rata basis based on the number of Preferred Shares held by the selling stockholder. Because the Conversion Price of the Preferred Shares and the exercise price of the Warrants may be adjusted, the number of shares that will actually be issued may be more or less than the number of shares being offered by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Registration Rights Agreement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Certificate of Designations and the Warrants, a selling stockholder, may not convert the Preferred Shares or exercise the Warrants to the extent (but only to the extent) such selling stockholder or any of its affiliates would beneficially own a number of shares of our shares of Common Stock which would exceed 4.99%, of the outstanding shares of the Company. The number of shares in the second column (“Number of Shares of Common Stock Owned Prior to Offering”), reflects these limitations. The number of shares in the third column (“Maximum Number of Shares of Common Stock to be Sold Pursuant to this Prospectus”) does not take into account any limitations on the conversion of the Preferred Shares or the Warrants. The selling stockholders may sell all, some or none of their shares in this offering. See “Plan of Distribution.”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Sold Pursuant</w:t>
            </w: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 Owned Before</w:t>
            </w: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Stockholders</w:t>
            </w:r>
          </w:p>
        </w:tc>
        <w:tc>
          <w:tcPr>
            <w:tcW w:w="27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Offering(1)</w:t>
            </w:r>
          </w:p>
        </w:tc>
        <w:tc>
          <w:tcPr>
            <w:tcW w:w="17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Prospectus (2)</w:t>
            </w:r>
          </w:p>
        </w:tc>
        <w:tc>
          <w:tcPr>
            <w:tcW w:w="27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11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0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Iroquois Capital Investment Group, LLC (3)</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191,692</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21,117,793</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5"/>
              </w:rPr>
              <w:t>(5)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Iroquois Master Fund Ltd. (4)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84,621</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4.99 %</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9,322,267(6)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28,791 (6)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available to the Company and upon 5,261,024 shares of Common Stock issued and outstanding as of May 15, 2025 (prior to any deemed issuance of any Conversion Shares or Warrant Shares).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certain beneficial ownership limitations and limitations under the rules or regulations of Nasdaq.</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without taking in account any limitations on beneficial limitation as related to the (i) conversion of the Preferred Shares as set forth in the Certificate of Designations or (ii) exercise of the Warrants as set forth in the Warrants.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in this column additionally includes up to an aggregate of 1,140,370 Dividend Shares issuable as dividends to the holders of the Preferred Shares, calculated on a pro-rata basis for each selling stockholder based on the number of Preferred Shares held by the selling stockholder prior to this offering.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Iroquois Capital Investment Group, LLC, a limited liability company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Other shares of Common Stock beneficially owned prior to this offering consist of 28,791 shares of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Iroquois Master Fund Ltd.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16,616,767 Conversion Shares converted at the Floor Price, (ii) 1,854,947 shares of Common Stock issuable upon exercise of the Series A Warrants at the initial exercise price, (iii) 1,854,947 shares of Common Stock issuable upon exercise of the Series B Warrants at the initial exercise price, and (iv) 791,132 Dividend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7,335,329 Conversion Shares converted at the Floor Price, (ii) 818,850 shares of Common Stock issuable upon exercise of the Series A Warrants at the initial exercise price, (iii) 818,850 shares of Common Stock issuable upon exercise of the Series B Warrants at the initial exercise price, and (iv) 349,238 Dividend Shares. Does not include an aggregate of 28,791 shares of Common Stock beneficially owned by the selling stockholder prior to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at varying prices determined at the time of sale or at negotiated prices. These sales may be effected in transactions, which may involve crosses or block transactions, pursuant to one or more of the following methods:</w:t>
      </w:r>
    </w:p>
    <w:p>
      <w:pPr>
        <w:spacing w:after="0" w:line="18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securities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securities pursuant to the Registration Rights Agreements, estimated to be $49,120.98 in total,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securities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Haynes and Boone,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XWELL, Inc. and subsidiaries as of and for the years December 31, 2024 and 2023, incorporated by reference in this registration statement and accompanying prospectus have been audited by Marcum LLP, and independent registered public accounting firm, as stated in their report (the report on the consolidated financial statements contains an explanatory paragraph regarding the Company’s ability to continue as a going concern). Such consolidated financial statements have been incorporated herein by reference in reliance on the report of such firm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w:t>
      </w:r>
    </w:p>
    <w:p>
      <w:pPr>
        <w:spacing w:after="0" w:line="183" w:lineRule="exact"/>
        <w:rPr>
          <w:sz w:val="20"/>
          <w:szCs w:val="20"/>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 for the year ended December 31, 2024, filed with the SEC on April 15, 2025</w:t>
        </w:r>
        <w:r>
          <w:rPr>
            <w:rFonts w:ascii="Times New Roman" w:cs="Times New Roman" w:eastAsia="Times New Roman" w:hAnsi="Times New Roman"/>
            <w:sz w:val="18"/>
            <w:szCs w:val="18"/>
            <w:color w:val="auto"/>
          </w:rPr>
          <w:t xml:space="preserve">, as amended by our report on </w:t>
        </w:r>
        <w:r>
          <w:rPr>
            <w:rFonts w:ascii="Times New Roman" w:cs="Times New Roman" w:eastAsia="Times New Roman" w:hAnsi="Times New Roman"/>
            <w:sz w:val="18"/>
            <w:szCs w:val="18"/>
            <w:u w:val="single" w:color="auto"/>
            <w:color w:val="0000EE"/>
          </w:rPr>
          <w:t>Form 10-</w:t>
        </w:r>
      </w:hyperlink>
      <w:hyperlink r:id="rId30">
        <w:r>
          <w:rPr>
            <w:rFonts w:ascii="Times New Roman" w:cs="Times New Roman" w:eastAsia="Times New Roman" w:hAnsi="Times New Roman"/>
            <w:sz w:val="18"/>
            <w:szCs w:val="18"/>
            <w:u w:val="single" w:color="auto"/>
            <w:color w:val="0000EE"/>
          </w:rPr>
          <w:t>K/A, filed with the SEC on April 28, 2025</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 for the period ended March 31, 2025, filed with the SEC on May 20,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19, 2025</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the description of our common stock contained in our </w:t>
        </w:r>
        <w:r>
          <w:rPr>
            <w:rFonts w:ascii="Times New Roman" w:cs="Times New Roman" w:eastAsia="Times New Roman" w:hAnsi="Times New Roman"/>
            <w:sz w:val="18"/>
            <w:szCs w:val="18"/>
            <w:u w:val="single" w:color="auto"/>
            <w:color w:val="0000EE"/>
          </w:rPr>
          <w:t>Form 8-A filed with the SEC on June 16, 2010</w:t>
        </w:r>
        <w:r>
          <w:rPr>
            <w:rFonts w:ascii="Times New Roman" w:cs="Times New Roman" w:eastAsia="Times New Roman" w:hAnsi="Times New Roman"/>
            <w:sz w:val="18"/>
            <w:szCs w:val="18"/>
            <w:color w:val="auto"/>
          </w:rPr>
          <w:t xml:space="preserve">, as amended by </w:t>
        </w:r>
        <w:r>
          <w:rPr>
            <w:rFonts w:ascii="Times New Roman" w:cs="Times New Roman" w:eastAsia="Times New Roman" w:hAnsi="Times New Roman"/>
            <w:sz w:val="18"/>
            <w:szCs w:val="18"/>
            <w:u w:val="single" w:color="auto"/>
            <w:color w:val="0000EE"/>
          </w:rPr>
          <w:t>Exhibit 4.22 to our Annual</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Report on Form 10-K for the year ended December 31, 2019, filed with the SEC on April 20, 2020</w:t>
        </w:r>
        <w:r>
          <w:rPr>
            <w:rFonts w:ascii="Times New Roman" w:cs="Times New Roman" w:eastAsia="Times New Roman" w:hAnsi="Times New Roman"/>
            <w:sz w:val="18"/>
            <w:szCs w:val="18"/>
            <w:color w:val="000000"/>
          </w:rPr>
          <w:t>, including any amendments thereto or reports filed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purposes of updating this description.</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filings filed by us pursuant to the Securities Exchange Act of 1934, as amended, after the date of the initial filing of this registration statement and prior to the effectiveness of such registration statement (excluding information furnished pursuant to Items 2.02 and 7.01 of Form 8-K) shall also be deemed to be incorporated by reference into the prospectus.</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750-9595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30,440,060 Shares of 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including up to 1,140,370 Dividend Shares)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lvl w:ilvl="1">
      <w:lvlJc w:val="left"/>
      <w:lvlText w:val="(%2)"/>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0" Type="http://schemas.openxmlformats.org/officeDocument/2006/relationships/hyperlink" Target="https://www.sec.gov/ix?doc=/Archives/edgar/data/1410428/000155837025005691/xwel-20241231x10ka.htm" TargetMode="External"/><Relationship Id="rId31" Type="http://schemas.openxmlformats.org/officeDocument/2006/relationships/hyperlink" Target="https://www.sec.gov/ix?doc=/Archives/edgar/data/1410428/000155837025008028/xwel-20250331x10q.htm" TargetMode="External"/><Relationship Id="rId32" Type="http://schemas.openxmlformats.org/officeDocument/2006/relationships/hyperlink" Target="https://www.sec.gov/ix?doc=/Archives/edgar/data/1410428/000110465925050498/tm2515209d1_8k.htm" TargetMode="External"/><Relationship Id="rId33" Type="http://schemas.openxmlformats.org/officeDocument/2006/relationships/hyperlink" Target="https://www.sec.gov/Archives/edgar/data/1410428/000110465920048780/tm205324d1_ex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2025-07-03T15:08:09Z</dcterms:created>
  <dcterms:modified xsi:type="dcterms:W3CDTF">2025-07-03T15:08:09Z</dcterms:modified>
</cp:coreProperties>
</file>