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Sinclair H. Van</w:t>
              </w:r>
            </w:hyperlink>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4"/>
            <w:vMerge w:val="restart"/>
          </w:tcPr>
          <w:p>
            <w:pPr>
              <w:spacing w:after="0"/>
              <w:rPr>
                <w:sz w:val="20"/>
                <w:szCs w:val="20"/>
                <w:color w:val="auto"/>
              </w:rPr>
            </w:pPr>
            <w:r>
              <w:rPr>
                <w:rFonts w:ascii="Arial" w:cs="Arial" w:eastAsia="Arial" w:hAnsi="Arial"/>
                <w:sz w:val="18"/>
                <w:szCs w:val="18"/>
                <w:color w:val="0000FF"/>
                <w:w w:val="98"/>
              </w:rPr>
              <w:t>C/O VRINGO, INC.</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5"/>
          </w:tcPr>
          <w:p>
            <w:pPr>
              <w:ind w:left="160"/>
              <w:spacing w:after="0"/>
              <w:rPr>
                <w:sz w:val="20"/>
                <w:szCs w:val="20"/>
                <w:color w:val="auto"/>
              </w:rPr>
            </w:pPr>
            <w:r>
              <w:rPr>
                <w:rFonts w:ascii="Arial" w:cs="Arial" w:eastAsia="Arial" w:hAnsi="Arial"/>
                <w:sz w:val="18"/>
                <w:szCs w:val="18"/>
                <w:color w:val="0000FF"/>
                <w:w w:val="99"/>
              </w:rPr>
              <w:t>06/30/2014</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780 THIRD AVENUE, 15TH FLOOR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3"/>
          </w:tcPr>
          <w:p>
            <w:pPr>
              <w:spacing w:after="0"/>
              <w:rPr>
                <w:sz w:val="11"/>
                <w:szCs w:val="11"/>
                <w:color w:val="auto"/>
              </w:rPr>
            </w:pPr>
          </w:p>
        </w:tc>
        <w:tc>
          <w:tcPr>
            <w:tcW w:w="2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2"/>
              </w:rPr>
              <w:t>Common Stock, $0.01 par value per share</w:t>
            </w:r>
          </w:p>
        </w:tc>
        <w:tc>
          <w:tcPr>
            <w:tcW w:w="1100" w:type="dxa"/>
            <w:vAlign w:val="bottom"/>
            <w:tcBorders>
              <w:bottom w:val="single" w:sz="8" w:color="2C2C2C"/>
            </w:tcBorders>
            <w:gridSpan w:val="5"/>
          </w:tcPr>
          <w:p>
            <w:pPr>
              <w:ind w:left="160"/>
              <w:spacing w:after="0"/>
              <w:rPr>
                <w:sz w:val="20"/>
                <w:szCs w:val="20"/>
                <w:color w:val="auto"/>
              </w:rPr>
            </w:pPr>
            <w:r>
              <w:rPr>
                <w:rFonts w:ascii="Arial" w:cs="Arial" w:eastAsia="Arial" w:hAnsi="Arial"/>
                <w:sz w:val="18"/>
                <w:szCs w:val="18"/>
                <w:color w:val="0000FF"/>
              </w:rPr>
              <w:t>06/30/2014</w:t>
            </w: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9,375</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3.4093</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283,829</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60" w:type="dxa"/>
            <w:vAlign w:val="bottom"/>
            <w:gridSpan w:val="15"/>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transactions reported in this line item were effected to cover tax liabilities pursuant to a Rule 10b5-1 trading plan adopted by the reporting person on November 26,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Of which, 93,750 shares of common stock are represented by unvested restricted stock units.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40"/>
        <w:spacing w:after="0" w:line="239" w:lineRule="auto"/>
        <w:rPr>
          <w:sz w:val="20"/>
          <w:szCs w:val="20"/>
          <w:color w:val="auto"/>
        </w:rPr>
      </w:pPr>
      <w:r>
        <w:rPr>
          <w:rFonts w:ascii="Arial" w:cs="Arial" w:eastAsia="Arial" w:hAnsi="Arial"/>
          <w:sz w:val="14"/>
          <w:szCs w:val="14"/>
          <w:color w:val="008000"/>
        </w:rPr>
        <w:t>As of the reporting date, the reporting person holds 325,000 vested and unvested options and 93,750 vested and unvested restricted stock units. In addition, the reporting person owns 190,079 shares of common stock and 49,709 warrants. The total number of securities listed is 658,538.</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9"/>
              </w:rPr>
              <w:t>/s/ H. Van Sinclair</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07/02/2014</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2921"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2019-12-17T07:12:29Z</dcterms:created>
  <dcterms:modified xsi:type="dcterms:W3CDTF">2019-12-17T07:12:29Z</dcterms:modified>
</cp:coreProperties>
</file>