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09/13/2016</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09/13/2016</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00FF"/>
              </w:rPr>
              <w:t>13,441</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2.1311</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172,225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09/14/2016</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00FF"/>
              </w:rPr>
              <w:t>10,600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640" w:type="dxa"/>
            <w:vAlign w:val="bottom"/>
            <w:gridSpan w:val="2"/>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2.1438</w:t>
            </w:r>
          </w:p>
        </w:tc>
        <w:tc>
          <w:tcPr>
            <w:tcW w:w="1240" w:type="dxa"/>
            <w:vAlign w:val="bottom"/>
            <w:gridSpan w:val="2"/>
            <w:vMerge w:val="restart"/>
          </w:tcPr>
          <w:p>
            <w:pPr>
              <w:ind w:left="320"/>
              <w:spacing w:after="0"/>
              <w:rPr>
                <w:sz w:val="20"/>
                <w:szCs w:val="20"/>
                <w:color w:val="auto"/>
              </w:rPr>
            </w:pPr>
            <w:r>
              <w:rPr>
                <w:rFonts w:ascii="Arial" w:cs="Arial" w:eastAsia="Arial" w:hAnsi="Arial"/>
                <w:sz w:val="18"/>
                <w:szCs w:val="18"/>
                <w:color w:val="0000FF"/>
              </w:rPr>
              <w:t>182,825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held by Iroquois Capital Management L.L.C ("Iroquois"). Mr. Abbe is a member of Iroquois, who has the authority and responsibility for the investments made on its behalf and as such may be deemed to be the beneficial owner of all shares of common stock held by it.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Richard K. Abbe</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09/15/2016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2019-12-08T15:37:39Z</dcterms:created>
  <dcterms:modified xsi:type="dcterms:W3CDTF">2019-12-08T15:37:39Z</dcterms:modified>
</cp:coreProperties>
</file>