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31269d2_8k.htm"/>
      <w:bookmarkStart w:id="1" w:name="kstm2531269d2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511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 xml:space="preserve">November 7, 2025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0_edei--EntityFileNumber_c20251107"/>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2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pPr>
            <w:bookmarkStart w:id="8" w:name="xdx_90B_edei--EntityAddressAddressLine1_"/>
            <w:bookmarkEnd w:id="8"/>
            <w:r>
              <w:rPr>
                <w:b/>
                <w:sz w:val="20"/>
              </w:rPr>
              <w:t xml:space="preserve">254 West 31st Street, </w:t>
            </w:r>
            <w:bookmarkStart w:id="9" w:name="xdx_903_edei--EntityAddressAddressLine2_"/>
            <w:bookmarkEnd w:id="9"/>
            <w:r>
              <w:rPr>
                <w:b/>
                <w:sz w:val="20"/>
              </w:rPr>
              <w:t xml:space="preserve">11th Floor, </w:t>
            </w:r>
            <w:bookmarkStart w:id="10" w:name="xdx_904_edei--EntityAddressCityOrTown_c2"/>
            <w:bookmarkEnd w:id="10"/>
            <w:r>
              <w:rPr>
                <w:b/>
                <w:sz w:val="20"/>
              </w:rPr>
              <w:t xml:space="preserve">New York, </w:t>
            </w:r>
            <w:bookmarkStart w:id="11" w:name="xdx_90F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4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51107__20"/>
      <w:bookmarkEnd w:id="13"/>
      <w:r>
        <w:rPr>
          <w:rFonts w:ascii="Times New Roman;Times;Serif" w:hAnsi="Times New Roman;Times;Serif"/>
          <w:b/>
          <w:i w:val="false"/>
          <w:caps w:val="false"/>
          <w:smallCaps w:val="false"/>
          <w:sz w:val="20"/>
        </w:rPr>
        <w:t xml:space="preserve">212) </w:t>
      </w:r>
      <w:bookmarkStart w:id="14" w:name="xdx_90B_edei--LocalPhoneNumber_c20251107"/>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SolicitingMaterial_c202511"/>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4_edei--Security12bTitle_c20251107"/>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8_edei--TradingSymbol_c20251107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B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a Current Report on Form 8-K, filed with the Securities and Exchange Commission on November 4, 2025, on November 3, 2025, XWELL, Inc. (the “Company”) entered into a Securities Exchange and Amendment Agreement with the holders (the “Holders”) of the Company’s Series G Convertible Preferred Stock (“Series G Preferred Stock”), with a par value of $0.01 per share and a stated value of $1,000 per share (“Stated Value”), pursuant to which, the Company agreed to exchange a portion of the Company’s outstanding shares of Series G Preferred Stock, including all accrued and unpaid dividends thereon equal to $1,553,806.00 in aggregate Stated Value, held by the Holders, for senior secured convertible notes in the aggregate principal amount of $3,387,138.80 (collectively, the “Exchange”). The closing of the Exchange occurred on November 10, 2025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the Company and the Holders agreed to amend certain terms of the Company’s Series G Preferred Stock as set forth in a Certificate of Amendment (the “Certificate of Amendment”) to the Certificate of Designations of the Series G Convertible Preferred Stock (the “Certificate of Designations”)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the Company filed the Certificate of Amendment with the Secretary of State of the State of Delaware. The Certificate of Amendment amends the Certificate of Designations to (i) reduce the conversion price of the Series G Preferred Stock to $1.00, (ii) remove the restrictive covenant requiring the Company to maintain unencumbered, unrestricted cash and cash equivalents on hand in an amount equal to at least 200% of the shares of common stock, par value $0.01 per share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Series G Conversion Price will be subject to price-based adjustment in the event of any issuances of Common Stock, or securities convertible, exercisable or exchangeable for Common Stock, at a price below the then-applicable Series G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Amendment does not purport to be complete and is qualified in its entirety by reference to the full text of the Certificate of Amendment, a copy of which is filed as Exhibits 3.1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described in Item 3.03 of this Current Report on Form 8-K related to the filing of the Certificate of Amendment and the Certificate of Designations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28" w:type="dxa"/>
          <w:right w:w="0" w:type="dxa"/>
        </w:tblCellMar>
      </w:tblPr>
      <w:tblGrid>
        <w:gridCol w:w="725"/>
        <w:gridCol w:w="60"/>
        <w:gridCol w:w="9395"/>
      </w:tblGrid>
      <w:tr>
        <w:trPr/>
        <w:tc>
          <w:tcPr>
            <w:tcW w:w="725" w:type="dxa"/>
            <w:tcBorders>
              <w:bottom w:val="single" w:sz="8" w:space="0" w:color="000000"/>
            </w:tcBorders>
            <w:vAlign w:val="center"/>
          </w:tcPr>
          <w:p>
            <w:pPr>
              <w:pStyle w:val="TableContents"/>
              <w:bidi w:val="0"/>
              <w:spacing w:before="0" w:after="283"/>
              <w:jc w:val="left"/>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395"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left"/>
              <w:rPr/>
            </w:pPr>
            <w:hyperlink w:anchor="tm2531269d2_ex3-1.htm">
              <w:r>
                <w:rPr>
                  <w:rStyle w:val="InternetLink"/>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395" w:type="dxa"/>
            <w:tcBorders/>
            <w:tcMar>
              <w:bottom w:w="0" w:type="dxa"/>
            </w:tcMar>
            <w:vAlign w:val="center"/>
          </w:tcPr>
          <w:p>
            <w:pPr>
              <w:pStyle w:val="TableContents"/>
              <w:bidi w:val="0"/>
              <w:spacing w:before="0" w:after="283"/>
              <w:jc w:val="both"/>
              <w:rPr/>
            </w:pPr>
            <w:hyperlink w:anchor="tm2531269d2_ex3-1.htm">
              <w:r>
                <w:rPr>
                  <w:rStyle w:val="InternetLink"/>
                  <w:sz w:val="20"/>
                </w:rPr>
                <w:t>Certificate of Amendment to the Certificate of Designations of Series G Convertible Preferred Stock of XWELL, Inc.</w:t>
              </w:r>
            </w:hyperlink>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9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120"/>
        <w:gridCol w:w="545"/>
        <w:gridCol w:w="3095"/>
      </w:tblGrid>
      <w:tr>
        <w:trPr/>
        <w:tc>
          <w:tcPr>
            <w:tcW w:w="212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20"/>
              </w:rPr>
            </w:pPr>
            <w:r>
              <w:rPr>
                <w:sz w:val="20"/>
              </w:rPr>
              <w:t>Date: November 14, 2025</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T. Ernst</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Ezra T. Ernst</w:t>
            </w:r>
          </w:p>
        </w:tc>
      </w:tr>
      <w:tr>
        <w:trPr/>
        <w:tc>
          <w:tcPr>
            <w:tcW w:w="2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531269d2_ex3-1.htm"/>
      <w:bookmarkStart w:id="24" w:name="kstm2531269d2_ex31"/>
      <w:bookmarkEnd w:id="23"/>
      <w:bookmarkEnd w:id="24"/>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w:t>
        <w:br/>
        <w:t>CERTIFICATE OF DESIGNATIONS OF</w:t>
        <w:br/>
        <w:t>SERIES G CONVERTIBLE PREFERRED STOCK OF</w:t>
        <w:b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to the Certificate of Designations of Series G Convertible Preferred Stock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dated as of November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XWELL,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pursuant to the authority granted to it by the Company’s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and Section 151(g) of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has previously fixed the rights, preferences, restrictions and other matters relating to a series of the Company’s preferred stock, consisting of 4,000 authorized shares of preferred stock, classified as Series G Convertible Preferred Stock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and the Certificate of Designations of the Preferred Stock (the “</w:t>
      </w:r>
      <w:r>
        <w:rPr>
          <w:rFonts w:ascii="Times New Roman;Times;Serif" w:hAnsi="Times New Roman;Times;Serif"/>
          <w:b/>
          <w:i w:val="false"/>
          <w:caps w:val="false"/>
          <w:smallCaps w:val="false"/>
          <w:sz w:val="20"/>
        </w:rPr>
        <w:t>Certificate of Designations</w:t>
      </w:r>
      <w:r>
        <w:rPr>
          <w:rFonts w:ascii="Times New Roman;Times;Serif" w:hAnsi="Times New Roman;Times;Serif"/>
          <w:b w:val="false"/>
          <w:i w:val="false"/>
          <w:caps w:val="false"/>
          <w:smallCaps w:val="false"/>
          <w:sz w:val="20"/>
        </w:rPr>
        <w:t>”) was initially filed with the Secretary of State of the State of Delaware on January 14, 2025, evidencing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31(b) of the Certificate of Designations, the Certificate of Designations or any provision thereof may be amended by obtaining the affirmative vote at a meeting duly called for such purpose, or written consent without a meeting in accordance with the DGCL, of the holders of at least a majority of the outstanding shares of Preferred Stock (the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voting separately as a single class, and with such other stockholder approval, if any, as may then be required pursuant to the DGCL and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Required Holders pursuant to the Certificate of Designations have consented, in accordance with the DGCL, on November 3, 2025, to this Amendment on the terms set forth 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duly adopted resolutions proposing to adopt this Amendment and declaring this Amendment to be advisable and in the best interest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Amendment has been duly adopted in accordance with Section 242 of the DGCL and has been executed by a duly authorized officer of the Company as of the date first set forth above to amend the terms of the Certificate of Designations as follows:</w:t>
      </w:r>
    </w:p>
    <w:p>
      <w:pPr>
        <w:pStyle w:val="TextBody"/>
        <w:bidi w:val="0"/>
        <w:spacing w:before="0" w:after="0"/>
        <w:ind w:left="0" w:right="0" w:hanging="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20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440" w:type="dxa"/>
            <w:tcBorders/>
            <w:vAlign w:val="center"/>
          </w:tcPr>
          <w:p>
            <w:pPr>
              <w:pStyle w:val="TableContents"/>
              <w:bidi w:val="0"/>
              <w:spacing w:before="0" w:after="283"/>
              <w:jc w:val="both"/>
              <w:rPr/>
            </w:pPr>
            <w:r>
              <w:rPr/>
              <w:t>Section 4(b)(ii) of the Certificate of Designations is hereby amended and restated to read as follows: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with respect to each Preferred Share, as of any Conversion Date or other date of determination, $1.00, subject to adjustment as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pPr>
            <w:r>
              <w:rPr/>
              <w:t>Section 8(a) of the Certificate of Designations is hereby amended and restated to read as follows (emphasis added):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of Conversion Price upon Issuance of Common Stock</w:t>
      </w:r>
      <w:r>
        <w:rPr>
          <w:rFonts w:ascii="Times New Roman;Times;Serif" w:hAnsi="Times New Roman;Times;Serif"/>
          <w:b w:val="false"/>
          <w:i w:val="false"/>
          <w:caps w:val="false"/>
          <w:smallCaps w:val="false"/>
          <w:sz w:val="20"/>
        </w:rPr>
        <w:t>. If following the receipt of the November 2025 Stockholder Approval (as defined in that certain Securities Exchange and Amendment Agreement, dated as of November 3, 2025 by and among the Company and the Buyers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xml:space="preserve">”)), and whenever on or after the Subscription Date the Company grants, issues or sells (or enters into any agreement or publicly announces its intention to grant, issue or sell), or in accordance with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xml:space="preserve">”), then, immediately after such Dilutive Issuance, the Conversion Price then in effect shall be reduced to an amount equal to the New Issuance Price; provided that, any adjustments that would have occurred hereunder prior to the November 2025 Stockholder Approval Date (as defined in the Exchange Agreement), shall be applied pursuant to this Section 8 on the November 2025 Stockholder Approval Date as if such event or Dilutive Issuance occurred on the November 2025 Stockholder Approval Date. For all purposes of the foregoing (including, without limitation, determining the adjusted Conversion Price and the New Issuance Price under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the following shall be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xml:space="preserve">.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w:t>
      </w:r>
      <w:r>
        <w:rPr>
          <w:rFonts w:ascii="Times New Roman;Times;Serif" w:hAnsi="Times New Roman;Times;Serif"/>
          <w:b w:val="false"/>
          <w:i w:val="false"/>
          <w:caps w:val="false"/>
          <w:smallCaps w:val="false"/>
          <w:sz w:val="20"/>
          <w:u w:val="single"/>
        </w:rPr>
        <w:t>Section 8(a)(i)</w:t>
      </w:r>
      <w:r>
        <w:rPr>
          <w:rFonts w:ascii="Times New Roman;Times;Serif" w:hAnsi="Times New Roman;Times;Serif"/>
          <w:b w:val="false"/>
          <w:i w:val="false"/>
          <w:caps w:val="false"/>
          <w:smallCaps w:val="false"/>
          <w:sz w:val="20"/>
        </w:rPr>
        <w:t>,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xml:space="preserve">.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w:t>
      </w:r>
      <w:r>
        <w:rPr>
          <w:rFonts w:ascii="Times New Roman;Times;Serif" w:hAnsi="Times New Roman;Times;Serif"/>
          <w:b w:val="false"/>
          <w:i w:val="false"/>
          <w:caps w:val="false"/>
          <w:smallCaps w:val="false"/>
          <w:sz w:val="20"/>
          <w:u w:val="single"/>
        </w:rPr>
        <w:t>Section 8(a)(ii)</w:t>
      </w:r>
      <w:r>
        <w:rPr>
          <w:rFonts w:ascii="Times New Roman;Times;Serif" w:hAnsi="Times New Roman;Times;Serif"/>
          <w:b w:val="false"/>
          <w:i w:val="false"/>
          <w:caps w:val="false"/>
          <w:smallCaps w:val="false"/>
          <w:sz w:val="20"/>
        </w:rPr>
        <w:t xml:space="preserve">,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except as contemplated below, no further adjustment of the Conversion Price shall be made by reason of such issuance or sale.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xml:space="preserve">.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xml:space="preserve">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w:t>
      </w:r>
      <w:r>
        <w:rPr>
          <w:rFonts w:ascii="Times New Roman;Times;Serif" w:hAnsi="Times New Roman;Times;Serif"/>
          <w:b w:val="false"/>
          <w:i w:val="false"/>
          <w:caps w:val="false"/>
          <w:smallCaps w:val="false"/>
          <w:sz w:val="20"/>
          <w:u w:val="single"/>
        </w:rPr>
        <w:t>Section 8(a)(iii)</w:t>
      </w:r>
      <w:r>
        <w:rPr>
          <w:rFonts w:ascii="Times New Roman;Times;Serif" w:hAnsi="Times New Roman;Times;Serif"/>
          <w:b w:val="false"/>
          <w:i w:val="false"/>
          <w:caps w:val="false"/>
          <w:smallCaps w:val="false"/>
          <w:sz w:val="20"/>
        </w:rPr>
        <w:t xml:space="preserve">,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shall be made if such adjustment would result in an increase of the Conversion Price then in effect.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Required Holders,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xml:space="preserve">”),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w:t>
      </w:r>
      <w:r>
        <w:rPr>
          <w:rFonts w:ascii="Times New Roman;Times;Serif" w:hAnsi="Times New Roman;Times;Serif"/>
          <w:b w:val="false"/>
          <w:i w:val="false"/>
          <w:caps w:val="false"/>
          <w:smallCaps w:val="false"/>
          <w:sz w:val="20"/>
          <w:u w:val="single"/>
        </w:rPr>
        <w:t>Section 8(a)(i)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8(a)(ii)</w:t>
      </w:r>
      <w:r>
        <w:rPr>
          <w:rFonts w:ascii="Times New Roman;Times;Serif" w:hAnsi="Times New Roman;Times;Serif"/>
          <w:b w:val="false"/>
          <w:i w:val="false"/>
          <w:caps w:val="false"/>
          <w:smallCaps w:val="false"/>
          <w:sz w:val="20"/>
        </w:rPr>
        <w:t xml:space="preserve"> above and (z) the lowest VWAP of the shares of Common Stock on any Trading Day during the five (5) Trading Day period (the “</w:t>
      </w:r>
      <w:r>
        <w:rPr>
          <w:rFonts w:ascii="Times New Roman;Times;Serif" w:hAnsi="Times New Roman;Times;Serif"/>
          <w:b/>
          <w:i w:val="false"/>
          <w:caps w:val="false"/>
          <w:smallCaps w:val="false"/>
          <w:sz w:val="20"/>
        </w:rPr>
        <w:t>Adjustment Period</w:t>
      </w:r>
      <w:r>
        <w:rPr>
          <w:rFonts w:ascii="Times New Roman;Times;Serif" w:hAnsi="Times New Roman;Times;Serif"/>
          <w:b w:val="false"/>
          <w:i w:val="false"/>
          <w:caps w:val="false"/>
          <w:smallCaps w:val="false"/>
          <w:sz w:val="20"/>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any Preferred Shares are converted, on any given Conversion Date during any such Adjustment Period, solely with respect to such Preferred Shares converted on such applicable Conversion Date, such applicable Adjustment Period shall be deemed to have ended on, and included, the Trading Day immediately prior to such Conversion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Holders.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(10th) day following such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720" w:right="0" w:firstLine="144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both"/>
              <w:rPr/>
            </w:pPr>
            <w:r>
              <w:rPr/>
              <w:t>Section 8(c) of the Certificate of Designations is hereby amended and restated to read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xml:space="preserve">. In addition to and not in limitation of the other provisions of this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if the Company in any manner issues or sells or enters into any agreement to issue or sell, any Common Stock, Options or Convertible Securities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overnight courier to each Holder on the date of such agreement and/or the issuance of such shares of Common Stock, Convertible Securities or Options, as applicable. From and after the date the Company enters into such agreement or issues any such Variable Price Securities, each Holder shall have the right, but not the obligation, in its sole discretion to substitute the Variable Price for the Conversion Price upon conversion of the Preferred Shares by designating in the Conversion Notice delivered upon any conversion of Preferred Shares that solely for purposes of such conversion such Holder is relying on the Variable Price rather than the Conversion Price then in effect. A Holder’s election to rely on a Variable Price for a particular conversion of Preferred Shares shall not obligate such Holder to rely on a Variable Price for any future conversions of Preferred Shares.</w:t>
      </w:r>
    </w:p>
    <w:p>
      <w:pPr>
        <w:pStyle w:val="TextBody"/>
        <w:bidi w:val="0"/>
        <w:spacing w:before="0" w:after="0"/>
        <w:ind w:left="0" w:right="0" w:firstLine="144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155" w:type="dxa"/>
            <w:tcBorders/>
            <w:vAlign w:val="center"/>
          </w:tcPr>
          <w:p>
            <w:pPr>
              <w:pStyle w:val="TableContents"/>
              <w:bidi w:val="0"/>
              <w:spacing w:before="0" w:after="283"/>
              <w:jc w:val="both"/>
              <w:rPr/>
            </w:pPr>
            <w:r>
              <w:rPr/>
              <w:t>Section 9(e) of the Certificate of Designations is hereby amended and restated to read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Acceleration of Installment Amounts</w:t>
      </w:r>
      <w:r>
        <w:rPr>
          <w:rFonts w:ascii="Times New Roman;Times;Serif" w:hAnsi="Times New Roman;Times;Serif"/>
          <w:b w:val="false"/>
          <w:i w:val="false"/>
          <w:caps w:val="false"/>
          <w:smallCaps w:val="false"/>
          <w:sz w:val="20"/>
        </w:rPr>
        <w:t>. Notwithstanding any provision of this Section 9 to the contrary, but subject to Section 4(d), with respect to any given Installment Date (the “</w:t>
      </w:r>
      <w:r>
        <w:rPr>
          <w:rFonts w:ascii="Times New Roman;Times;Serif" w:hAnsi="Times New Roman;Times;Serif"/>
          <w:b/>
          <w:i w:val="false"/>
          <w:caps w:val="false"/>
          <w:smallCaps w:val="false"/>
          <w:sz w:val="20"/>
        </w:rPr>
        <w:t>Current Installment Date</w:t>
      </w:r>
      <w:r>
        <w:rPr>
          <w:rFonts w:ascii="Times New Roman;Times;Serif" w:hAnsi="Times New Roman;Times;Serif"/>
          <w:b w:val="false"/>
          <w:i w:val="false"/>
          <w:caps w:val="false"/>
          <w:smallCaps w:val="false"/>
          <w:sz w:val="20"/>
        </w:rPr>
        <w:t>”), during the period commencing on the Installment Notice Due Date immediately prior to such Current Installment Date and ending on the Trading Day immediately prior to the next Installment Date (each, an “</w:t>
      </w:r>
      <w:r>
        <w:rPr>
          <w:rFonts w:ascii="Times New Roman;Times;Serif" w:hAnsi="Times New Roman;Times;Serif"/>
          <w:b/>
          <w:i w:val="false"/>
          <w:caps w:val="false"/>
          <w:smallCaps w:val="false"/>
          <w:sz w:val="20"/>
        </w:rPr>
        <w:t>Installment Period</w:t>
      </w:r>
      <w:r>
        <w:rPr>
          <w:rFonts w:ascii="Times New Roman;Times;Serif" w:hAnsi="Times New Roman;Times;Serif"/>
          <w:b w:val="false"/>
          <w:i w:val="false"/>
          <w:caps w:val="false"/>
          <w:smallCaps w:val="false"/>
          <w:sz w:val="20"/>
        </w:rPr>
        <w:t>”), each Holder and the Company may mutually agree, at one or more times in such Installment Period, to convert other Preferred Shares (each, an “</w:t>
      </w:r>
      <w:r>
        <w:rPr>
          <w:rFonts w:ascii="Times New Roman;Times;Serif" w:hAnsi="Times New Roman;Times;Serif"/>
          <w:b/>
          <w:i w:val="false"/>
          <w:caps w:val="false"/>
          <w:smallCaps w:val="false"/>
          <w:sz w:val="20"/>
        </w:rPr>
        <w:t>Acceleration</w:t>
      </w:r>
      <w:r>
        <w:rPr>
          <w:rFonts w:ascii="Times New Roman;Times;Serif" w:hAnsi="Times New Roman;Times;Serif"/>
          <w:b w:val="false"/>
          <w:i w:val="false"/>
          <w:caps w:val="false"/>
          <w:smallCaps w:val="false"/>
          <w:sz w:val="20"/>
        </w:rPr>
        <w:t>”, and such aggregate number of Preferred Shares in an Acceleration, each, an “</w:t>
      </w:r>
      <w:r>
        <w:rPr>
          <w:rFonts w:ascii="Times New Roman;Times;Serif" w:hAnsi="Times New Roman;Times;Serif"/>
          <w:b/>
          <w:i w:val="false"/>
          <w:caps w:val="false"/>
          <w:smallCaps w:val="false"/>
          <w:sz w:val="20"/>
        </w:rPr>
        <w:t>Acceleration Amount</w:t>
      </w:r>
      <w:r>
        <w:rPr>
          <w:rFonts w:ascii="Times New Roman;Times;Serif" w:hAnsi="Times New Roman;Times;Serif"/>
          <w:b w:val="false"/>
          <w:i w:val="false"/>
          <w:caps w:val="false"/>
          <w:smallCaps w:val="false"/>
          <w:sz w:val="20"/>
        </w:rPr>
        <w:t>”, and the Conversion Date of any such Acceleration, each an “</w:t>
      </w:r>
      <w:r>
        <w:rPr>
          <w:rFonts w:ascii="Times New Roman;Times;Serif" w:hAnsi="Times New Roman;Times;Serif"/>
          <w:b/>
          <w:i w:val="false"/>
          <w:caps w:val="false"/>
          <w:smallCaps w:val="false"/>
          <w:sz w:val="20"/>
        </w:rPr>
        <w:t>Acceleration Date</w:t>
      </w:r>
      <w:r>
        <w:rPr>
          <w:rFonts w:ascii="Times New Roman;Times;Serif" w:hAnsi="Times New Roman;Times;Serif"/>
          <w:b w:val="false"/>
          <w:i w:val="false"/>
          <w:caps w:val="false"/>
          <w:smallCaps w:val="false"/>
          <w:sz w:val="20"/>
        </w:rPr>
        <w:t xml:space="preserve">”), including any Deferral Amounts with respect to such Current Installment Date, in whole or in part, at the Acceleration Conversion Price of such Current Installment Date in accordance with the conversion procedures set forth in Section 4 hereunder,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provided, that if a Conversion Floor Price Condition exists with respect to such Acceleration Date, with each Acceleration the Company shall also deliver to the Holder the Acceleration Floor Amount on the applicable Share Delivery Deadline. For clarity, any Acceleration Amount shall be applied to the Installment Redemptions in inverse order from the Maturity Date unless otherwise indicated by the Holder. For purposes hereof, “</w:t>
      </w:r>
      <w:r>
        <w:rPr>
          <w:rFonts w:ascii="Times New Roman;Times;Serif" w:hAnsi="Times New Roman;Times;Serif"/>
          <w:b/>
          <w:i w:val="false"/>
          <w:caps w:val="false"/>
          <w:smallCaps w:val="false"/>
          <w:sz w:val="20"/>
        </w:rPr>
        <w:t>Acceleration Conversion Price</w:t>
      </w:r>
      <w:r>
        <w:rPr>
          <w:rFonts w:ascii="Times New Roman;Times;Serif" w:hAnsi="Times New Roman;Times;Serif"/>
          <w:b w:val="false"/>
          <w:i w:val="false"/>
          <w:caps w:val="false"/>
          <w:smallCaps w:val="false"/>
          <w:sz w:val="20"/>
        </w:rPr>
        <w:t>” means, with respect to any given Acceleration Date, the lower of (i) the Installment Conversion Price for such Current Installment Date related to such Acceleration Date and (ii) the greater of (x) the Floor Price and (y) the lowest of (A) 80% of the VWAP of the shares of Common Stock as of the Trading Day immediately preceding the applicable Acceleration Date, and (B) 80% of the quotient of (I) the sum of the VWAP of the shares of Common Stock for each of the three (3) Trading Days with the lowest VWAP of the shares of Common Stock during the thirty (30) consecutive Trading Day period ending and including the Trading Day immediately prior to such Acceleration Date, divided by (II) three (3). All such determinations to be appropriately adjusted for any share split, share dividend, stock combination or other similar transaction during any such measuring period. For purposes hereof, “</w:t>
      </w:r>
      <w:r>
        <w:rPr>
          <w:rFonts w:ascii="Times New Roman;Times;Serif" w:hAnsi="Times New Roman;Times;Serif"/>
          <w:b/>
          <w:i w:val="false"/>
          <w:caps w:val="false"/>
          <w:smallCaps w:val="false"/>
          <w:sz w:val="20"/>
        </w:rPr>
        <w:t>Acceleration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a Holder in writing, equal to the product obtained by multiplying (A) the higher of (I) the highest price that the Common Stock trades at on the Trading Day immediately preceding the relevant Acceleration Date with respect to such Acceleration and (II) the applicable Acceleration Conversion Price of such Acceleration Date and (B) the difference obtained by subtracting (I) the number of shares of Common Stock delivered (or to be delivered) to the Holder on the applicable Share Delivery Deadline with respect to such Acceleration from (II) the quotient obtain by dividing (x) the applicable Acceleration Amount that the Holder has elected to be the subject of the applicable Acceleration, by (y) the applicable Acceleration Conversion Price of such Acceleration Date without giving effect to clause (x) of such definition or clause (x) of the definition of the Installment Conversion Price, as applicable.</w:t>
      </w:r>
    </w:p>
    <w:p>
      <w:pPr>
        <w:pStyle w:val="TextBody"/>
        <w:pBd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pBdr/>
        <w:bidi w:val="0"/>
        <w:spacing w:before="0" w:after="0"/>
        <w:ind w:left="0" w:right="0" w:firstLine="144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20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9290" w:type="dxa"/>
            <w:tcBorders/>
            <w:vAlign w:val="center"/>
          </w:tcPr>
          <w:p>
            <w:pPr>
              <w:pStyle w:val="TableContents"/>
              <w:bidi w:val="0"/>
              <w:spacing w:before="0" w:after="283"/>
              <w:jc w:val="both"/>
              <w:rPr/>
            </w:pPr>
            <w:r>
              <w:rPr/>
              <w:t>Section 14(p) of the Certificate of Designations is hereby amended and restated to read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w:t>
      </w:r>
    </w:p>
    <w:p>
      <w:pPr>
        <w:pStyle w:val="TextBody"/>
        <w:pBdr/>
        <w:bidi w:val="0"/>
        <w:spacing w:before="0" w:after="0"/>
        <w:ind w:left="0" w:right="0" w:firstLine="72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0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9320" w:type="dxa"/>
            <w:tcBorders/>
            <w:vAlign w:val="center"/>
          </w:tcPr>
          <w:p>
            <w:pPr>
              <w:pStyle w:val="TableContents"/>
              <w:bidi w:val="0"/>
              <w:spacing w:before="0" w:after="283"/>
              <w:jc w:val="both"/>
              <w:rPr/>
            </w:pPr>
            <w:r>
              <w:rPr/>
              <w:t>Section 32(rr) of the Certificate of Designations is hereby amended and restated to read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means, as of any given date and as applicable, in connection with any conversion, redemption or other repayment hereunder, an amount equal to the amount of additional Dividends that would accrue under this Certificate of Designations at the Dividend Rate then in effect assuming for calculation purposes that the Stated Value of this Certificate of Designations as of the Closing Date remained outstanding through and including the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Amendment to be signed by its duly authorized officer this 7th day of November, 2025.</w:t>
      </w:r>
    </w:p>
    <w:p>
      <w:pPr>
        <w:pStyle w:val="TextBody"/>
        <w:bidi w:val="0"/>
        <w:spacing w:before="0" w:after="0"/>
        <w:ind w:left="0" w:right="0" w:firstLine="180"/>
        <w:jc w:val="both"/>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80"/>
        <w:gridCol w:w="320"/>
        <w:gridCol w:w="590"/>
        <w:gridCol w:w="230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vAlign w:val="center"/>
          </w:tcPr>
          <w:p>
            <w:pPr>
              <w:pStyle w:val="TableContents"/>
              <w:bidi w:val="0"/>
              <w:spacing w:before="0" w:after="283"/>
              <w:ind w:left="0" w:right="0" w:hanging="0"/>
              <w:jc w:val="left"/>
              <w:rPr>
                <w:sz w:val="4"/>
                <w:szCs w:val="4"/>
              </w:rPr>
            </w:pPr>
            <w:r>
              <w:rPr>
                <w:sz w:val="4"/>
                <w:szCs w:val="4"/>
              </w:rPr>
            </w:r>
          </w:p>
        </w:tc>
        <w:tc>
          <w:tcPr>
            <w:tcW w:w="230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9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Ezra T. Ernst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00" w:type="dxa"/>
            <w:tcBorders/>
            <w:vAlign w:val="center"/>
          </w:tcPr>
          <w:p>
            <w:pPr>
              <w:pStyle w:val="TableContents"/>
              <w:bidi w:val="0"/>
              <w:spacing w:before="0" w:after="283"/>
              <w:jc w:val="left"/>
              <w:rPr/>
            </w:pPr>
            <w:r>
              <w:rPr/>
              <w:t>Ezra T. Ernst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4608</Words>
  <Characters>24018</Characters>
  <CharactersWithSpaces>28802</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