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40"/>
        <w:spacing w:after="0"/>
        <w:rPr>
          <w:sz w:val="20"/>
          <w:szCs w:val="20"/>
          <w:color w:val="auto"/>
        </w:rPr>
      </w:pPr>
      <w:r>
        <w:rPr>
          <w:rFonts w:ascii="Arial" w:cs="Arial" w:eastAsia="Arial" w:hAnsi="Arial"/>
          <w:sz w:val="22"/>
          <w:szCs w:val="22"/>
          <w:b w:val="1"/>
          <w:bCs w:val="1"/>
          <w:color w:val="auto"/>
        </w:rPr>
        <w:t>Date of Report (Date of earliest event reported): August 19,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0"/>
              </w:rPr>
              <w:t>1-34785</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20-4988129</w:t>
            </w:r>
          </w:p>
        </w:tc>
      </w:tr>
      <w:tr>
        <w:trPr>
          <w:trHeight w:val="149"/>
        </w:trPr>
        <w:tc>
          <w:tcPr>
            <w:tcW w:w="402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2"/>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8"/>
              </w:rPr>
              <w:t>18 East 16th Street, 7th Floor</w:t>
            </w:r>
          </w:p>
        </w:tc>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20" w:type="dxa"/>
            <w:vAlign w:val="bottom"/>
          </w:tcPr>
          <w:p>
            <w:pPr>
              <w:jc w:val="center"/>
              <w:ind w:left="1202"/>
              <w:spacing w:after="0"/>
              <w:rPr>
                <w:sz w:val="20"/>
                <w:szCs w:val="20"/>
                <w:color w:val="auto"/>
              </w:rPr>
            </w:pPr>
            <w:r>
              <w:rPr>
                <w:rFonts w:ascii="Arial" w:cs="Arial" w:eastAsia="Arial" w:hAnsi="Arial"/>
                <w:sz w:val="18"/>
                <w:szCs w:val="18"/>
                <w:b w:val="1"/>
                <w:bCs w:val="1"/>
                <w:color w:val="auto"/>
                <w:w w:val="90"/>
              </w:rPr>
              <w:t>New York, New York</w:t>
            </w:r>
          </w:p>
        </w:tc>
        <w:tc>
          <w:tcPr>
            <w:tcW w:w="244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10003</w:t>
            </w:r>
          </w:p>
        </w:tc>
      </w:tr>
      <w:tr>
        <w:trPr>
          <w:trHeight w:val="174"/>
        </w:trPr>
        <w:tc>
          <w:tcPr>
            <w:tcW w:w="4020" w:type="dxa"/>
            <w:vAlign w:val="bottom"/>
          </w:tcPr>
          <w:p>
            <w:pPr>
              <w:jc w:val="center"/>
              <w:ind w:left="1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19, 2010, Vringo, Inc. (the “Company”) entered into an agreement (the “Agreement”) with Everything Everywhere Limited, a United Kingdom communication company which operates the T-Mobile UK and Orange UK mobile services (“EE”). Pursuant to the terms of the Agreement, the Company will provide EE’s customers with a co-branded version of the Company’s video ringtone service. EE will bill its subscribers for the use of the service and will share revenues from the service with the Company. The Agreement provides for a 12-month term from the launch date and may be terminated after such term by either party, upon three months written notice.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announcing the Agreement is attached hereto as Exhibit 99.1.</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complete text of the Agreement, which will be filed, with any confidential terms redacted, with the Securities and Exchange Commission as an exhibit to the Company’s Quarterly Report on Form 10-Q for the period ending on September 30, 2010.</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25, 2010</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20" w:type="dxa"/>
            <w:vAlign w:val="bottom"/>
          </w:tcPr>
          <w:p>
            <w:pPr>
              <w:spacing w:after="0"/>
              <w:rPr>
                <w:sz w:val="20"/>
                <w:szCs w:val="20"/>
                <w:color w:val="auto"/>
              </w:rPr>
            </w:pPr>
            <w:r>
              <w:rPr>
                <w:rFonts w:ascii="Arial" w:cs="Arial" w:eastAsia="Arial" w:hAnsi="Arial"/>
                <w:sz w:val="18"/>
                <w:szCs w:val="18"/>
                <w:color w:val="auto"/>
              </w:rPr>
              <w:t>Dated: August 25, 2010</w:t>
            </w:r>
          </w:p>
        </w:tc>
        <w:tc>
          <w:tcPr>
            <w:tcW w:w="3780" w:type="dxa"/>
            <w:vAlign w:val="bottom"/>
            <w:gridSpan w:val="2"/>
          </w:tcPr>
          <w:p>
            <w:pPr>
              <w:ind w:left="2240"/>
              <w:spacing w:after="0"/>
              <w:rPr>
                <w:sz w:val="20"/>
                <w:szCs w:val="20"/>
                <w:color w:val="auto"/>
              </w:rPr>
            </w:pPr>
            <w:r>
              <w:rPr>
                <w:rFonts w:ascii="Arial" w:cs="Arial" w:eastAsia="Arial" w:hAnsi="Arial"/>
                <w:sz w:val="18"/>
                <w:szCs w:val="18"/>
                <w:b w:val="1"/>
                <w:bCs w:val="1"/>
                <w:color w:val="auto"/>
              </w:rPr>
              <w:t>VRINGO, INC.</w:t>
            </w:r>
          </w:p>
        </w:tc>
        <w:tc>
          <w:tcPr>
            <w:tcW w:w="3720" w:type="dxa"/>
            <w:vAlign w:val="bottom"/>
          </w:tcPr>
          <w:p>
            <w:pPr>
              <w:spacing w:after="0"/>
              <w:rPr>
                <w:sz w:val="19"/>
                <w:szCs w:val="19"/>
                <w:color w:val="auto"/>
              </w:rPr>
            </w:pPr>
          </w:p>
        </w:tc>
      </w:tr>
      <w:tr>
        <w:trPr>
          <w:trHeight w:val="433"/>
        </w:trPr>
        <w:tc>
          <w:tcPr>
            <w:tcW w:w="3920" w:type="dxa"/>
            <w:vAlign w:val="bottom"/>
          </w:tcPr>
          <w:p>
            <w:pPr>
              <w:spacing w:after="0"/>
              <w:rPr>
                <w:sz w:val="24"/>
                <w:szCs w:val="24"/>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By:</w:t>
            </w:r>
          </w:p>
        </w:tc>
        <w:tc>
          <w:tcPr>
            <w:tcW w:w="9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tc>
      </w:tr>
      <w:tr>
        <w:trPr>
          <w:trHeight w:val="216"/>
        </w:trPr>
        <w:tc>
          <w:tcPr>
            <w:tcW w:w="3920" w:type="dxa"/>
            <w:vAlign w:val="bottom"/>
          </w:tcPr>
          <w:p>
            <w:pPr>
              <w:spacing w:after="0"/>
              <w:rPr>
                <w:sz w:val="18"/>
                <w:szCs w:val="18"/>
                <w:color w:val="auto"/>
              </w:rPr>
            </w:pPr>
          </w:p>
        </w:tc>
        <w:tc>
          <w:tcPr>
            <w:tcW w:w="3780" w:type="dxa"/>
            <w:vAlign w:val="bottom"/>
            <w:gridSpan w:val="2"/>
          </w:tcPr>
          <w:p>
            <w:pPr>
              <w:ind w:left="2240"/>
              <w:spacing w:after="0"/>
              <w:rPr>
                <w:sz w:val="20"/>
                <w:szCs w:val="20"/>
                <w:color w:val="auto"/>
              </w:rPr>
            </w:pPr>
            <w:r>
              <w:rPr>
                <w:rFonts w:ascii="Arial" w:cs="Arial" w:eastAsia="Arial" w:hAnsi="Arial"/>
                <w:sz w:val="18"/>
                <w:szCs w:val="18"/>
                <w:color w:val="auto"/>
              </w:rPr>
              <w:t>Name:</w:t>
            </w:r>
          </w:p>
        </w:tc>
        <w:tc>
          <w:tcPr>
            <w:tcW w:w="3720" w:type="dxa"/>
            <w:vAlign w:val="bottom"/>
          </w:tcPr>
          <w:p>
            <w:pPr>
              <w:jc w:val="center"/>
              <w:ind w:right="886"/>
              <w:spacing w:after="0"/>
              <w:rPr>
                <w:sz w:val="20"/>
                <w:szCs w:val="20"/>
                <w:color w:val="auto"/>
              </w:rPr>
            </w:pPr>
            <w:r>
              <w:rPr>
                <w:rFonts w:ascii="Arial" w:cs="Arial" w:eastAsia="Arial" w:hAnsi="Arial"/>
                <w:sz w:val="14"/>
                <w:szCs w:val="14"/>
                <w:b w:val="1"/>
                <w:bCs w:val="1"/>
                <w:color w:val="auto"/>
                <w:w w:val="90"/>
              </w:rPr>
              <w:t>Andrew Perlman</w:t>
            </w:r>
          </w:p>
        </w:tc>
      </w:tr>
      <w:tr>
        <w:trPr>
          <w:trHeight w:val="237"/>
        </w:trPr>
        <w:tc>
          <w:tcPr>
            <w:tcW w:w="3920" w:type="dxa"/>
            <w:vAlign w:val="bottom"/>
          </w:tcPr>
          <w:p>
            <w:pPr>
              <w:spacing w:after="0"/>
              <w:rPr>
                <w:sz w:val="20"/>
                <w:szCs w:val="20"/>
                <w:color w:val="auto"/>
              </w:rPr>
            </w:pPr>
          </w:p>
        </w:tc>
        <w:tc>
          <w:tcPr>
            <w:tcW w:w="3780" w:type="dxa"/>
            <w:vAlign w:val="bottom"/>
            <w:gridSpan w:val="2"/>
          </w:tcPr>
          <w:p>
            <w:pPr>
              <w:ind w:left="2240"/>
              <w:spacing w:after="0"/>
              <w:rPr>
                <w:sz w:val="20"/>
                <w:szCs w:val="20"/>
                <w:color w:val="auto"/>
              </w:rPr>
            </w:pPr>
            <w:r>
              <w:rPr>
                <w:rFonts w:ascii="Arial" w:cs="Arial" w:eastAsia="Arial" w:hAnsi="Arial"/>
                <w:sz w:val="18"/>
                <w:szCs w:val="18"/>
                <w:color w:val="auto"/>
              </w:rPr>
              <w:t>Title:</w:t>
            </w:r>
          </w:p>
        </w:tc>
        <w:tc>
          <w:tcPr>
            <w:tcW w:w="3720" w:type="dxa"/>
            <w:vAlign w:val="bottom"/>
          </w:tcPr>
          <w:p>
            <w:pPr>
              <w:jc w:val="center"/>
              <w:ind w:right="866"/>
              <w:spacing w:after="0"/>
              <w:rPr>
                <w:sz w:val="20"/>
                <w:szCs w:val="20"/>
                <w:color w:val="auto"/>
              </w:rPr>
            </w:pPr>
            <w:r>
              <w:rPr>
                <w:rFonts w:ascii="Arial" w:cs="Arial" w:eastAsia="Arial" w:hAnsi="Arial"/>
                <w:sz w:val="14"/>
                <w:szCs w:val="14"/>
                <w:b w:val="1"/>
                <w:bCs w:val="1"/>
                <w:color w:val="auto"/>
                <w:w w:val="84"/>
              </w:rPr>
              <w:t>President</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483360"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336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960" w:type="dxa"/>
            <w:vAlign w:val="bottom"/>
            <w:gridSpan w:val="3"/>
          </w:tcPr>
          <w:p>
            <w:pPr>
              <w:spacing w:after="0"/>
              <w:rPr>
                <w:sz w:val="20"/>
                <w:szCs w:val="20"/>
                <w:color w:val="auto"/>
              </w:rPr>
            </w:pPr>
            <w:r>
              <w:rPr>
                <w:rFonts w:ascii="Arial" w:cs="Arial" w:eastAsia="Arial" w:hAnsi="Arial"/>
                <w:sz w:val="18"/>
                <w:szCs w:val="18"/>
                <w:color w:val="auto"/>
              </w:rPr>
              <w:t>Vringo, Inc.</w:t>
            </w:r>
          </w:p>
        </w:tc>
        <w:tc>
          <w:tcPr>
            <w:tcW w:w="2620" w:type="dxa"/>
            <w:vAlign w:val="bottom"/>
            <w:gridSpan w:val="4"/>
          </w:tcPr>
          <w:p>
            <w:pPr>
              <w:spacing w:after="0"/>
              <w:rPr>
                <w:sz w:val="20"/>
                <w:szCs w:val="20"/>
                <w:color w:val="auto"/>
              </w:rPr>
            </w:pPr>
            <w:r>
              <w:rPr>
                <w:rFonts w:ascii="Arial" w:cs="Arial" w:eastAsia="Arial" w:hAnsi="Arial"/>
                <w:sz w:val="18"/>
                <w:szCs w:val="18"/>
                <w:b w:val="1"/>
                <w:bCs w:val="1"/>
                <w:color w:val="auto"/>
              </w:rPr>
              <w:t>Investor Relations Firm:</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Jonathan Medved</w:t>
            </w:r>
          </w:p>
        </w:tc>
        <w:tc>
          <w:tcPr>
            <w:tcW w:w="5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gridSpan w:val="3"/>
            <w:vMerge w:val="continue"/>
          </w:tcPr>
          <w:p>
            <w:pPr>
              <w:spacing w:after="0"/>
              <w:rPr>
                <w:sz w:val="19"/>
                <w:szCs w:val="19"/>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w w:val="96"/>
              </w:rPr>
              <w:t>Crescendo Communications, LLC</w:t>
            </w:r>
          </w:p>
        </w:tc>
        <w:tc>
          <w:tcPr>
            <w:tcW w:w="0" w:type="dxa"/>
            <w:vAlign w:val="bottom"/>
          </w:tcPr>
          <w:p>
            <w:pPr>
              <w:spacing w:after="0"/>
              <w:rPr>
                <w:sz w:val="1"/>
                <w:szCs w:val="1"/>
                <w:color w:val="auto"/>
              </w:rPr>
            </w:pPr>
          </w:p>
        </w:tc>
      </w:tr>
      <w:tr>
        <w:trPr>
          <w:trHeight w:val="222"/>
        </w:trPr>
        <w:tc>
          <w:tcPr>
            <w:tcW w:w="5960" w:type="dxa"/>
            <w:vAlign w:val="bottom"/>
            <w:gridSpan w:val="3"/>
          </w:tcPr>
          <w:p>
            <w:pPr>
              <w:spacing w:after="0"/>
              <w:rPr>
                <w:sz w:val="20"/>
                <w:szCs w:val="20"/>
                <w:color w:val="auto"/>
              </w:rPr>
            </w:pPr>
            <w:r>
              <w:rPr>
                <w:rFonts w:ascii="Arial" w:cs="Arial" w:eastAsia="Arial" w:hAnsi="Arial"/>
                <w:sz w:val="18"/>
                <w:szCs w:val="18"/>
                <w:color w:val="auto"/>
              </w:rPr>
              <w:t>CEO</w:t>
            </w:r>
          </w:p>
        </w:tc>
        <w:tc>
          <w:tcPr>
            <w:tcW w:w="2620" w:type="dxa"/>
            <w:vAlign w:val="bottom"/>
            <w:gridSpan w:val="4"/>
          </w:tcPr>
          <w:p>
            <w:pPr>
              <w:spacing w:after="0"/>
              <w:rPr>
                <w:sz w:val="20"/>
                <w:szCs w:val="20"/>
                <w:color w:val="auto"/>
              </w:rPr>
            </w:pPr>
            <w:r>
              <w:rPr>
                <w:rFonts w:ascii="Arial" w:cs="Arial" w:eastAsia="Arial" w:hAnsi="Arial"/>
                <w:sz w:val="18"/>
                <w:szCs w:val="18"/>
                <w:b w:val="1"/>
                <w:bCs w:val="1"/>
                <w:color w:val="auto"/>
                <w:w w:val="90"/>
              </w:rPr>
              <w:t>John J. Quirk / David K. Waldman</w:t>
            </w:r>
          </w:p>
        </w:tc>
        <w:tc>
          <w:tcPr>
            <w:tcW w:w="0" w:type="dxa"/>
            <w:vAlign w:val="bottom"/>
          </w:tcPr>
          <w:p>
            <w:pPr>
              <w:spacing w:after="0"/>
              <w:rPr>
                <w:sz w:val="1"/>
                <w:szCs w:val="1"/>
                <w:color w:val="auto"/>
              </w:rPr>
            </w:pPr>
          </w:p>
        </w:tc>
      </w:tr>
      <w:tr>
        <w:trPr>
          <w:trHeight w:val="184"/>
        </w:trPr>
        <w:tc>
          <w:tcPr>
            <w:tcW w:w="5960" w:type="dxa"/>
            <w:vAlign w:val="bottom"/>
            <w:gridSpan w:val="3"/>
          </w:tcPr>
          <w:p>
            <w:pPr>
              <w:spacing w:after="0" w:line="184" w:lineRule="exact"/>
              <w:rPr>
                <w:sz w:val="20"/>
                <w:szCs w:val="20"/>
                <w:color w:val="auto"/>
              </w:rPr>
            </w:pPr>
            <w:r>
              <w:rPr>
                <w:rFonts w:ascii="Arial" w:cs="Arial" w:eastAsia="Arial" w:hAnsi="Arial"/>
                <w:sz w:val="18"/>
                <w:szCs w:val="18"/>
                <w:color w:val="auto"/>
              </w:rPr>
              <w:t>Email: jon@vringo.com</w:t>
            </w:r>
          </w:p>
        </w:tc>
        <w:tc>
          <w:tcPr>
            <w:tcW w:w="2620" w:type="dxa"/>
            <w:vAlign w:val="bottom"/>
            <w:gridSpan w:val="4"/>
          </w:tcPr>
          <w:p>
            <w:pPr>
              <w:spacing w:after="0" w:line="184" w:lineRule="exact"/>
              <w:rPr>
                <w:sz w:val="20"/>
                <w:szCs w:val="20"/>
                <w:color w:val="auto"/>
              </w:rPr>
            </w:pPr>
            <w:r>
              <w:rPr>
                <w:rFonts w:ascii="Arial" w:cs="Arial" w:eastAsia="Arial" w:hAnsi="Arial"/>
                <w:sz w:val="18"/>
                <w:szCs w:val="18"/>
                <w:color w:val="auto"/>
              </w:rPr>
              <w:t>Email: vrng@crescendo-ir.com</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gridSpan w:val="3"/>
          </w:tcPr>
          <w:p>
            <w:pPr>
              <w:spacing w:after="0"/>
              <w:rPr>
                <w:sz w:val="20"/>
                <w:szCs w:val="20"/>
                <w:color w:val="auto"/>
              </w:rPr>
            </w:pPr>
            <w:r>
              <w:rPr>
                <w:rFonts w:ascii="Arial" w:cs="Arial" w:eastAsia="Arial" w:hAnsi="Arial"/>
                <w:sz w:val="18"/>
                <w:szCs w:val="18"/>
                <w:color w:val="auto"/>
              </w:rPr>
              <w:t>Phone: +1 646-525-4319 x 2501</w:t>
            </w:r>
          </w:p>
        </w:tc>
        <w:tc>
          <w:tcPr>
            <w:tcW w:w="2620" w:type="dxa"/>
            <w:vAlign w:val="bottom"/>
            <w:gridSpan w:val="4"/>
          </w:tcPr>
          <w:p>
            <w:pPr>
              <w:spacing w:after="0"/>
              <w:rPr>
                <w:sz w:val="20"/>
                <w:szCs w:val="20"/>
                <w:color w:val="auto"/>
              </w:rPr>
            </w:pPr>
            <w:r>
              <w:rPr>
                <w:rFonts w:ascii="Arial" w:cs="Arial" w:eastAsia="Arial" w:hAnsi="Arial"/>
                <w:sz w:val="18"/>
                <w:szCs w:val="18"/>
                <w:color w:val="auto"/>
              </w:rPr>
              <w:t>Phone: +1 212-671-1020</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Vringo to launch Video Ringtone Platform for Orange (UK) Subscribers</w:t>
      </w:r>
    </w:p>
    <w:p>
      <w:pPr>
        <w:spacing w:after="0" w:line="177"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Partnership with UK-Based Carrier Marks First European Launch</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with Major Carrier for Video Ringtone Platform</w:t>
      </w:r>
    </w:p>
    <w:p>
      <w:pPr>
        <w:spacing w:after="0" w:line="15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August 25, 2010 – NEW YORK </w:t>
      </w:r>
      <w:r>
        <w:rPr>
          <w:rFonts w:ascii="Arial" w:cs="Arial" w:eastAsia="Arial" w:hAnsi="Arial"/>
          <w:sz w:val="18"/>
          <w:szCs w:val="18"/>
          <w:color w:val="auto"/>
        </w:rPr>
        <w:t>– Vringo, Inc., (NYSE Amex: VRNG) a provider of video ringtones and personalization solutions for mobile devices,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a major carrier partnership with Everything Everywhere Limited, the UK’s largest mobile communications company. Everything Everywhere Limited is a company jointly owned by France Telecom and Deutsche Telecom that operates both Orange (UK) and T-Mobile (UK) mobile brands. Through this exciting new partnership, Vringo’s video ringtone service will be made available to a combined customer base of over 30 million customers. The initial Vringo launch will be for Orange UK customers only.</w:t>
      </w:r>
    </w:p>
    <w:p>
      <w:pPr>
        <w:spacing w:after="0" w:line="1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upcoming launch with Orange UK represents an important milestone for Vringo,” said Jon Medved, Vringo’s Chief Executive Officer. “We are excited to work with Everything Everywhere Limited, Britain’s leading communication company and look forward to operating in the UK which is one of the most dynamic mobile markets in the world.”</w:t>
      </w:r>
    </w:p>
    <w:p>
      <w:pPr>
        <w:spacing w:after="0" w:line="14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Vringo and Everything Everywhere Limited will initially deliver a video ringtone experience directly through the Orange brand. The service will consist of a Web, WAP and mobile app experience that enable customers to receive the best video ringtones available and share them with their friends.</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“This commercial agreement with Vringo provides us with an easy-to-integrate, fun and exciting way to engage our customers and further differentiate our cutting-edge services,” said Deborah Tonroe, Head of Entertainment and Information of Orange UK.</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new Vringo service for Orange UK customers will offer all of the Vringo platform’s service capabilities with full access to Vringo’s extensive content library of over 5,000 video ringtone clips. The new service will be rolled out in the fourth quarter.</w:t>
      </w:r>
    </w:p>
    <w:p>
      <w:pPr>
        <w:spacing w:after="0" w:line="132"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Vringo’s fully hosted carrier platform has now been deployed for international mobile partners in five markets. Vringo’s scalable cloud based distributed application architecture enables the carrier’s subscribers to browse and download mobile videos, set them as video ringtones, and instantly share them with friends. In addition to carrier partners, Vringo has content partnerships with major content providers including T-Pain, Turner, Marvel, Discovery Mobile, Ingrooves and Agence France-Presse.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Everything Everywhere Limited</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Everything Everywhere Limited is the company running two of the UK’s most famous brands: T-Mobile (UK) and Orange (UK). Owned jointly by Deutsche Telekom and France Telecom respectively, Everything Everywhere Limited is the UK’s biggest communications company with a combined customer base of over 30 million people and 700 retail stores across the country. Everything Everywhere Limited plans to transform the industry by giving customers instant access to everything everywhere, offering the best value, best choice and best network experience in the country.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on Everything Everywhere, please call the Media Centre on +011 44 870 373 1500, or visit </w:t>
      </w:r>
      <w:r>
        <w:rPr>
          <w:rFonts w:ascii="Arial" w:cs="Arial" w:eastAsia="Arial" w:hAnsi="Arial"/>
          <w:sz w:val="16"/>
          <w:szCs w:val="16"/>
          <w:u w:val="single" w:color="auto"/>
          <w:color w:val="auto"/>
        </w:rPr>
        <w:t>www.everythingeverywhere.com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Founded in 2006, Vringo (NYSE Amex: VRNG) is bringing about the evolution of ringtones. With its award-winning video ringtone application and mobile software platform, Vringo transforms the basic act of making and receiving mobile phone calls into a highly visual, social experience. By installing Vringo’s application, which is compatible with more than 200 handsets, users can create or take video, images and slideshows from virtually anywhere and make it into their personal call signature. Vringo’s patented VringForward™ technology allows users to share video clips with friends with a simple call. Vringo has launched its service with various international mobile operators and dozens of content partners, and maintains a library of more than 5,000 video ringtones. For more information, visit </w:t>
      </w:r>
      <w:r>
        <w:rPr>
          <w:rFonts w:ascii="Arial" w:cs="Arial" w:eastAsia="Arial" w:hAnsi="Arial"/>
          <w:sz w:val="18"/>
          <w:szCs w:val="18"/>
          <w:u w:val="single" w:color="auto"/>
          <w:color w:val="auto"/>
        </w:rPr>
        <w:t>http://ir.vringo.com</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how video ringtones work, visit </w:t>
      </w:r>
      <w:r>
        <w:rPr>
          <w:rFonts w:ascii="Arial" w:cs="Arial" w:eastAsia="Arial" w:hAnsi="Arial"/>
          <w:sz w:val="18"/>
          <w:szCs w:val="18"/>
          <w:u w:val="single" w:color="auto"/>
          <w:color w:val="auto"/>
        </w:rPr>
        <w:t>www.vringo.com/p_video_ringtones.html</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results of new information, future events or otherwise, except as required by 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2019-12-11T04:26:50Z</dcterms:created>
  <dcterms:modified xsi:type="dcterms:W3CDTF">2019-12-11T04:26:50Z</dcterms:modified>
</cp:coreProperties>
</file>