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both"/>
        <w:spacing w:after="0" w:line="314" w:lineRule="auto"/>
        <w:rPr>
          <w:sz w:val="20"/>
          <w:szCs w:val="20"/>
          <w:color w:val="auto"/>
        </w:rPr>
      </w:pPr>
      <w:r>
        <w:rPr>
          <w:rFonts w:ascii="Arial" w:cs="Arial" w:eastAsia="Arial" w:hAnsi="Arial"/>
          <w:sz w:val="16"/>
          <w:szCs w:val="16"/>
          <w:b w:val="1"/>
          <w:bCs w:val="1"/>
          <w:color w:val="FF0000"/>
        </w:rPr>
        <w:t>The information in this preliminary prospectus supplement is not complete and may be changed. A registration statement relating to these securities has been declared effective by the Securities and Exchange Commission. This preliminary prospectus supplement and accompanying prospectus are not offers to sell these securities nor do they solicit an offer to buy these securities in any state where an offer or sale is not permitted.</w:t>
      </w:r>
    </w:p>
    <w:p>
      <w:pPr>
        <w:spacing w:after="0" w:line="14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333-205303</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FF0000"/>
        </w:rPr>
        <w:t>SUBJECT TO COMPLETION, DATED JULY 26,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 (To Prospectus dated July 23, 2015)</w:t>
      </w:r>
    </w:p>
    <w:p>
      <w:pPr>
        <w:spacing w:after="0" w:line="225"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154940</wp:posOffset>
            </wp:positionV>
            <wp:extent cx="107188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88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offering shares of our common stock, par value $0.01 per share (the “common stock”), pursuant to this prospectus supplement and the accompanying prospectus.</w:t>
      </w:r>
    </w:p>
    <w:p>
      <w:pPr>
        <w:spacing w:after="0" w:line="170"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trading symbol “FH.” On July 25, 2017, the last reported sale price of our common stock was $1.36 per share.</w:t>
      </w:r>
    </w:p>
    <w:p>
      <w:pPr>
        <w:spacing w:after="0" w:line="170"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offering is being underwritten on a firm commitment basis. We have granted the underwriters an option for a period of 30 days from the date of this prospectus supplement to purchase up to an additional shares of common stock, solely to cover over-allotments, if any.</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345"/>
        </w:trPr>
        <w:tc>
          <w:tcPr>
            <w:tcW w:w="7780" w:type="dxa"/>
            <w:vAlign w:val="bottom"/>
          </w:tcPr>
          <w:p>
            <w:pPr>
              <w:spacing w:after="0"/>
              <w:rPr>
                <w:sz w:val="24"/>
                <w:szCs w:val="24"/>
                <w:color w:val="auto"/>
              </w:rPr>
            </w:pPr>
          </w:p>
        </w:tc>
        <w:tc>
          <w:tcPr>
            <w:tcW w:w="1600" w:type="dxa"/>
            <w:vAlign w:val="bottom"/>
          </w:tcPr>
          <w:p>
            <w:pPr>
              <w:jc w:val="right"/>
              <w:ind w:right="261"/>
              <w:spacing w:after="0"/>
              <w:rPr>
                <w:sz w:val="20"/>
                <w:szCs w:val="20"/>
                <w:color w:val="auto"/>
              </w:rPr>
            </w:pPr>
            <w:r>
              <w:rPr>
                <w:rFonts w:ascii="Arial" w:cs="Arial" w:eastAsia="Arial" w:hAnsi="Arial"/>
                <w:sz w:val="18"/>
                <w:szCs w:val="18"/>
                <w:b w:val="1"/>
                <w:bCs w:val="1"/>
                <w:color w:val="auto"/>
              </w:rPr>
              <w:t>Per Share</w:t>
            </w:r>
            <w:r>
              <w:rPr>
                <w:rFonts w:ascii="Arial" w:cs="Arial" w:eastAsia="Arial" w:hAnsi="Arial"/>
                <w:sz w:val="30"/>
                <w:szCs w:val="30"/>
                <w:b w:val="1"/>
                <w:bCs w:val="1"/>
                <w:color w:val="auto"/>
                <w:vertAlign w:val="superscript"/>
              </w:rPr>
              <w:t>(1)</w:t>
            </w:r>
          </w:p>
        </w:tc>
        <w:tc>
          <w:tcPr>
            <w:tcW w:w="360" w:type="dxa"/>
            <w:vAlign w:val="bottom"/>
          </w:tcPr>
          <w:p>
            <w:pPr>
              <w:spacing w:after="0"/>
              <w:rPr>
                <w:sz w:val="24"/>
                <w:szCs w:val="24"/>
                <w:color w:val="auto"/>
              </w:rPr>
            </w:pPr>
          </w:p>
        </w:tc>
        <w:tc>
          <w:tcPr>
            <w:tcW w:w="1680" w:type="dxa"/>
            <w:vAlign w:val="bottom"/>
            <w:gridSpan w:val="2"/>
          </w:tcPr>
          <w:p>
            <w:pPr>
              <w:ind w:left="580"/>
              <w:spacing w:after="0"/>
              <w:rPr>
                <w:sz w:val="20"/>
                <w:szCs w:val="20"/>
                <w:color w:val="auto"/>
              </w:rPr>
            </w:pPr>
            <w:r>
              <w:rPr>
                <w:rFonts w:ascii="Arial" w:cs="Arial" w:eastAsia="Arial" w:hAnsi="Arial"/>
                <w:sz w:val="18"/>
                <w:szCs w:val="18"/>
                <w:b w:val="1"/>
                <w:bCs w:val="1"/>
                <w:color w:val="auto"/>
              </w:rPr>
              <w:t>Total</w:t>
            </w: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Public Offering price</w:t>
            </w:r>
          </w:p>
        </w:tc>
        <w:tc>
          <w:tcPr>
            <w:tcW w:w="1600" w:type="dxa"/>
            <w:vAlign w:val="bottom"/>
            <w:tcBorders>
              <w:top w:val="single" w:sz="8" w:color="auto"/>
            </w:tcBorders>
            <w:shd w:val="clear" w:color="auto" w:fill="CCEEFF"/>
          </w:tcPr>
          <w:p>
            <w:pPr>
              <w:jc w:val="right"/>
              <w:ind w:right="1441"/>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417"/>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b w:val="1"/>
                <w:bCs w:val="1"/>
                <w:color w:val="auto"/>
              </w:rPr>
              <w:t>Underwriting discount and commissions</w:t>
            </w:r>
          </w:p>
        </w:tc>
        <w:tc>
          <w:tcPr>
            <w:tcW w:w="1600" w:type="dxa"/>
            <w:vAlign w:val="bottom"/>
          </w:tcPr>
          <w:p>
            <w:pPr>
              <w:jc w:val="right"/>
              <w:ind w:right="1441"/>
              <w:spacing w:after="0"/>
              <w:rPr>
                <w:sz w:val="20"/>
                <w:szCs w:val="20"/>
                <w:color w:val="auto"/>
              </w:rPr>
            </w:pPr>
            <w:r>
              <w:rPr>
                <w:rFonts w:ascii="Arial" w:cs="Arial" w:eastAsia="Arial" w:hAnsi="Arial"/>
                <w:sz w:val="15"/>
                <w:szCs w:val="15"/>
                <w:b w:val="1"/>
                <w:bCs w:val="1"/>
                <w:color w:val="auto"/>
                <w:w w:val="71"/>
              </w:rPr>
              <w:t>$</w:t>
            </w:r>
          </w:p>
        </w:tc>
        <w:tc>
          <w:tcPr>
            <w:tcW w:w="1940" w:type="dxa"/>
            <w:vAlign w:val="bottom"/>
            <w:gridSpan w:val="2"/>
          </w:tcPr>
          <w:p>
            <w:pPr>
              <w:jc w:val="right"/>
              <w:ind w:right="141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before expenses, to us</w:t>
            </w:r>
          </w:p>
        </w:tc>
        <w:tc>
          <w:tcPr>
            <w:tcW w:w="1600" w:type="dxa"/>
            <w:vAlign w:val="bottom"/>
            <w:shd w:val="clear" w:color="auto" w:fill="CCEEFF"/>
          </w:tcPr>
          <w:p>
            <w:pPr>
              <w:jc w:val="right"/>
              <w:ind w:right="1441"/>
              <w:spacing w:after="0"/>
              <w:rPr>
                <w:sz w:val="20"/>
                <w:szCs w:val="20"/>
                <w:color w:val="auto"/>
              </w:rPr>
            </w:pPr>
            <w:r>
              <w:rPr>
                <w:rFonts w:ascii="Arial" w:cs="Arial" w:eastAsia="Arial" w:hAnsi="Arial"/>
                <w:sz w:val="15"/>
                <w:szCs w:val="15"/>
                <w:b w:val="1"/>
                <w:bCs w:val="1"/>
                <w:color w:val="auto"/>
                <w:w w:val="71"/>
              </w:rPr>
              <w:t>$</w:t>
            </w:r>
          </w:p>
        </w:tc>
        <w:tc>
          <w:tcPr>
            <w:tcW w:w="1940" w:type="dxa"/>
            <w:vAlign w:val="bottom"/>
            <w:gridSpan w:val="2"/>
            <w:shd w:val="clear" w:color="auto" w:fill="CCEEFF"/>
          </w:tcPr>
          <w:p>
            <w:pPr>
              <w:jc w:val="right"/>
              <w:ind w:right="1417"/>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395"/>
        </w:trPr>
        <w:tc>
          <w:tcPr>
            <w:tcW w:w="7780" w:type="dxa"/>
            <w:vAlign w:val="bottom"/>
          </w:tcPr>
          <w:p>
            <w:pPr>
              <w:spacing w:after="0"/>
              <w:rPr>
                <w:sz w:val="20"/>
                <w:szCs w:val="20"/>
                <w:color w:val="auto"/>
              </w:rPr>
            </w:pPr>
            <w:r>
              <w:rPr>
                <w:rFonts w:ascii="Arial" w:cs="Arial" w:eastAsia="Arial" w:hAnsi="Arial"/>
                <w:sz w:val="15"/>
                <w:szCs w:val="15"/>
                <w:b w:val="1"/>
                <w:bCs w:val="1"/>
                <w:color w:val="auto"/>
              </w:rPr>
              <w:t>_______________</w:t>
            </w: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50" w:lineRule="exact"/>
        <w:rPr>
          <w:sz w:val="24"/>
          <w:szCs w:val="24"/>
          <w:color w:val="auto"/>
        </w:rPr>
      </w:pPr>
    </w:p>
    <w:p>
      <w:pPr>
        <w:ind w:left="180" w:hanging="172"/>
        <w:spacing w:after="0" w:line="194" w:lineRule="auto"/>
        <w:tabs>
          <w:tab w:leader="none" w:pos="13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See the section entitled “Underwriting” beginning on page S-17 of this prospectus supplement for additional information about the expenses for which we have agreed to reimburse the underwriters in connection with this offering.</w:t>
      </w:r>
    </w:p>
    <w:p>
      <w:pPr>
        <w:spacing w:after="0" w:line="202"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aggregate market value of our outstanding common stock held by non-affiliates, or the public float, was approximately $29,370,729, which was calculated based on 19,565,531 shares of outstanding common stock, of which 16,226,922 shares are held by non-affiliates, as of June 30, 2017 and a per share price of $1.81, the closing sale price of our common stock on June 23, 2017. Excluding the shares being sold in this offering, we have not offered any securities pursuant to General Instruction I.B.6. of Form S-3 during the prior 12 calendar month period that ends on and includes the date of this prospectus supplement.</w:t>
      </w:r>
    </w:p>
    <w:p>
      <w:pPr>
        <w:spacing w:after="0" w:line="188"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both"/>
        <w:ind w:firstLine="648"/>
        <w:spacing w:after="0" w:line="266" w:lineRule="auto"/>
        <w:rPr>
          <w:sz w:val="20"/>
          <w:szCs w:val="20"/>
          <w:color w:val="auto"/>
        </w:rPr>
      </w:pPr>
      <w:r>
        <w:rPr>
          <w:rFonts w:ascii="Arial" w:cs="Arial" w:eastAsia="Arial" w:hAnsi="Arial"/>
          <w:sz w:val="18"/>
          <w:szCs w:val="18"/>
          <w:b w:val="1"/>
          <w:bCs w:val="1"/>
          <w:color w:val="auto"/>
        </w:rPr>
        <w:t>Investing in our common stock involves significant risks. See “Risk Factors” beginning on page S-8 of this prospectus supplement and page 10 of the accompanying prospectus as well as in our periodic reports filed with the U.S. Securities and Exchange Commission and incorporated by reference to this prospectus supplement and the accompanying prospectus.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Neither the U.S. Securities and Exchange Commission nor any other regulatory body has approved or disapproved of the shares of common stock, or passed upon the accuracy or adequacy of this prospectus supplement or the accompanying prospectus. Any representation to the contrary is a criminal offense.</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960" w:type="dxa"/>
            <w:vAlign w:val="bottom"/>
          </w:tcPr>
          <w:p>
            <w:pPr>
              <w:spacing w:after="0"/>
              <w:rPr>
                <w:sz w:val="20"/>
                <w:szCs w:val="20"/>
                <w:color w:val="auto"/>
              </w:rPr>
            </w:pPr>
            <w:r>
              <w:rPr>
                <w:rFonts w:ascii="Arial" w:cs="Arial" w:eastAsia="Arial" w:hAnsi="Arial"/>
                <w:sz w:val="18"/>
                <w:szCs w:val="18"/>
                <w:color w:val="auto"/>
                <w:w w:val="92"/>
              </w:rPr>
              <w:t>The underwriters expect to deliver the shares of common stock against payment in New York, New York on or about July</w:t>
            </w:r>
          </w:p>
        </w:tc>
        <w:tc>
          <w:tcPr>
            <w:tcW w:w="70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Roth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ind w:left="4100"/>
              <w:spacing w:after="0"/>
              <w:rPr>
                <w:sz w:val="20"/>
                <w:szCs w:val="20"/>
                <w:color w:val="auto"/>
              </w:rPr>
            </w:pPr>
            <w:r>
              <w:rPr>
                <w:rFonts w:ascii="Arial" w:cs="Arial" w:eastAsia="Arial" w:hAnsi="Arial"/>
                <w:sz w:val="18"/>
                <w:szCs w:val="18"/>
                <w:color w:val="auto"/>
                <w:w w:val="93"/>
              </w:rPr>
              <w:t>Prospectus Supplement dated July</w:t>
            </w:r>
          </w:p>
        </w:tc>
        <w:tc>
          <w:tcPr>
            <w:tcW w:w="4700" w:type="dxa"/>
            <w:vAlign w:val="bottom"/>
          </w:tcPr>
          <w:p>
            <w:pPr>
              <w:jc w:val="right"/>
              <w:ind w:right="4010"/>
              <w:spacing w:after="0"/>
              <w:rPr>
                <w:sz w:val="20"/>
                <w:szCs w:val="20"/>
                <w:color w:val="auto"/>
              </w:rPr>
            </w:pPr>
            <w:r>
              <w:rPr>
                <w:rFonts w:ascii="Arial" w:cs="Arial" w:eastAsia="Arial" w:hAnsi="Arial"/>
                <w:sz w:val="18"/>
                <w:szCs w:val="18"/>
                <w:color w:val="auto"/>
              </w:rPr>
              <w:t>, 2017</w:t>
            </w:r>
          </w:p>
        </w:tc>
      </w:tr>
      <w:tr>
        <w:trPr>
          <w:trHeight w:val="675"/>
        </w:trPr>
        <w:tc>
          <w:tcPr>
            <w:tcW w:w="6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00" w:type="dxa"/>
            <w:vAlign w:val="bottom"/>
            <w:gridSpan w:val="3"/>
          </w:tcPr>
          <w:p>
            <w:pPr>
              <w:jc w:val="center"/>
              <w:ind w:right="1820"/>
              <w:spacing w:after="0"/>
              <w:rPr>
                <w:sz w:val="20"/>
                <w:szCs w:val="20"/>
                <w:color w:val="auto"/>
              </w:rPr>
            </w:pPr>
            <w:r>
              <w:rPr>
                <w:rFonts w:ascii="Arial" w:cs="Arial" w:eastAsia="Arial" w:hAnsi="Arial"/>
                <w:sz w:val="18"/>
                <w:szCs w:val="18"/>
                <w:b w:val="1"/>
                <w:bCs w:val="1"/>
                <w:color w:val="auto"/>
                <w:w w:val="98"/>
              </w:rPr>
              <w:t>TABLE OF CONTENTS</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00" w:type="dxa"/>
            <w:vAlign w:val="bottom"/>
            <w:gridSpan w:val="3"/>
          </w:tcPr>
          <w:p>
            <w:pPr>
              <w:jc w:val="center"/>
              <w:ind w:right="1820"/>
              <w:spacing w:after="0"/>
              <w:rPr>
                <w:sz w:val="20"/>
                <w:szCs w:val="20"/>
                <w:color w:val="auto"/>
              </w:rPr>
            </w:pPr>
            <w:r>
              <w:rPr>
                <w:rFonts w:ascii="Arial" w:cs="Arial" w:eastAsia="Arial" w:hAnsi="Arial"/>
                <w:sz w:val="18"/>
                <w:szCs w:val="18"/>
                <w:b w:val="1"/>
                <w:bCs w:val="1"/>
                <w:color w:val="auto"/>
                <w:w w:val="87"/>
              </w:rPr>
              <w:t>Prospectus Supplement</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USE OF NON-GAAP FINANCIAL MEASURES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8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PROSPECTUS SUPPLEMENT SUMMARY</w:t>
              </w:r>
            </w:hyperlink>
          </w:p>
        </w:tc>
        <w:tc>
          <w:tcPr>
            <w:tcW w:w="5580" w:type="dxa"/>
            <w:vAlign w:val="bottom"/>
            <w:tcBorders>
              <w:bottom w:val="single" w:sz="8" w:color="CCEEFF"/>
            </w:tcBorders>
            <w:gridSpan w:val="9"/>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THE OFFERING</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S-5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SPECIAL NOTE REGARDING FORWARD-LOOKING INFORMATION</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tcBorders>
              <w:top w:val="single" w:sz="8" w:color="0000EE"/>
            </w:tcBorders>
            <w:gridSpan w:val="25"/>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440" w:type="dxa"/>
            <w:vAlign w:val="bottom"/>
            <w:tcBorders>
              <w:top w:val="single" w:sz="8" w:color="CCEEFF"/>
            </w:tcBorders>
          </w:tcPr>
          <w:p>
            <w:pPr>
              <w:spacing w:after="0"/>
              <w:rPr>
                <w:sz w:val="15"/>
                <w:szCs w:val="15"/>
                <w:color w:val="auto"/>
              </w:rPr>
            </w:pPr>
          </w:p>
        </w:tc>
        <w:tc>
          <w:tcPr>
            <w:tcW w:w="25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S-8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USE OF PROCEEDS</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DIVIDEND POLICY</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S-14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DILUTION</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CAPITALIZATION</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S-16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UNDERWRITING</w:t>
              </w:r>
            </w:hyperlink>
          </w:p>
        </w:tc>
        <w:tc>
          <w:tcPr>
            <w:tcW w:w="7480" w:type="dxa"/>
            <w:vAlign w:val="bottom"/>
            <w:tcBorders>
              <w:bottom w:val="single" w:sz="8" w:color="CCEEFF"/>
            </w:tcBorders>
            <w:gridSpan w:val="21"/>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MATTERS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S-22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EXPERTS</w:t>
              </w:r>
            </w:hyperlink>
          </w:p>
        </w:tc>
        <w:tc>
          <w:tcPr>
            <w:tcW w:w="8100" w:type="dxa"/>
            <w:vAlign w:val="bottom"/>
            <w:tcBorders>
              <w:bottom w:val="single" w:sz="8" w:color="CCEEFF"/>
            </w:tcBorders>
            <w:gridSpan w:val="2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WHERE YOU CAN FIND MORE INFORMATION</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S-22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INCORPORATION BY REFERENCE</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500" w:type="dxa"/>
            <w:vAlign w:val="bottom"/>
            <w:tcBorders>
              <w:top w:val="single" w:sz="8" w:color="CCEEFF"/>
            </w:tcBorders>
            <w:gridSpan w:val="3"/>
          </w:tcPr>
          <w:p>
            <w:pPr>
              <w:jc w:val="center"/>
              <w:ind w:right="1820"/>
              <w:spacing w:after="0"/>
              <w:rPr>
                <w:sz w:val="20"/>
                <w:szCs w:val="20"/>
                <w:color w:val="auto"/>
              </w:rPr>
            </w:pPr>
            <w:r>
              <w:rPr>
                <w:rFonts w:ascii="Arial" w:cs="Arial" w:eastAsia="Arial" w:hAnsi="Arial"/>
                <w:sz w:val="18"/>
                <w:szCs w:val="18"/>
                <w:b w:val="1"/>
                <w:bCs w:val="1"/>
                <w:color w:val="auto"/>
                <w:w w:val="85"/>
              </w:rPr>
              <w:t>Prospectus</w:t>
            </w:r>
          </w:p>
        </w:tc>
        <w:tc>
          <w:tcPr>
            <w:tcW w:w="25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ABOUT THIS PROSPECTUS</w:t>
              </w:r>
            </w:hyperlink>
          </w:p>
        </w:tc>
        <w:tc>
          <w:tcPr>
            <w:tcW w:w="6640" w:type="dxa"/>
            <w:vAlign w:val="bottom"/>
            <w:tcBorders>
              <w:bottom w:val="single" w:sz="8" w:color="CCEEFF"/>
            </w:tcBorders>
            <w:gridSpan w:val="14"/>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PROSPECTUS SUMMARY</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RISK FACTORS</w:t>
              </w:r>
            </w:hyperlink>
          </w:p>
        </w:tc>
        <w:tc>
          <w:tcPr>
            <w:tcW w:w="7620" w:type="dxa"/>
            <w:vAlign w:val="bottom"/>
            <w:tcBorders>
              <w:bottom w:val="single" w:sz="8" w:color="CCEEFF"/>
            </w:tcBorders>
            <w:gridSpan w:val="23"/>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SPECIAL NOTE REGARDING FORWARD-LOOKING STATEMENTS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RATIO OF EARNINGS TO FIXED CHARGES</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8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5380" w:type="dxa"/>
            <w:vAlign w:val="bottom"/>
            <w:tcBorders>
              <w:top w:val="single" w:sz="8" w:color="CCEEFF"/>
            </w:tcBorders>
            <w:gridSpan w:val="7"/>
          </w:tcPr>
          <w:p>
            <w:pPr>
              <w:spacing w:after="0"/>
              <w:rPr>
                <w:sz w:val="15"/>
                <w:szCs w:val="15"/>
                <w:color w:val="auto"/>
              </w:rPr>
            </w:pPr>
          </w:p>
        </w:tc>
        <w:tc>
          <w:tcPr>
            <w:tcW w:w="25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PLAN OF DISTRIBUTION</w:t>
              </w:r>
            </w:hyperlink>
          </w:p>
        </w:tc>
        <w:tc>
          <w:tcPr>
            <w:tcW w:w="6820" w:type="dxa"/>
            <w:vAlign w:val="bottom"/>
            <w:tcBorders>
              <w:bottom w:val="single" w:sz="8" w:color="CCEEFF"/>
            </w:tcBorders>
            <w:gridSpan w:val="17"/>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CAPITAL STOCK</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2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DESCRIPTION OF DEBT SECURITIES</w:t>
              </w:r>
            </w:hyperlink>
          </w:p>
        </w:tc>
        <w:tc>
          <w:tcPr>
            <w:tcW w:w="5840" w:type="dxa"/>
            <w:vAlign w:val="bottom"/>
            <w:tcBorders>
              <w:bottom w:val="single" w:sz="8" w:color="CCEEFF"/>
            </w:tcBorders>
            <w:gridSpan w:val="10"/>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WARRANTS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RIGHTS</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PURCHASE CONTRACTS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UNITS</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LEGAL MATTERS</w:t>
              </w:r>
            </w:hyperlink>
          </w:p>
        </w:tc>
        <w:tc>
          <w:tcPr>
            <w:tcW w:w="6860" w:type="dxa"/>
            <w:vAlign w:val="bottom"/>
            <w:tcBorders>
              <w:top w:val="single" w:sz="8" w:color="CCEEFF"/>
            </w:tcBorders>
            <w:gridSpan w:val="18"/>
          </w:tcPr>
          <w:p>
            <w:pPr>
              <w:spacing w:after="0"/>
              <w:rPr>
                <w:sz w:val="15"/>
                <w:szCs w:val="15"/>
                <w:color w:val="auto"/>
              </w:rPr>
            </w:pPr>
          </w:p>
        </w:tc>
        <w:tc>
          <w:tcPr>
            <w:tcW w:w="25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EXPERTS</w:t>
              </w:r>
            </w:hyperlink>
          </w:p>
        </w:tc>
        <w:tc>
          <w:tcPr>
            <w:tcW w:w="8100" w:type="dxa"/>
            <w:vAlign w:val="bottom"/>
            <w:tcBorders>
              <w:bottom w:val="single" w:sz="8" w:color="CCEEFF"/>
            </w:tcBorders>
            <w:gridSpan w:val="25"/>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60" w:type="dxa"/>
            <w:vAlign w:val="bottom"/>
            <w:gridSpan w:val="26"/>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WHERE YOU CAN FIND MORE INFORMATION</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60" w:type="dxa"/>
            <w:vAlign w:val="bottom"/>
            <w:gridSpan w:val="26"/>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INCORPORATION OF INFORMATION BY REFERENCE</w:t>
              </w:r>
            </w:hyperlink>
          </w:p>
        </w:tc>
        <w:tc>
          <w:tcPr>
            <w:tcW w:w="2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the securities we are offering. The second part, the accompanying prospectus, dated July 23, 2015, gives more general information about us. You should read this prospectus supplement and the accompanying prospectus, including the information incorporated by reference and any free writing prospectuses we have authorized for use in connection with this offering, in their entirety before making an investment decision.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along with the information contained in any free writing prospectuses we have authorized for use in connection with this offering. If the description of the offering varies between this prospectus supplement and the accompanying prospectus, you should rely on the information in this prospectus supplement. We have not authorized anyone to provide you with different or additional information. Under no circumstances should the delivery to you of this prospectus supplement and the accompanying prospectus or any sale made pursuant to this prospectus supplement and the accompanying prospectus create any implication that the information contained in this prospectus supplement or the accompanying prospectus is correct as of any time after the respective dates of such information.</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the context requires otherwise, the words “FORM Holdings,” “we,” the “Company,” “us” and “our” refer to FORM Holdings Corp. and its subsidiaries and the term “you” refers to a prospective investor.</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prospectus supplement and the accompanying prospectus, including the information incorporated by reference into this prospectus supplement and the accompanying prospectus, include trademarks, service marks and trade names owned by us or others. FORM Holdings, the FORM Holdings logo and other trademarks of FORM Holdings appearing in this prospectus supplement are the property of FORM Holdings. All other trademarks, service marks and trade names in this prospectus supplement are the property of their respective owners. We have omitted the ® and ™ designations, as applicable, for the trademarks used in this prospectus supplement or the accompanying prospectus.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GAAP and non-GAAP measurements in connection with our business. With respect to XpresSpa Holdings, LLC (“XpresSpa”), which is one of our wholly owned subsidiaries, we review on an ongoing basis Comp Store Sales (which we define as sales from XpresSpa locations (i.e. stores) open longer than a year compared to the same period sales of those stores a year ago). In addition, we monitor stores’ performance compared to our model store metrics. We define EBITDA as earnings before interest expense, income tax, depreciation and amortization expense and other non-recurring expenses. In addition, we define Adjusted EBITDA as earnings before interest expense, income tax, depreciation and amortization expense, excluding non-cash and non-recurring expenses (e.g. M&amp;A and integration related costs).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consider EBITDA and Adjusted EBITDA to be important indicators for the performance of our business, but not measures of performance or liquidity calculated in accordance with U.S. GAAP. We have included these non-GAAP financial measures because management utilizes this information for assessing our performance and liquidity, and as indicators of our ability to make capital expenditures and finance working capital requirements. Management believes that EBITDA and Adjusted EBITDA are measurements that are commonly used by analysts and some investors in evaluating the performance and liquidity of companies such as us. In particular, we believe that it is useful for analysts and investors to understand this relationship because it excludes transactions not related to our core cash operating activities. We believe that excluding these transactions allows investors to meaningfully analyze the performance of our core cash operations. EBITDA and Adjusted EBITDA should not be considered in isolation or as alternatives to cash flow from operating activities or as alternatives to operating income or as indicators of operating performance or any other measures of performance derived in accordance with GAAP. In evaluating our performance as measured by EBITDA, management recognizes and considers the limitations of this measurement. EBITDA and Adjusted EBITDA do not reflect our obligations for the payment of income taxes, interest expense, or other obligations such as capital expenditures. Accordingly, EBITDA and Adjusted EBITDA are only two of the measurements that management utilizes.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42175" cy="7413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2175" cy="741362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i w:val="1"/>
          <w:iCs w:val="1"/>
          <w:color w:val="auto"/>
        </w:rPr>
        <w:t>This summary highlights certain information about us, this offering and information appearing elsewhere in this prospectus supplement or the accompanying prospectus and in the documents we incorporate by reference. This summary is not complete and does not contain all of the information that you should consider before investing in our common stock. The following summary is qualified in its entirety by, and should be read in conjunction with, the more detailed information and financial statements and notes thereto appearing elsewhere in this prospectus supplement, the accompanying prospectus and the documents we incorporated by reference herein. Before you decide to invest in our common stock, to fully understand this offering and its consequences to you, you should carefully read the entire prospectus supplement and accompanying prospectus carefully, including the matters set forth under the caption “Risk Factors” beginning on page S-8 of this prospectus supplement and page 10 of the accompanying prospectus, and the consolidated financial statements and related notes included or incorporated by reference in this prospectus supplement, the accompanying prospectus and the other documents incorporated by reference herein and therein.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FORM Holdings Corp. focuses on acquiring and building companies that would benefit from:</w:t>
      </w:r>
    </w:p>
    <w:p>
      <w:pPr>
        <w:spacing w:after="0" w:line="225" w:lineRule="exact"/>
        <w:rPr>
          <w:sz w:val="20"/>
          <w:szCs w:val="20"/>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additional capital;</w:t>
      </w:r>
    </w:p>
    <w:p>
      <w:pPr>
        <w:spacing w:after="0" w:line="23" w:lineRule="exact"/>
        <w:rPr>
          <w:rFonts w:ascii="Arial" w:cs="Arial" w:eastAsia="Arial" w:hAnsi="Arial"/>
          <w:sz w:val="18"/>
          <w:szCs w:val="18"/>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exposure to visibility from the public markets;</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talent recruiting;</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rebranding; and</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implementation of best practices.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management team is committed to executing on our strategy. Our focus is on travel, health and wellness, and technology. We limit our scope by only looking at companies with a clear path for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currently have three operating segments:</w:t>
      </w:r>
    </w:p>
    <w:p>
      <w:pPr>
        <w:spacing w:after="0" w:line="225" w:lineRule="exact"/>
        <w:rPr>
          <w:sz w:val="20"/>
          <w:szCs w:val="20"/>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Wellness</w:t>
      </w:r>
    </w:p>
    <w:p>
      <w:pPr>
        <w:spacing w:after="0" w:line="23"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Wellness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wellness operating segment consists of XpresSpa, which is a leading airport retailer of spa services. We acquired XpresSpa on December 23, 2016. XpresSpa is a well-recognized and popular airport spa brand with approximately 50% market share in the United States and nearly three times the number of domestic locations as its closest competitor. It provides nearly 700,000 services per year. As of July 25, 2017, XpresSpa operated 52 total locations in 40 terminals and 23 airports in three countries, the United States, Netherlands, and United Arab Emirates. XpresSpa also sells wellness and travel products through its internet site, www.xpresspa.com. Key services and products include:</w:t>
      </w:r>
    </w:p>
    <w:p>
      <w:pPr>
        <w:spacing w:after="0" w:line="173" w:lineRule="exact"/>
        <w:rPr>
          <w:sz w:val="20"/>
          <w:szCs w:val="20"/>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w:t>
      </w:r>
    </w:p>
    <w:p>
      <w:pPr>
        <w:spacing w:after="0" w:line="23"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nail care, such as pedicures, manicures and polish changes; and</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travel products such as neck pillows, blankets, massage tools and eye masks.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over a decade, increased security requirements have led travelers to spend more time at the airport. In addition, in anticipation of the long and often stressful security lines, travelers allow for more time to get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5" w:name="page6"/>
    <w:bookmarkEnd w:id="5"/>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42175" cy="7482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2175" cy="7482205"/>
                    </a:xfrm>
                    <a:prstGeom prst="rect">
                      <a:avLst/>
                    </a:prstGeom>
                    <a:noFill/>
                  </pic:spPr>
                </pic:pic>
              </a:graphicData>
            </a:graphic>
          </wp:anchor>
        </w:drawing>
      </w:r>
    </w:p>
    <w:p>
      <w:pPr>
        <w:jc w:val="both"/>
        <w:ind w:left="120" w:right="140"/>
        <w:spacing w:after="0" w:line="277" w:lineRule="auto"/>
        <w:rPr>
          <w:sz w:val="20"/>
          <w:szCs w:val="20"/>
          <w:color w:val="auto"/>
        </w:rPr>
      </w:pPr>
      <w:r>
        <w:rPr>
          <w:rFonts w:ascii="Arial" w:cs="Arial" w:eastAsia="Arial" w:hAnsi="Arial"/>
          <w:sz w:val="18"/>
          <w:szCs w:val="18"/>
          <w:color w:val="auto"/>
        </w:rPr>
        <w:t>security and, as a result, often experience increased downtime prior to boarding. Consequentially, travelers at large airport hubs spend approximately 75 minutes in the terminal after passing through security.</w:t>
      </w:r>
    </w:p>
    <w:p>
      <w:pPr>
        <w:spacing w:after="0" w:line="170" w:lineRule="exact"/>
        <w:rPr>
          <w:sz w:val="20"/>
          <w:szCs w:val="20"/>
          <w:color w:val="auto"/>
        </w:rPr>
      </w:pPr>
    </w:p>
    <w:p>
      <w:pPr>
        <w:jc w:val="both"/>
        <w:ind w:left="120" w:right="120" w:firstLine="648"/>
        <w:spacing w:after="0" w:line="276" w:lineRule="auto"/>
        <w:rPr>
          <w:sz w:val="20"/>
          <w:szCs w:val="20"/>
          <w:color w:val="auto"/>
        </w:rPr>
      </w:pPr>
      <w:r>
        <w:rPr>
          <w:rFonts w:ascii="Arial" w:cs="Arial" w:eastAsia="Arial" w:hAnsi="Arial"/>
          <w:sz w:val="17"/>
          <w:szCs w:val="17"/>
          <w:color w:val="auto"/>
        </w:rPr>
        <w:t>XpresSpa was developed to address the stress and idle time spent at the airport, allowing travelers to spend this time productively, by relaxing and focusing on personal care and wellness. We believe that XpresSpa is well positioned to benefit from consumers’ growing interest in health and wellness and increasing demand for spa services and related wellness products. According to the Global Wellness Institute, global wellness was a $3.7 trillion industry in 2015 which was an increase of 10.6% from $3.3 trillion in 2013. In addition, according to the Global Wellness Institute, the global spa industry represented $98.6 billion in 2015 and the fitness, mind and body industry represented $542 billion in 2015.</w:t>
      </w:r>
    </w:p>
    <w:p>
      <w:pPr>
        <w:spacing w:after="0" w:line="173" w:lineRule="exact"/>
        <w:rPr>
          <w:sz w:val="20"/>
          <w:szCs w:val="20"/>
          <w:color w:val="auto"/>
        </w:rPr>
      </w:pPr>
    </w:p>
    <w:p>
      <w:pPr>
        <w:jc w:val="both"/>
        <w:ind w:left="120" w:right="120" w:firstLine="648"/>
        <w:spacing w:after="0" w:line="257" w:lineRule="auto"/>
        <w:rPr>
          <w:sz w:val="20"/>
          <w:szCs w:val="20"/>
          <w:color w:val="auto"/>
        </w:rPr>
      </w:pPr>
      <w:r>
        <w:rPr>
          <w:rFonts w:ascii="Arial" w:cs="Arial" w:eastAsia="Arial" w:hAnsi="Arial"/>
          <w:sz w:val="18"/>
          <w:szCs w:val="18"/>
          <w:color w:val="auto"/>
        </w:rPr>
        <w:t>In addition, a confluence of microeconomic events has created favorable conditions for the expansion of retail concepts at airports, in particular, retail concepts that attract higher spending from air travelers. 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spacing w:after="0" w:line="188" w:lineRule="exact"/>
        <w:rPr>
          <w:sz w:val="20"/>
          <w:szCs w:val="20"/>
          <w:color w:val="auto"/>
        </w:rPr>
      </w:pPr>
    </w:p>
    <w:p>
      <w:pPr>
        <w:jc w:val="both"/>
        <w:ind w:left="120" w:right="120" w:firstLine="648"/>
        <w:spacing w:after="0" w:line="297" w:lineRule="auto"/>
        <w:rPr>
          <w:sz w:val="20"/>
          <w:szCs w:val="20"/>
          <w:color w:val="auto"/>
        </w:rPr>
      </w:pPr>
      <w:r>
        <w:rPr>
          <w:rFonts w:ascii="Arial" w:cs="Arial" w:eastAsia="Arial" w:hAnsi="Arial"/>
          <w:sz w:val="16"/>
          <w:szCs w:val="16"/>
          <w:color w:val="auto"/>
        </w:rPr>
        <w:t>Equally as important to the industry growth is XpresSpa’s flexible retail format. XpresSpa opens multiple locations annually, which have ranged in size from 300 square feet to 3,000 square feet, with a typical store size of 1,000 to 1,200 square feet. XpresSpa is able to adapt its operating model to almost any size location available in space constrained airports. This increased flexibility compared to other retail concepts allows XpresSpa to operate multiple stores or kiosks within an airport, from which it enjoys synergies due to shared labor between stores. By January 1, 2018, we expect to outsource XpresSpa’s production, warehousing and distribution of all retail products and eliminate third party warehousing expenses.</w:t>
      </w:r>
    </w:p>
    <w:p>
      <w:pPr>
        <w:spacing w:after="0" w:line="158" w:lineRule="exact"/>
        <w:rPr>
          <w:sz w:val="20"/>
          <w:szCs w:val="20"/>
          <w:color w:val="auto"/>
        </w:rPr>
      </w:pPr>
    </w:p>
    <w:p>
      <w:pPr>
        <w:jc w:val="both"/>
        <w:ind w:left="120" w:right="120" w:firstLine="648"/>
        <w:spacing w:after="0" w:line="277" w:lineRule="auto"/>
        <w:rPr>
          <w:sz w:val="20"/>
          <w:szCs w:val="20"/>
          <w:color w:val="auto"/>
        </w:rPr>
      </w:pPr>
      <w:r>
        <w:rPr>
          <w:rFonts w:ascii="Arial" w:cs="Arial" w:eastAsia="Arial" w:hAnsi="Arial"/>
          <w:sz w:val="18"/>
          <w:szCs w:val="18"/>
          <w:color w:val="auto"/>
        </w:rPr>
        <w:t>XpresSpa’s total revenues have increased 49% from approximately $29,353,000 in 2012 to $43,820,000 in 2016, largely as a result of the growth in the number of spas, from 28 in January 2012 to 53 in December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20" w:right="120" w:firstLine="648"/>
        <w:spacing w:after="0" w:line="312" w:lineRule="auto"/>
        <w:rPr>
          <w:sz w:val="20"/>
          <w:szCs w:val="20"/>
          <w:color w:val="auto"/>
        </w:rPr>
      </w:pPr>
      <w:r>
        <w:rPr>
          <w:rFonts w:ascii="Arial" w:cs="Arial" w:eastAsia="Arial" w:hAnsi="Arial"/>
          <w:sz w:val="16"/>
          <w:szCs w:val="16"/>
          <w:color w:val="auto"/>
        </w:rPr>
        <w:t>We regularly measure comparable store sales, which we define as current period sales from XpresSpa stores open more than 12 months compared to those same stores’ sales in the prior year period (“Comp Store Sales”). The measurement of Comp Store Sales on a daily, weekly, monthly and year-to-date basis provides additional information on XpresSpa’s total sales growth when considering the influence of new unit contribution.</w:t>
      </w:r>
    </w:p>
    <w:p>
      <w:pPr>
        <w:spacing w:after="0" w:line="147" w:lineRule="exact"/>
        <w:rPr>
          <w:sz w:val="20"/>
          <w:szCs w:val="20"/>
          <w:color w:val="auto"/>
        </w:rPr>
      </w:pPr>
    </w:p>
    <w:p>
      <w:pPr>
        <w:jc w:val="both"/>
        <w:ind w:left="120" w:right="120" w:firstLine="648"/>
        <w:spacing w:after="0" w:line="277" w:lineRule="auto"/>
        <w:rPr>
          <w:sz w:val="20"/>
          <w:szCs w:val="20"/>
          <w:color w:val="auto"/>
        </w:rPr>
      </w:pPr>
      <w:r>
        <w:rPr>
          <w:rFonts w:ascii="Arial" w:cs="Arial" w:eastAsia="Arial" w:hAnsi="Arial"/>
          <w:sz w:val="18"/>
          <w:szCs w:val="18"/>
          <w:color w:val="auto"/>
        </w:rPr>
        <w:t>A reconciliation between Comp Store Sales and total revenue for XpresSpa for the years ended December 31, 2012 through December 31, 2016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2"/>
          </w:tcPr>
          <w:p>
            <w:pPr>
              <w:ind w:left="1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1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 Store Sales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Non-Comp Store Sales (other revenue)</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7,326</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10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43,820</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07"/>
        </w:trPr>
        <w:tc>
          <w:tcPr>
            <w:tcW w:w="1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645"/>
        </w:trPr>
        <w:tc>
          <w:tcPr>
            <w:tcW w:w="1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S-2</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6" w:name="page7"/>
    <w:bookmarkEnd w:id="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42175" cy="6864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2175" cy="6864985"/>
                    </a:xfrm>
                    <a:prstGeom prst="rect">
                      <a:avLst/>
                    </a:prstGeom>
                    <a:noFill/>
                  </pic:spPr>
                </pic:pic>
              </a:graphicData>
            </a:graphic>
          </wp:anchor>
        </w:drawing>
      </w:r>
    </w:p>
    <w:p>
      <w:pPr>
        <w:jc w:val="both"/>
        <w:ind w:firstLine="648"/>
        <w:spacing w:after="0" w:line="286" w:lineRule="auto"/>
        <w:rPr>
          <w:sz w:val="20"/>
          <w:szCs w:val="20"/>
          <w:color w:val="auto"/>
        </w:rPr>
      </w:pPr>
      <w:r>
        <w:rPr>
          <w:rFonts w:ascii="Arial" w:cs="Arial" w:eastAsia="Arial" w:hAnsi="Arial"/>
          <w:sz w:val="17"/>
          <w:szCs w:val="17"/>
          <w:color w:val="auto"/>
        </w:rPr>
        <w:t>In addition, average annual sales per same store was approximately $1 million as of December 31, 2016. XpresSpa believes that its operating metrics represent an attractive return on invested capital and, as a result, is pursuing new locations at airports and terminals around the country. Historically, XpresSpa has won approximately four out of every five requests for proposal (“RFP”) in which it has participated.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technology operating segment consists of Group Mobile International Ltd. (“Group Mobile”) and FLI Charge International Ltd. (“FLI Charge”) as well as an 11% equity interest in InfoMedia Services Limited (“InfoMedia”). Group Mobile offers rugged hardware and software solutions, including laptops, tablets, and mobile printers, as well as installation and deployment services. FLI Charge offers wireless conductive charging and power solutions for electronic devices. We acquired Group Mobile and FLI Charge in the fourth quarter of 2015. Infomedia is a leading provider of customer relationship management and monetization technologies to mobile carriers and device manufacturers. Our equity interest in InfoMedia increased from 8.25% to 11% in the first quarter of 2017 due to a realignment of ownership interests.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2, 2017, we completed the acquisition of Excalibur Integrated Systems, Inc. (“Excalibur”), an end-to-end solutions provider of mobile hardware devices, wireless network security, data networking, telephony and mobile application development and software solutions. Following the acquisition, Excalibur was merged with Group Mobile within our technology operating segment.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currently evaluating strategic alternatives with respect to our technology segment in an attempt to enhance stockholder value. These strategic alternatives may include a possible sale, merger, spin-off or other separation of Group Mobile and/or FLI Charge or other forms of business combinations or strategic transactions. We are seeking to enter into one or more strategic transactions involving our technology segment in the first quarter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Intellectual Property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intellectual property operating segment is engaged in the monetization of patents related to content and ad delivery, remote monitoring and mobile technologies.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are currently focused on monetizing our technology portfolio through a variety of value enhancing initiatives including, but not limited to, licensing, litigation and strategic partnerships. We are currently asserting patents in litigation related to ad-insertion and remote monitoring.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Update</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financial statements for the quarter ended June 30, 2017 are not yet available and our independent registered public accounting firm, CohnReznick LLP, has not completed its review of any financial statements for such period. Our expectations with respect to our unaudited results for the period discussed below are based upon management estimates.</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results below are preliminary and subject to revision based upon the completion of our quarter-end financial closing process and are not meant to be comprehensive for this period. Following the completion of our quarter-end financial closing process and review by our independent registered public accounting firm, we may report financial results that could differ from these estimates.</w:t>
      </w:r>
    </w:p>
    <w:p>
      <w:pPr>
        <w:spacing w:after="0" w:line="18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While we believe that the following information and estimates are based on reasonable assumptions, our actual results may vary, and such variation may be material. Factors that could cause the preliminary financial data and estimates to differ include, but are not limited to: (i) additional adjustments in the calculation of, or application of accounting principles, for the financial results for the quarter ended June 30, 2017; (ii) discovery of new information that affects accounting estimates and management’s judgment underlying these estimated results; and (iii) the completion of the review by our independent registered public accounting firm of our financial results for the quarter ended 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7" w:name="page8"/>
    <w:bookmarkEnd w:id="7"/>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721360</wp:posOffset>
            </wp:positionV>
            <wp:extent cx="7242175" cy="8013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2175" cy="801370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7"/>
          <w:szCs w:val="17"/>
          <w:color w:val="auto"/>
        </w:rPr>
        <w:t>We expect to report the following information about our Wellness segment, which includes XpresSpa, for the second quarter of 2017:</w:t>
      </w:r>
    </w:p>
    <w:p>
      <w:pPr>
        <w:spacing w:after="0" w:line="237" w:lineRule="exact"/>
        <w:rPr>
          <w:sz w:val="20"/>
          <w:szCs w:val="20"/>
          <w:color w:val="auto"/>
        </w:rPr>
      </w:pPr>
    </w:p>
    <w:p>
      <w:pPr>
        <w:ind w:left="640" w:hanging="320"/>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XpresSpa total revenue of approximately $12,863,000, which is a 15.3% increase as compared to the second quarter of 2016; and</w:t>
      </w:r>
    </w:p>
    <w:p>
      <w:pPr>
        <w:spacing w:after="0" w:line="225" w:lineRule="exact"/>
        <w:rPr>
          <w:rFonts w:ascii="Arial" w:cs="Arial" w:eastAsia="Arial" w:hAnsi="Arial"/>
          <w:sz w:val="18"/>
          <w:szCs w:val="18"/>
          <w:color w:val="auto"/>
        </w:rPr>
      </w:pPr>
    </w:p>
    <w:p>
      <w:pPr>
        <w:ind w:left="640" w:right="20" w:hanging="320"/>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XpresSpa Adjusted EBITDA income for the quarter ended June 30, 2017 in the range of $0.9 million to $1.2 million as compared to $0.2 million Adjusted EBITDA loss in the quarter ended March 31, 2017.</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color w:val="auto"/>
        </w:rPr>
        <w:t>We also expect to report estimated total revenue of approximately $3.0 million to $4.0 million in our Technology (Group Mobile) segment.</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results discussed above are preliminary, have not been audited and are subject to change upon completion of our unaudited financial statements for the quarter ended June 30, 2017.</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a reconciliation of estimated Adjusted EBITDA to Operating income (loss) for the Wellness segment for the three month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For the three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months ended</w:t>
            </w:r>
          </w:p>
        </w:tc>
        <w:tc>
          <w:tcPr>
            <w:tcW w:w="280" w:type="dxa"/>
            <w:vAlign w:val="bottom"/>
          </w:tcPr>
          <w:p>
            <w:pPr>
              <w:spacing w:after="0"/>
              <w:rPr>
                <w:sz w:val="18"/>
                <w:szCs w:val="18"/>
                <w:color w:val="auto"/>
              </w:rPr>
            </w:pPr>
          </w:p>
        </w:tc>
        <w:tc>
          <w:tcPr>
            <w:tcW w:w="2940" w:type="dxa"/>
            <w:vAlign w:val="bottom"/>
            <w:gridSpan w:val="6"/>
          </w:tcPr>
          <w:p>
            <w:pPr>
              <w:ind w:left="260"/>
              <w:spacing w:after="0"/>
              <w:rPr>
                <w:sz w:val="20"/>
                <w:szCs w:val="20"/>
                <w:color w:val="auto"/>
              </w:rPr>
            </w:pPr>
            <w:r>
              <w:rPr>
                <w:rFonts w:ascii="Arial" w:cs="Arial" w:eastAsia="Arial" w:hAnsi="Arial"/>
                <w:sz w:val="18"/>
                <w:szCs w:val="18"/>
                <w:color w:val="auto"/>
              </w:rPr>
              <w:t>For the three months ended</w:t>
            </w:r>
          </w:p>
        </w:tc>
      </w:tr>
      <w:tr>
        <w:trPr>
          <w:trHeight w:val="230"/>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2017</w:t>
            </w:r>
          </w:p>
        </w:tc>
        <w:tc>
          <w:tcPr>
            <w:tcW w:w="280" w:type="dxa"/>
            <w:vAlign w:val="bottom"/>
          </w:tcPr>
          <w:p>
            <w:pPr>
              <w:spacing w:after="0"/>
              <w:rPr>
                <w:sz w:val="20"/>
                <w:szCs w:val="20"/>
                <w:color w:val="auto"/>
              </w:rPr>
            </w:pPr>
          </w:p>
        </w:tc>
        <w:tc>
          <w:tcPr>
            <w:tcW w:w="2940" w:type="dxa"/>
            <w:vAlign w:val="bottom"/>
            <w:gridSpan w:val="6"/>
          </w:tcPr>
          <w:p>
            <w:pPr>
              <w:ind w:left="180"/>
              <w:spacing w:after="0"/>
              <w:rPr>
                <w:sz w:val="20"/>
                <w:szCs w:val="20"/>
                <w:color w:val="auto"/>
              </w:rPr>
            </w:pPr>
            <w:r>
              <w:rPr>
                <w:rFonts w:ascii="Arial" w:cs="Arial" w:eastAsia="Arial" w:hAnsi="Arial"/>
                <w:sz w:val="18"/>
                <w:szCs w:val="18"/>
                <w:color w:val="auto"/>
              </w:rPr>
              <w:t>June 30, 2017 estimated range</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Wellness segment - Operating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(2,371,000)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(2,525,000)</w:t>
            </w:r>
          </w:p>
        </w:tc>
        <w:tc>
          <w:tcPr>
            <w:tcW w:w="460" w:type="dxa"/>
            <w:vAlign w:val="bottom"/>
            <w:tcBorders>
              <w:top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Plus: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Franchise and misc. taxes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8"/>
                <w:szCs w:val="18"/>
                <w:color w:val="auto"/>
              </w:rPr>
            </w:pPr>
          </w:p>
        </w:tc>
      </w:tr>
      <w:tr>
        <w:trPr>
          <w:trHeight w:val="23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M&amp;A and integration costs</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484,000</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9"/>
                <w:szCs w:val="19"/>
                <w:color w:val="auto"/>
              </w:rPr>
            </w:pPr>
          </w:p>
        </w:tc>
      </w:tr>
      <w:tr>
        <w:trPr>
          <w:trHeight w:val="224"/>
        </w:trPr>
        <w:tc>
          <w:tcPr>
            <w:tcW w:w="6280" w:type="dxa"/>
            <w:vAlign w:val="bottom"/>
          </w:tcPr>
          <w:p>
            <w:pPr>
              <w:spacing w:after="0"/>
              <w:rPr>
                <w:sz w:val="20"/>
                <w:szCs w:val="20"/>
                <w:color w:val="auto"/>
              </w:rPr>
            </w:pPr>
            <w:r>
              <w:rPr>
                <w:rFonts w:ascii="Arial" w:cs="Arial" w:eastAsia="Arial" w:hAnsi="Arial"/>
                <w:sz w:val="18"/>
                <w:szCs w:val="18"/>
                <w:color w:val="auto"/>
              </w:rPr>
              <w:t>Adjusted EBITDA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(172,000)</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For the year ended December 31, 2017, we continue to expect consolidated revenues of approximately $70 million, of which approximately $50 million is expected to come from XpresSpa based on continued growth in comparable store sales and new store locations. Group Mobile is expected to generate the remaining approximately $20 million by adding new products, exploring new distribution verticals, such as military and government, increasing its geographic coverage and meeting existing backlog.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 we expect XpresSpa revenues of at least $60 million based primarily on the following assumptions:</w:t>
      </w:r>
    </w:p>
    <w:p>
      <w:pPr>
        <w:spacing w:after="0" w:line="225" w:lineRule="exact"/>
        <w:rPr>
          <w:sz w:val="20"/>
          <w:szCs w:val="20"/>
          <w:color w:val="auto"/>
        </w:rPr>
      </w:pPr>
    </w:p>
    <w:p>
      <w:pPr>
        <w:ind w:left="640" w:hanging="320"/>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 expectations for two planned units continue to be on track to open during the second half of 2017.</w:t>
      </w:r>
    </w:p>
    <w:p>
      <w:pPr>
        <w:spacing w:after="0" w:line="23" w:lineRule="exact"/>
        <w:rPr>
          <w:rFonts w:ascii="Arial" w:cs="Arial" w:eastAsia="Arial" w:hAnsi="Arial"/>
          <w:sz w:val="18"/>
          <w:szCs w:val="18"/>
          <w:color w:val="auto"/>
        </w:rPr>
      </w:pPr>
    </w:p>
    <w:p>
      <w:pPr>
        <w:ind w:left="640" w:right="380" w:hanging="320"/>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additional seven units are now anticipated to open during the second half of 2017. These seven units have associated lease agreements or term sheets in place.</w:t>
      </w:r>
    </w:p>
    <w:p>
      <w:pPr>
        <w:ind w:left="640" w:hanging="320"/>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identified another eight units that are presently in negotiation, some of which may open prior to year-end 2017.</w:t>
      </w:r>
    </w:p>
    <w:p>
      <w:pPr>
        <w:spacing w:after="0" w:line="211"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Such revenue estimates discussed above are subject to factors that could adversely impact store revenues generally, as well as the delays frequently encountered in opening new locations, including delays in negotiating suitable lease arrangements with landlords, receiving airport approvals and completing leasehold improvements. See “Risk Factors” beginning on page S-8 of this prospectus supplement and page 10 of the accompanying prospectus, and the consolidated financial statements and related notes included or incorporated by reference in this prospectus supplement, the accompanying prospectus and the other documents incorporated by reference herein and therein for risks, uncertainties and other factors that may impact future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6"/>
          <w:szCs w:val="16"/>
          <w:color w:val="auto"/>
        </w:rPr>
        <w:t>We were incorporated in Delaware as a corporation on January 9, 2006 and completed an initial public offering in June 2010. Our principal executive offices are located at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10017. Our telephone number is (212) 309-7549 and our website address is </w:t>
      </w:r>
      <w:r>
        <w:rPr>
          <w:rFonts w:ascii="Arial" w:cs="Arial" w:eastAsia="Arial" w:hAnsi="Arial"/>
          <w:sz w:val="16"/>
          <w:szCs w:val="16"/>
          <w:u w:val="single" w:color="auto"/>
          <w:color w:val="auto"/>
        </w:rPr>
        <w:t>www.formholdings.com</w:t>
      </w:r>
      <w:r>
        <w:rPr>
          <w:rFonts w:ascii="Arial" w:cs="Arial" w:eastAsia="Arial" w:hAnsi="Arial"/>
          <w:sz w:val="16"/>
          <w:szCs w:val="16"/>
          <w:color w:val="auto"/>
        </w:rPr>
        <w:t xml:space="preserve">. We also operate the following websites: </w:t>
      </w:r>
      <w:r>
        <w:rPr>
          <w:rFonts w:ascii="Arial" w:cs="Arial" w:eastAsia="Arial" w:hAnsi="Arial"/>
          <w:sz w:val="16"/>
          <w:szCs w:val="16"/>
          <w:u w:val="single" w:color="auto"/>
          <w:color w:val="auto"/>
        </w:rPr>
        <w:t>www.xpresspa.com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www.groupmobile.com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www.flicharge.com</w:t>
      </w:r>
      <w:r>
        <w:rPr>
          <w:rFonts w:ascii="Arial" w:cs="Arial" w:eastAsia="Arial" w:hAnsi="Arial"/>
          <w:sz w:val="16"/>
          <w:szCs w:val="16"/>
          <w:color w:val="auto"/>
        </w:rPr>
        <w:t>. Information contained on or linked to our website is not a part of this prospectus supplement summary. Our common stock was previously listed on The NASDAQ Capital Market under the trading symbol “VRNG.” Since May 9, 2016, our common stock has been listed under the trading symbol “FH.”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8" w:name="page9"/>
    <w:bookmarkEnd w:id="8"/>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offered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to be outstanding after the offering: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Capital Market Listing: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-464185</wp:posOffset>
            </wp:positionV>
            <wp:extent cx="7242175" cy="7002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2175" cy="7002145"/>
                    </a:xfrm>
                    <a:prstGeom prst="rect">
                      <a:avLst/>
                    </a:prstGeom>
                    <a:noFill/>
                  </pic:spPr>
                </pic:pic>
              </a:graphicData>
            </a:graphic>
          </wp:anchor>
        </w:drawing>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760" w:hanging="397"/>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share.</w:t>
      </w:r>
    </w:p>
    <w:p>
      <w:pPr>
        <w:spacing w:after="0" w:line="200" w:lineRule="exact"/>
        <w:rPr>
          <w:sz w:val="20"/>
          <w:szCs w:val="20"/>
          <w:color w:val="auto"/>
        </w:rPr>
      </w:pPr>
    </w:p>
    <w:p>
      <w:pPr>
        <w:spacing w:after="0" w:line="241" w:lineRule="exact"/>
        <w:rPr>
          <w:sz w:val="20"/>
          <w:szCs w:val="20"/>
          <w:color w:val="auto"/>
        </w:rPr>
      </w:pPr>
    </w:p>
    <w:p>
      <w:pPr>
        <w:jc w:val="both"/>
        <w:ind w:left="360" w:right="80" w:firstLine="470"/>
        <w:spacing w:after="0" w:line="277" w:lineRule="auto"/>
        <w:rPr>
          <w:sz w:val="20"/>
          <w:szCs w:val="20"/>
          <w:color w:val="auto"/>
        </w:rPr>
      </w:pPr>
      <w:r>
        <w:rPr>
          <w:rFonts w:ascii="Arial" w:cs="Arial" w:eastAsia="Arial" w:hAnsi="Arial"/>
          <w:sz w:val="18"/>
          <w:szCs w:val="18"/>
          <w:color w:val="auto"/>
        </w:rPr>
        <w:t>shares (or shares, if the underwriters’ option to purchase additional shares is exercised in full).</w:t>
      </w:r>
    </w:p>
    <w:p>
      <w:pPr>
        <w:spacing w:after="0" w:line="170" w:lineRule="exact"/>
        <w:rPr>
          <w:sz w:val="20"/>
          <w:szCs w:val="20"/>
          <w:color w:val="auto"/>
        </w:rPr>
      </w:pPr>
    </w:p>
    <w:p>
      <w:pPr>
        <w:jc w:val="both"/>
        <w:ind w:left="360" w:right="80"/>
        <w:spacing w:after="0" w:line="264" w:lineRule="auto"/>
        <w:rPr>
          <w:sz w:val="20"/>
          <w:szCs w:val="20"/>
          <w:color w:val="auto"/>
        </w:rPr>
      </w:pPr>
      <w:r>
        <w:rPr>
          <w:rFonts w:ascii="Arial" w:cs="Arial" w:eastAsia="Arial" w:hAnsi="Arial"/>
          <w:sz w:val="18"/>
          <w:szCs w:val="18"/>
          <w:color w:val="auto"/>
        </w:rPr>
        <w:t>We have granted the underwriters an option to purchase up to additional shares. This option is exercisable, in whole or in part, for a period of 30 days from the date of this prospectus supplement.</w:t>
      </w:r>
    </w:p>
    <w:p>
      <w:pPr>
        <w:spacing w:after="0" w:line="181" w:lineRule="exact"/>
        <w:rPr>
          <w:sz w:val="20"/>
          <w:szCs w:val="20"/>
          <w:color w:val="auto"/>
        </w:rPr>
      </w:pPr>
    </w:p>
    <w:p>
      <w:pPr>
        <w:jc w:val="both"/>
        <w:ind w:left="360" w:right="80"/>
        <w:spacing w:after="0" w:line="259" w:lineRule="auto"/>
        <w:rPr>
          <w:sz w:val="20"/>
          <w:szCs w:val="20"/>
          <w:color w:val="auto"/>
        </w:rPr>
      </w:pPr>
      <w:r>
        <w:rPr>
          <w:rFonts w:ascii="Arial" w:cs="Arial" w:eastAsia="Arial" w:hAnsi="Arial"/>
          <w:sz w:val="18"/>
          <w:szCs w:val="18"/>
          <w:color w:val="auto"/>
        </w:rPr>
        <w:t>We currently expect to use the net proceeds from this offering for capital expenditures associated with opening new XpresSpa locations and general corporate purposes. See “Use of Proceeds” on page S-12 of this prospectus supplement.</w:t>
      </w:r>
    </w:p>
    <w:p>
      <w:pPr>
        <w:spacing w:after="0" w:line="187" w:lineRule="exact"/>
        <w:rPr>
          <w:sz w:val="20"/>
          <w:szCs w:val="20"/>
          <w:color w:val="auto"/>
        </w:rPr>
      </w:pPr>
    </w:p>
    <w:p>
      <w:pPr>
        <w:jc w:val="both"/>
        <w:ind w:left="360" w:right="80"/>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“FH”.</w:t>
      </w:r>
    </w:p>
    <w:p>
      <w:pPr>
        <w:spacing w:after="0" w:line="170" w:lineRule="exact"/>
        <w:rPr>
          <w:sz w:val="20"/>
          <w:szCs w:val="20"/>
          <w:color w:val="auto"/>
        </w:rPr>
      </w:pPr>
    </w:p>
    <w:p>
      <w:pPr>
        <w:jc w:val="both"/>
        <w:ind w:left="360" w:right="80"/>
        <w:spacing w:after="0" w:line="276" w:lineRule="auto"/>
        <w:rPr>
          <w:sz w:val="20"/>
          <w:szCs w:val="20"/>
          <w:color w:val="auto"/>
        </w:rPr>
      </w:pPr>
      <w:r>
        <w:rPr>
          <w:rFonts w:ascii="Arial" w:cs="Arial" w:eastAsia="Arial" w:hAnsi="Arial"/>
          <w:sz w:val="17"/>
          <w:szCs w:val="17"/>
          <w:color w:val="auto"/>
        </w:rPr>
        <w:t>An investment in our common stock involves a high degree of risk. See “Risk Factors” beginning on page S-8 of this prospectus supplement, page 10 of the accompanying prospectus and in the documents incorporated by reference into this prospectus supplement for a discussion of factors you should consider carefully when making an investment decision.</w:t>
      </w:r>
    </w:p>
    <w:p>
      <w:pPr>
        <w:spacing w:after="0" w:line="200" w:lineRule="exact"/>
        <w:rPr>
          <w:sz w:val="20"/>
          <w:szCs w:val="20"/>
          <w:color w:val="auto"/>
        </w:rPr>
      </w:pPr>
    </w:p>
    <w:p>
      <w:pPr>
        <w:sectPr>
          <w:pgSz w:w="11900" w:h="16838" w:orient="portrait"/>
          <w:cols w:equalWidth="0" w:num="2">
            <w:col w:w="4180" w:space="720"/>
            <w:col w:w="6260"/>
          </w:cols>
          <w:pgMar w:left="360" w:top="1440" w:right="379" w:bottom="1440" w:gutter="0" w:footer="0" w:header="0"/>
        </w:sectPr>
      </w:pP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19,565,531 shares outstanding as of June 30, 2017, which excludes:</w:t>
      </w:r>
    </w:p>
    <w:p>
      <w:pPr>
        <w:spacing w:after="0" w:line="170" w:lineRule="exact"/>
        <w:rPr>
          <w:sz w:val="20"/>
          <w:szCs w:val="20"/>
          <w:color w:val="auto"/>
        </w:rPr>
      </w:pPr>
    </w:p>
    <w:p>
      <w:pPr>
        <w:ind w:left="960" w:hanging="316"/>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5,135,399 shares underlying options outstanding, at a weighted average exercise price of $5.60 per share;</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3,439,587 shares issuable upon conversion of Series D Convertible Preferred Stock outstanding;</w:t>
      </w:r>
    </w:p>
    <w:p>
      <w:pPr>
        <w:spacing w:after="0" w:line="225" w:lineRule="exact"/>
        <w:rPr>
          <w:rFonts w:ascii="Arial" w:cs="Arial" w:eastAsia="Arial" w:hAnsi="Arial"/>
          <w:sz w:val="18"/>
          <w:szCs w:val="18"/>
          <w:color w:val="auto"/>
        </w:rPr>
      </w:pPr>
    </w:p>
    <w:p>
      <w:pPr>
        <w:ind w:left="960" w:hanging="316"/>
        <w:spacing w:after="0" w:line="308"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3,430,877 shares underlying warrants outstanding, at a weighted average exercise price of $4.49 per share, of which 343,377 expire on July 19, 2017, 537,500 expire on May 4, 2020, 50,000 expire on April 15, 2021 and 2,500,000 expire on December 23, 2021;</w:t>
      </w:r>
    </w:p>
    <w:p>
      <w:pPr>
        <w:spacing w:after="0" w:line="146" w:lineRule="exact"/>
        <w:rPr>
          <w:rFonts w:ascii="Arial" w:cs="Arial" w:eastAsia="Arial" w:hAnsi="Arial"/>
          <w:sz w:val="17"/>
          <w:szCs w:val="17"/>
          <w:color w:val="auto"/>
        </w:rPr>
      </w:pPr>
    </w:p>
    <w:p>
      <w:pPr>
        <w:ind w:left="960" w:hanging="316"/>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1,258,603 shares available for future grant under our 2012 Employee, Director and Consultant Equity Incentive Plan, as amended (the “Equity Incentive Plan”); and</w:t>
      </w:r>
    </w:p>
    <w:p>
      <w:pPr>
        <w:spacing w:after="0" w:line="170" w:lineRule="exact"/>
        <w:rPr>
          <w:rFonts w:ascii="Arial" w:cs="Arial" w:eastAsia="Arial" w:hAnsi="Arial"/>
          <w:sz w:val="18"/>
          <w:szCs w:val="18"/>
          <w:color w:val="auto"/>
        </w:rPr>
      </w:pPr>
    </w:p>
    <w:p>
      <w:pPr>
        <w:ind w:left="960" w:hanging="316"/>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400,942 shares issuable upon vesting of restricted stock units.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indicated, all information in this prospectus supplement assumes no exercise by the underwriters of their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Some of the statements in this prospectus supplement, the accompanying prospectus, the documents incorporated by reference herein and therein and any free writing prospectus that we have authorized for use in connection with this offering are forward-looking statements within the meaning of Section 27A of the Securities Act of 1933, as amended (the “Securities Act”), and Section 21E of the Securities Exchange Act of 1934, as amended (the “Exchange Act”). These statements are based on our current expectations, assumptions, estimates and projections about our business and our industry and involve known and unknown risks, uncertainties and other factors that may cause our or our industry’s results, levels of activity, performance or achievements to be materially different from any future results, levels of activity, performance or achievements expressed or implied in, or contemplated by, the forward-looking statements. Words such as “believe,” “anticipate,” “expect,” “intend,” “plan,” “will,” “may,” “would,” “could,” “estimate,” “potential,” “continue,” or the negative of such terms or other similar expressions, identify forward-looking statements, but the absence of these words does not necessarily mean that a statement is not forward-looking. In addition, any statements that refer to expectations, projections or other characterizations of future events or circumstances are forward-looking statements. Our actual results and the timing of events may differ significantly from the results discussed in the forward-looking statements. Factors that might cause such a difference include those discussed under the caption “Risk Factors” beginning on page S-8 of this prospectus supplement and page 10 of the accompanying prospectus and in the documents incorporated by reference herein and therein, in any free writing prospectus that we have authorized for use in connection with this offering or as a result of other circumstances beyond our control. The forward-looking statements made in this prospectus supplement, the accompanying prospectus and any free writing prospectus that we have authorized for use in connection with this offering speak only as of the date on which the statements are made.</w:t>
      </w:r>
    </w:p>
    <w:p>
      <w:pPr>
        <w:spacing w:after="0" w:line="3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intend that all forward-looking statements be subject to the safe-harbor provisions of the Private Securities Litigation Reform Act of 1995. Forward-looking statements are subject to many risks and uncertainties that could cause actual results to differ materially from any future results expressed or implied by the forward-looking statements. We caution you therefore against relying on any of these forward-looking statements. They are neither statements of historical fact nor guarantees or assurances of future performance. Examples of the risks and uncertainties include, but are not limited to:</w:t>
      </w:r>
    </w:p>
    <w:p>
      <w:pPr>
        <w:spacing w:after="0" w:line="154"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economic conditions and level of consumer and corporate spending on technology, consumer electronics, health and wellness, and travel;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 or vendors;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trends in the travel, health and wellness, mobile phone, telecom computing, and consumer electronics industries and potential technology and service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Factors or events that could cause our actual results to differ may emerge from time to time and it is not possible for us to predict them all. Except to the extent required by applicable laws, rules or regulations, we do not undertake any obligation to publicly update any forward-looking statements or to publicly announce revisions to any of the forward-looking statements, whether as a result of new information, future events or otherwise.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Investing in our shares involves a high degree of risk. You should consider the following risk factors, the risk factors contained in the accompanying prospectus beginning on page 10 and in our Form 10-K for the year ended December 31, 2016, as well as other information contained or incorporated by reference in this prospectus supplement and the accompanying prospectus, before deciding to purchase any of our shares. The risks and uncertainties described below and incorporated by reference herein are not the only ones we face. Additional risks and uncertainties not presently known to us or that we currently deem immaterial also may become important factors that affect us. If any of these risks occur, our business could suffer, the market price of our common stock could decline and you could lose all or part of your investment in our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XpresSpa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unaudited pro forma consolidated and condensed financial statements of the Company incorporated by reference in this prospectus supplement and accompanying prospectus may not be representative of the combined results of FORM and XpresSpa, and accordingly, you have limited financial information on which to evaluate the integrated companies.</w:t>
      </w:r>
    </w:p>
    <w:p>
      <w:pPr>
        <w:spacing w:after="0" w:line="181" w:lineRule="exact"/>
        <w:rPr>
          <w:sz w:val="20"/>
          <w:szCs w:val="20"/>
          <w:color w:val="auto"/>
        </w:rPr>
      </w:pPr>
    </w:p>
    <w:p>
      <w:pPr>
        <w:jc w:val="both"/>
        <w:ind w:firstLine="714"/>
        <w:spacing w:after="0" w:line="291" w:lineRule="auto"/>
        <w:rPr>
          <w:sz w:val="20"/>
          <w:szCs w:val="20"/>
          <w:color w:val="auto"/>
        </w:rPr>
      </w:pPr>
      <w:r>
        <w:rPr>
          <w:rFonts w:ascii="Arial" w:cs="Arial" w:eastAsia="Arial" w:hAnsi="Arial"/>
          <w:sz w:val="16"/>
          <w:szCs w:val="16"/>
          <w:color w:val="auto"/>
        </w:rPr>
        <w:t>The unaudited pro forma consolidated and condensed financial information of the Company for the nine months ended September 30, 2016 and for the year ended December 31, 2015 is presented for informational purposes only and is not necessarily indicative of the financial position or results of operations that would have actually occurred had the acquisitions of XpresSpa been completed at or as of the dates indicated, nor is it indicative of our future operating results or financial position. The unaudited pro forma consolidated and condensed financial information does not reflect future events that may occur, including the potential realization of impacts of current market conditions on revenues or expenses. The unaudited pro forma consolidated and condensed financial information incorporated by reference into this prospectus supplement is based in part on certain assumptions regarding the acquisitions of XpresSpa that we believe are reasonable under the circumstances. We cannot assure you that our assumptions will prove to be accurate over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is highly dependent on our ability to successfully identify and open new XpresSpa stores and kiosks.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growth strategy primarily contemplates expansion through procuring new XpresSpa locations and opening new XpresSpa stores and kiosks. Implementing this strategy depends on our ability to successfully identify new store locations. We will also need to assess and mitigate the risk of any new store locations, to open the stores on favorable terms and to successfully integrate their operations with ours. We may not be able to successfully identify opportunities that meet these criteria, or, if we do, we may not be able to successfully negotiate and open new stores on a timely basis. If we are unable to identify and open new XpresSpa locations in accordance with our operating plan, our revenue growth rate and financial performance may fall short of our expectations.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us unrelated to our operating performance. The market price of our shares of common stock may fluctuate significantly in response to a number of factors, including:</w:t>
      </w:r>
    </w:p>
    <w:p>
      <w:pPr>
        <w:spacing w:after="0" w:line="16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realize the expected value and benefits of our recent business and asset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intellectual property;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general economic conditions and level of consumer and corporate spending on technology, consumer electronics, health and wellness, and travel;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 or vendors;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trends in the travel, health and wellness, mobile phone, telecom computing, and consumer electronics industries and potential technology and service obsolescence;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in the accompanying prospectus beginning on page 10 and in our Form 10-K for the year ended December 31, 2016, as well as other information contained or incorporated by reference in this prospectus supplement. If we fail to meet our projections and/or other financial guidance for any reason, our stock price could decline.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has traded in low volumes. We cannot predict whether an active trading market for our common stock will ever develop. Even if an active trading market develops, the market price of our common stock may be significantly volatile.</w:t>
      </w:r>
    </w:p>
    <w:p>
      <w:pPr>
        <w:spacing w:after="0" w:line="170" w:lineRule="exact"/>
        <w:rPr>
          <w:sz w:val="20"/>
          <w:szCs w:val="20"/>
          <w:color w:val="auto"/>
        </w:rPr>
      </w:pPr>
    </w:p>
    <w:p>
      <w:pPr>
        <w:jc w:val="both"/>
        <w:ind w:firstLine="825"/>
        <w:spacing w:after="0" w:line="264" w:lineRule="auto"/>
        <w:rPr>
          <w:sz w:val="20"/>
          <w:szCs w:val="20"/>
          <w:color w:val="auto"/>
        </w:rPr>
      </w:pPr>
      <w:r>
        <w:rPr>
          <w:rFonts w:ascii="Arial" w:cs="Arial" w:eastAsia="Arial" w:hAnsi="Arial"/>
          <w:sz w:val="18"/>
          <w:szCs w:val="18"/>
          <w:color w:val="auto"/>
        </w:rPr>
        <w:t>Historically, our common stock has experienced a lack of trading liquidity. In the absence of an active trading market you may have difficulty buying and selling our common stock at all or at the price you consider reasonable; and market visibility for shares of our common stock may be limited, which may have a depressive effect on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market price for shares of our common stock and on our ability to raise capital or make acquisitions by issuing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will have broad discretion with respect to the use of the proceeds of this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highlighted the intended use of proceeds for this offering, our management will have broad discretion as to the application of these net proceeds and could use them for purposes other than those contemplated at the time of this offering. Our stockholders may not agree with the manner in which our management chooses to allocate and spend the net proceeds. It is possible that the net proceeds will be invested in a way that does not yield a favorable, or any, return for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dilution in the book value per share of the shares you purchase.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Investors who purchase our shares in this offering will experience immediate dilution in their net tangible book value per share to the extent of the difference between the public offering price per share and the “as adjusted” net tangible book value per share after giving effect to the offering. Based on shares of common stock being sold at the public offering price of $ per share, for aggregate gross proceeds of approximately $ , and after deducting underwriting discounts and commissions and estimated aggregate offering expenses payable by us, you will experience an immediate dilution of $ per share, representing the difference between our as adjusted net tangible book value per share as of March 31, 2017 after giving effect to this offering and the public offering price. See “Dilution” on page S-15 for a more detailed discussion of the dilution you will incur in this offering.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your ownership in us could be diluted.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those newly issued shares being dilutive. If we obtain funds through a credit facility or through the issuance of debt or preferred securities, these securities would likely have rights senior to your rights as a common shareholder, which could impair the value of our shares.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shareholder rights plan could delay, discourage or make more difficult a third-party acquisition of control of us.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Because we are a Delaware corporation, certain provisions of Delaware law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or DGCL, which prohibits certain “business combination” transactions (as defined in Section 203) with an “interested stockholder” (defined in Section 203 as a 15 percent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percent ownership level by an acquirer or the transaction is later approved by our board of directors and by our stockholders by at least a 66 2/3 percent vote of our stockholders other than the “interested stockholder”, each as specifically provided in Section 203. Our certificate of incorporation and our bylaws, each as currently in effect, also contain certain provisions that may delay, discourage or make more difficult a third-party acquisition of control of us. Such provisions include a provision that any vacancies on the board of directors may only be filled by a majority of the directors then serving, although not a quorum, and not by the stockholders and the ability of the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shareholder rights plan.</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adopted a shareholder rights plan in the form of a Section 382 Rights Plan, designed to help protect and preserve our substantial tax attributes primarily associated with our NOLs under Sections 382 of the Internal Revenue Code and related U.S. Treasury regulations. The plan was approved by our stockholders in December 2016 and expires in March 2019. Although this is not the purpose of the Section 382 Rights Plan, it could have the effect of making it uneconomical for a third party to acquire us on a hostile basis.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648"/>
        <w:spacing w:after="0" w:line="264"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the declaration and payment of cash dividends is restricted under the terms of our existing credit agreement and Series D Convertible Preferred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estimate that the net proceeds from the sale of shares of common stock that we are offering will be approximately $ million, after deducting the underwriting discount and estimated offering expenses payable by us, or approximately $ million if the underwriters exercise their option to purchase additional shares in full.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expect to use the net proceeds from this offering for capital expenditures associated with opening new XpresSpa locations and general corporate purposes. We will retain broad discretion over the use of the net proceeds from this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Pending the use of the net proceeds, we expect to invest the net proceeds in investment grade, interest-bearing instruments.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PRICE RANGE OF OUR 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stock, which was previously listed on The NASDAQ Capital Market under the trading symbol “VRNG,” has been listed under the trading symbol “FH” since May 9, 2016. The following table sets forth, for the periods indicated, the high and low closing prices for our common stock as reported by The NASDAQ Capital Market, with prices prior to November 27, 2015 adjusted to account for our 1-for-10 reverse stock split that occurred on that date:</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28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First Quarter</w:t>
            </w:r>
          </w:p>
        </w:tc>
        <w:tc>
          <w:tcPr>
            <w:tcW w:w="38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Second Quarter</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Third Quarter</w:t>
            </w: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Fourth Quarter</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First Quarter</w:t>
            </w:r>
          </w:p>
        </w:tc>
        <w:tc>
          <w:tcPr>
            <w:tcW w:w="38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Second Quarter</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Third Quarter</w:t>
            </w: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Fourth Quarter</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2017</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First Quarter</w:t>
            </w:r>
          </w:p>
        </w:tc>
        <w:tc>
          <w:tcPr>
            <w:tcW w:w="38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2.60</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Second Quarter</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Third Quarter*</w:t>
            </w:r>
          </w:p>
        </w:tc>
        <w:tc>
          <w:tcPr>
            <w:tcW w:w="2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*Through July 25,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last reported sale price of our common stock on The NASDAQ Capital Market on July 25, 2017 was $1.36.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July 14, 2017, we had 47 stockholders of record of the 19,565,531 outstanding shares of our common stock. This does not reflect persons or entities that hold their stock in nominee or "street" name through various brokerage firms.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Credit Agreement by and between Rockmore Investment Master Fund Ltd. and us, dated April 22, 2015, we are prohibited from declaring any dividends in cash, subject to limited exceptions. Furthermore, we are not permitted to declare any cash dividends on our common stock unless holders of shares of our Series D Preferred Stock, par value $0.01 (“Series D Preferred Stock”), first, or simultaneously, receive a dividend on each outstanding share of Series D Preferred Stock on an as converted to common stock basis, in addition to an amount that accrues at the rate per annum of $4.32 per share.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tangible book value as of March 31, 2017 was approximately $17.4 million, or $0.90 per share. Net tangible book value per share is determined by dividing our total tangible assets, less total liabilities, by the number of shares of our common stock outstanding as of March 31, 2017. Dilution with respect to net tangible book value per share represents the difference between the amount per share paid by purchasers of our shares in this offering and the net tangible book value per share of our shares immediately after this offering.</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After giving effect to the sale of shares in this offering at the public offering price of $ per share and after deducting the underwriting discount and estimated offering expenses payable by us, our as adjusted net tangible book value as of March 31, 2017 would have been approximately $ million, or $ per share. This represents an immediate increase in net tangible book value of $ per share to existing stockholders and immediate dilution of</w:t>
      </w:r>
    </w:p>
    <w:p>
      <w:pPr>
        <w:ind w:left="680" w:hanging="672"/>
        <w:spacing w:after="0"/>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 share to investors purchasing our shares in this offering at the public offering price. The following table illustrates this dilution on a per share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basis: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jc w:val="right"/>
              <w:ind w:right="10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Net tangible book value per share of as March 31, 2017</w:t>
            </w:r>
          </w:p>
        </w:tc>
        <w:tc>
          <w:tcPr>
            <w:tcW w:w="17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0.90</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attributable to investors in this offering</w:t>
            </w:r>
          </w:p>
        </w:tc>
        <w:tc>
          <w:tcPr>
            <w:tcW w:w="1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20" w:type="dxa"/>
            <w:vAlign w:val="bottom"/>
            <w:gridSpan w:val="3"/>
          </w:tcPr>
          <w:p>
            <w:pPr>
              <w:jc w:val="right"/>
              <w:ind w:right="10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investors in this offering</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underwriters exercise their option to purchase additional shares in full, the as adjusted net tangible book value would increase to approximately</w:t>
      </w:r>
    </w:p>
    <w:p>
      <w:pPr>
        <w:spacing w:after="0" w:line="46" w:lineRule="exact"/>
        <w:rPr>
          <w:sz w:val="20"/>
          <w:szCs w:val="20"/>
          <w:color w:val="auto"/>
        </w:rPr>
      </w:pPr>
    </w:p>
    <w:p>
      <w:pPr>
        <w:spacing w:after="0"/>
        <w:tabs>
          <w:tab w:leader="none" w:pos="660" w:val="left"/>
          <w:tab w:leader="none" w:pos="2140" w:val="left"/>
          <w:tab w:leader="none" w:pos="8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per share, representing an increase to existing stockholders of approximately $</w:t>
      </w:r>
      <w:r>
        <w:rPr>
          <w:sz w:val="20"/>
          <w:szCs w:val="20"/>
          <w:color w:val="auto"/>
        </w:rPr>
        <w:tab/>
      </w:r>
      <w:r>
        <w:rPr>
          <w:rFonts w:ascii="Arial" w:cs="Arial" w:eastAsia="Arial" w:hAnsi="Arial"/>
          <w:sz w:val="16"/>
          <w:szCs w:val="16"/>
          <w:color w:val="auto"/>
        </w:rPr>
        <w:t>per share, and an immediate dilution of</w:t>
      </w:r>
    </w:p>
    <w:p>
      <w:pPr>
        <w:spacing w:after="0" w:line="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per share to the investors in this offering.</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the number of shares outstanding as of March 31, 2017. As of that date, we had 19,198,454 shares outstanding, excluding:</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5,138,732 shares underlying options outstanding, at a weighted average exercise price of $11.39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3,931,416 shares issuable upon conversion of Series D Convertible Preferred Stock outstanding;</w:t>
      </w:r>
    </w:p>
    <w:p>
      <w:pPr>
        <w:spacing w:after="0" w:line="225"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3,430,877 shares underlying warrants outstanding, at a weighted average exercise price of $4.49 per share, of which 343,377 expire on July 19, 2017, 537,500 expire on May 4, 2020, 50,000 expire on April 15, 2021 and 2,500,000 expire on December 23, 2021;</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1,255,270 shares available for future grant under our Equity Incentive Plan;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400,942 shares issuable upon vesting of restricted stock units.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that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sets forth our cash and cash equivalents and capitalization on a consolidated basis as of March 31, 2017:</w:t>
      </w:r>
    </w:p>
    <w:p>
      <w:pPr>
        <w:spacing w:after="0" w:line="24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an actual basis; and</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an as adjusted basis to reflect the sale of shares of common stock in this offering at the public offering price of $ after deducting the underwriting discounts and commissions and estimated offering expenses payable by us.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per share,</w:t>
      </w:r>
    </w:p>
    <w:p>
      <w:pPr>
        <w:spacing w:after="0" w:line="475" w:lineRule="exact"/>
        <w:rPr>
          <w:sz w:val="20"/>
          <w:szCs w:val="20"/>
          <w:color w:val="auto"/>
        </w:rPr>
      </w:pPr>
    </w:p>
    <w:p>
      <w:pPr>
        <w:sectPr>
          <w:pgSz w:w="11900" w:h="16838" w:orient="portrait"/>
          <w:cols w:equalWidth="0" w:num="3">
            <w:col w:w="380" w:space="280"/>
            <w:col w:w="9340" w:space="540"/>
            <w:col w:w="880"/>
          </w:cols>
          <w:pgMar w:left="240" w:top="904" w:right="239" w:bottom="1440" w:gutter="0" w:footer="0" w:header="0"/>
          <w:type w:val="continuous"/>
        </w:sectPr>
      </w:pPr>
    </w:p>
    <w:p>
      <w:pPr>
        <w:jc w:val="both"/>
        <w:ind w:firstLine="648"/>
        <w:spacing w:after="0" w:line="297" w:lineRule="auto"/>
        <w:rPr>
          <w:sz w:val="20"/>
          <w:szCs w:val="20"/>
          <w:color w:val="auto"/>
        </w:rPr>
      </w:pPr>
      <w:r>
        <w:rPr>
          <w:rFonts w:ascii="Arial" w:cs="Arial" w:eastAsia="Arial" w:hAnsi="Arial"/>
          <w:sz w:val="16"/>
          <w:szCs w:val="16"/>
          <w:color w:val="auto"/>
        </w:rPr>
        <w:t>We have presented our capitalization on both an actual and an as adjusted basis to reflect the issuance and sale of shares offered hereby, but not the application of the net proceeds from the issuance and sale of such shares. See “Use of Proceeds.” You should read the following table along with our financial statements and the accompanying notes to those statements, together with the information set forth under “Management’s Discussion and Analysis of Financial Condition and Results of Operations” in our Annual Report on Form 10-K for the year ended December 31, 2016 and our Quarterly Report for the three months ended March 31, 2017, which are incorporated by reference in this prospectus supplement and the accompanying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As of March 31,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top w:val="single" w:sz="8" w:color="auto"/>
            </w:tcBorders>
            <w:gridSpan w:val="5"/>
          </w:tcPr>
          <w:p>
            <w:pPr>
              <w:jc w:val="center"/>
              <w:spacing w:after="0" w:line="205" w:lineRule="exact"/>
              <w:rPr>
                <w:sz w:val="20"/>
                <w:szCs w:val="20"/>
                <w:color w:val="auto"/>
              </w:rPr>
            </w:pPr>
            <w:r>
              <w:rPr>
                <w:rFonts w:ascii="Arial" w:cs="Arial" w:eastAsia="Arial" w:hAnsi="Arial"/>
                <w:sz w:val="18"/>
                <w:szCs w:val="18"/>
                <w:b w:val="1"/>
                <w:bCs w:val="1"/>
                <w:color w:val="auto"/>
                <w:w w:val="88"/>
              </w:rPr>
              <w:t>(in thousands, except share data)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Actual</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ind w:left="260"/>
              <w:spacing w:after="0"/>
              <w:rPr>
                <w:sz w:val="20"/>
                <w:szCs w:val="20"/>
                <w:color w:val="auto"/>
              </w:rPr>
            </w:pPr>
            <w:r>
              <w:rPr>
                <w:rFonts w:ascii="Arial" w:cs="Arial" w:eastAsia="Arial" w:hAnsi="Arial"/>
                <w:sz w:val="18"/>
                <w:szCs w:val="18"/>
                <w:b w:val="1"/>
                <w:bCs w:val="1"/>
                <w:color w:val="auto"/>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11,673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 Term Debt</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6,500</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color w:val="auto"/>
                <w:w w:val="92"/>
              </w:rPr>
              <w:t>Series A Convertible Preferred stock, $0.01 par value per share; 500,000 shares authorized; 6,968 issued and</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none outstanding</w:t>
            </w:r>
          </w:p>
        </w:tc>
        <w:tc>
          <w:tcPr>
            <w:tcW w:w="1000" w:type="dxa"/>
            <w:vAlign w:val="bottom"/>
            <w:gridSpan w:val="2"/>
          </w:tcPr>
          <w:p>
            <w:pPr>
              <w:jc w:val="right"/>
              <w:ind w:right="814"/>
              <w:spacing w:after="0"/>
              <w:rPr>
                <w:sz w:val="20"/>
                <w:szCs w:val="20"/>
                <w:color w:val="auto"/>
              </w:rPr>
            </w:pPr>
            <w:r>
              <w:rPr>
                <w:rFonts w:ascii="Arial" w:cs="Arial" w:eastAsia="Arial" w:hAnsi="Arial"/>
                <w:sz w:val="18"/>
                <w:szCs w:val="18"/>
                <w:color w:val="auto"/>
                <w:w w:val="79"/>
              </w:rPr>
              <w:t>$</w:t>
            </w:r>
          </w:p>
        </w:tc>
        <w:tc>
          <w:tcPr>
            <w:tcW w:w="2300" w:type="dxa"/>
            <w:vAlign w:val="bottom"/>
            <w:gridSpan w:val="5"/>
          </w:tcPr>
          <w:p>
            <w:pPr>
              <w:jc w:val="right"/>
              <w:ind w:righ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Series B Convertible Preferred stock, $0.01 par value per share; 5,000,000 shares authorized; 1,666,667 issued</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and none outstanding</w:t>
            </w: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300" w:type="dxa"/>
            <w:vAlign w:val="bottom"/>
            <w:gridSpan w:val="5"/>
            <w:shd w:val="clear" w:color="auto" w:fill="CCEEFF"/>
          </w:tcPr>
          <w:p>
            <w:pPr>
              <w:jc w:val="right"/>
              <w:ind w:righ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color w:val="auto"/>
                <w:w w:val="97"/>
              </w:rPr>
              <w:t>Series C Junior Preferred stock, $0.01 par value per share; 300,000 shares authorized; none issued and</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00" w:type="dxa"/>
            <w:vAlign w:val="bottom"/>
            <w:gridSpan w:val="5"/>
          </w:tcPr>
          <w:p>
            <w:pPr>
              <w:jc w:val="right"/>
              <w:ind w:righ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D Convertible Preferred Stock, $0.01 par value per share; 500,000 shares authorized; 491,427 issued</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and outstanding; liquidation value of $23,588</w:t>
            </w: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color w:val="auto"/>
                <w:w w:val="91"/>
              </w:rPr>
              <w:t>Common stock, $0.01 par value per share; 150,000,000 shares authorized; 19,198,454 and 18,304,881 issued</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and outstanding as of March 31, 2017 and December 31, 2016, respectively</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282,773</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Accumulated deficit</w:t>
            </w:r>
          </w:p>
        </w:tc>
        <w:tc>
          <w:tcPr>
            <w:tcW w:w="1720" w:type="dxa"/>
            <w:vAlign w:val="bottom"/>
            <w:gridSpan w:val="5"/>
          </w:tcPr>
          <w:p>
            <w:pPr>
              <w:jc w:val="right"/>
              <w:ind w:right="160"/>
              <w:spacing w:after="0"/>
              <w:rPr>
                <w:sz w:val="20"/>
                <w:szCs w:val="20"/>
                <w:color w:val="auto"/>
              </w:rPr>
            </w:pPr>
            <w:r>
              <w:rPr>
                <w:rFonts w:ascii="Arial" w:cs="Arial" w:eastAsia="Arial" w:hAnsi="Arial"/>
                <w:sz w:val="18"/>
                <w:szCs w:val="18"/>
                <w:color w:val="auto"/>
              </w:rPr>
              <w:t>(227,293)</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stockholders’ equity attributable to the Company</w:t>
            </w:r>
          </w:p>
        </w:tc>
        <w:tc>
          <w:tcPr>
            <w:tcW w:w="20" w:type="dxa"/>
            <w:vAlign w:val="bottom"/>
          </w:tcPr>
          <w:p>
            <w:pPr>
              <w:spacing w:after="0"/>
              <w:rPr>
                <w:sz w:val="18"/>
                <w:szCs w:val="18"/>
                <w:color w:val="auto"/>
              </w:rPr>
            </w:pPr>
          </w:p>
        </w:tc>
        <w:tc>
          <w:tcPr>
            <w:tcW w:w="980" w:type="dxa"/>
            <w:vAlign w:val="bottom"/>
            <w:tcBorders>
              <w:top w:val="single" w:sz="8" w:color="auto"/>
            </w:tcBorders>
          </w:tcPr>
          <w:p>
            <w:pPr>
              <w:jc w:val="right"/>
              <w:ind w:right="814"/>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55,620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capitalization</w:t>
            </w:r>
          </w:p>
        </w:tc>
        <w:tc>
          <w:tcPr>
            <w:tcW w:w="100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55,620</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number of shares of common stock to be outstanding after the offering is based on the number of shares outstanding as of March 31, 2017. As of that date, we had 19,198,454 shares outstanding, excluding:</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5,138,732 shares underlying options outstanding, at a weighted average exercise price of $11.39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3,931,416 shares issuable upon conversion of Series D Convertible Preferred Stock outstanding;</w:t>
      </w:r>
    </w:p>
    <w:p>
      <w:pPr>
        <w:spacing w:after="0" w:line="225"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3,430,877 shares underlying warrants outstanding, at a weighted average exercise price of $4.49 per share, of which 343,377 expire on July 19, 2017, 537,500 expire on May 4, 2020, 50,000 expire on April 15, 2021 and 2,500,000 expire on December 23, 2021;</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1,255,270 shares available for future grant under our Equity Incentive Plan;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400,942 shares issuable upon vesting of restricted stock units.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an underwriting agreement with the several underwriters listed in the table below. Roth Capital Partners, LLC is the representative of the underwriters. We refer to the several underwriters listed in the table below as the ‘‘underwriters.’’ Subject to the terms and conditions of the underwriting agreement, we have agreed to sell to the underwriters, and the underwriters have agreed to severally purchase from us, shares of our common stock. Our common stock trades on The NASDAQ Capital Market under the symbol “FH.”</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the terms and subject to the conditions contained in the underwriting agreement, we have agreed to sell to the underwriters named below, and each underwriter severally has agreed to purchase from us, the respective number of shares of common stock set forth opposite its name below:</w:t>
      </w:r>
    </w:p>
    <w:p>
      <w:pPr>
        <w:spacing w:after="0" w:line="120" w:lineRule="exact"/>
        <w:rPr>
          <w:sz w:val="20"/>
          <w:szCs w:val="20"/>
          <w:color w:val="auto"/>
        </w:rPr>
      </w:pPr>
    </w:p>
    <w:p>
      <w:pPr>
        <w:spacing w:after="0"/>
        <w:tabs>
          <w:tab w:leader="none" w:pos="9900" w:val="left"/>
        </w:tabs>
        <w:rPr>
          <w:sz w:val="20"/>
          <w:szCs w:val="20"/>
          <w:color w:val="auto"/>
        </w:rPr>
      </w:pPr>
      <w:r>
        <w:rPr>
          <w:rFonts w:ascii="Arial" w:cs="Arial" w:eastAsia="Arial" w:hAnsi="Arial"/>
          <w:sz w:val="17"/>
          <w:szCs w:val="17"/>
          <w:b w:val="1"/>
          <w:bCs w:val="1"/>
          <w:color w:val="auto"/>
        </w:rPr>
        <w:t>Underwriter</w:t>
      </w:r>
      <w:r>
        <w:rPr>
          <w:sz w:val="20"/>
          <w:szCs w:val="20"/>
          <w:color w:val="auto"/>
        </w:rPr>
        <w:tab/>
      </w:r>
      <w:r>
        <w:rPr>
          <w:rFonts w:ascii="Arial" w:cs="Arial" w:eastAsia="Arial" w:hAnsi="Arial"/>
          <w:sz w:val="17"/>
          <w:szCs w:val="17"/>
          <w:b w:val="1"/>
          <w:bCs w:val="1"/>
          <w:color w:val="auto"/>
        </w:rPr>
        <w:t>Number of Shares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underwriting agreement provides that the obligation of the underwriters to purchase the shares of common stock offered by this prospectus supplement and the accompanying prospectus is subject to certain conditions. The underwriters are obligated to purchase all of the shares of common stock offered hereby if any of the shares are purchased.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granted the underwriters an option to buy up to an additional shares of common stock from us at the public offering price, less the underwriting discounts and commissions, to cover over-allotments, if any. The underwriters may exercise this option at any time, in whole or in part, during the 30-day period after the date of this prospectus supplement; however, the underwriters may only exercise the option once.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Commissions and Expenses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underwriters propose to offer the shares of common stock purchased pursuant to the underwriting agreement to the public at the public offering</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price set forth on the cover page of this prospectus supplement and to certain dealers at that price less a concession not in excess of $ per share. After this offering, the public offering price and concession may be changed by the underwriters. No such change shall change the amount of proceeds to be received by us as set forth on the cover page of this prospectus supplement.</w:t>
      </w:r>
    </w:p>
    <w:p>
      <w:pPr>
        <w:spacing w:after="0" w:line="190" w:lineRule="exact"/>
        <w:rPr>
          <w:sz w:val="20"/>
          <w:szCs w:val="20"/>
          <w:color w:val="auto"/>
        </w:rPr>
      </w:pPr>
    </w:p>
    <w:p>
      <w:pPr>
        <w:jc w:val="both"/>
        <w:ind w:firstLine="943"/>
        <w:spacing w:after="0" w:line="291" w:lineRule="auto"/>
        <w:rPr>
          <w:sz w:val="20"/>
          <w:szCs w:val="20"/>
          <w:color w:val="auto"/>
        </w:rPr>
      </w:pPr>
      <w:r>
        <w:rPr>
          <w:rFonts w:ascii="Arial" w:cs="Arial" w:eastAsia="Arial" w:hAnsi="Arial"/>
          <w:sz w:val="16"/>
          <w:szCs w:val="16"/>
          <w:color w:val="auto"/>
        </w:rPr>
        <w:t>In connection with the sale of the common stock to be purchased by the underwriters, the underwriters will be deemed to have received compensation in the form of underwriting commissions and discounts. The underwriters' commissions and discount will be 7.0% of the gross proceeds of this</w:t>
      </w:r>
    </w:p>
    <w:p>
      <w:pPr>
        <w:jc w:val="both"/>
        <w:spacing w:after="0" w:line="290" w:lineRule="auto"/>
        <w:rPr>
          <w:sz w:val="20"/>
          <w:szCs w:val="20"/>
          <w:color w:val="auto"/>
        </w:rPr>
      </w:pPr>
      <w:r>
        <w:rPr>
          <w:rFonts w:ascii="Arial" w:cs="Arial" w:eastAsia="Arial" w:hAnsi="Arial"/>
          <w:sz w:val="17"/>
          <w:szCs w:val="17"/>
          <w:color w:val="auto"/>
        </w:rPr>
        <w:t>offering, or $ per share of common stock, based on the public offering price per share set forth on the cover page of this prospectus supplement. We have agreed to reimburse the representative at closing for expenses incurred by it in connection with the offering up to a maximum of $135,000.</w:t>
      </w:r>
    </w:p>
    <w:p>
      <w:pPr>
        <w:spacing w:after="0" w:line="162" w:lineRule="exact"/>
        <w:rPr>
          <w:sz w:val="20"/>
          <w:szCs w:val="20"/>
          <w:color w:val="auto"/>
        </w:rPr>
      </w:pPr>
    </w:p>
    <w:p>
      <w:pPr>
        <w:ind w:left="660"/>
        <w:spacing w:after="0"/>
        <w:tabs>
          <w:tab w:leader="none" w:pos="10860" w:val="left"/>
        </w:tabs>
        <w:rPr>
          <w:sz w:val="20"/>
          <w:szCs w:val="20"/>
          <w:color w:val="auto"/>
        </w:rPr>
      </w:pPr>
      <w:r>
        <w:rPr>
          <w:rFonts w:ascii="Arial" w:cs="Arial" w:eastAsia="Arial" w:hAnsi="Arial"/>
          <w:sz w:val="17"/>
          <w:szCs w:val="17"/>
          <w:color w:val="auto"/>
        </w:rPr>
        <w:t>We estimate that our total offering expenses for this offering, net of the underwriting discount and commission, will be approximately $</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ind w:firstLine="648"/>
        <w:spacing w:after="0" w:line="342" w:lineRule="auto"/>
        <w:rPr>
          <w:sz w:val="20"/>
          <w:szCs w:val="20"/>
          <w:color w:val="auto"/>
        </w:rPr>
      </w:pPr>
      <w:r>
        <w:rPr>
          <w:rFonts w:ascii="Arial" w:cs="Arial" w:eastAsia="Arial" w:hAnsi="Arial"/>
          <w:sz w:val="16"/>
          <w:szCs w:val="16"/>
          <w:color w:val="auto"/>
        </w:rPr>
        <w:t>The following table shows the underwriting discount and commissions payable to the underwriters by us in connection with this offering (assuming both the exercise and non-exercise of the over-allotment option to purchase additional shares of common stock we have granted to the underwriters):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740" w:type="dxa"/>
            <w:vAlign w:val="bottom"/>
            <w:gridSpan w:val="4"/>
          </w:tcPr>
          <w:p>
            <w:pPr>
              <w:ind w:left="880"/>
              <w:spacing w:after="0"/>
              <w:rPr>
                <w:sz w:val="20"/>
                <w:szCs w:val="20"/>
                <w:color w:val="auto"/>
              </w:rPr>
            </w:pPr>
            <w:r>
              <w:rPr>
                <w:rFonts w:ascii="Arial" w:cs="Arial" w:eastAsia="Arial" w:hAnsi="Arial"/>
                <w:sz w:val="18"/>
                <w:szCs w:val="18"/>
                <w:b w:val="1"/>
                <w:bCs w:val="1"/>
                <w:color w:val="auto"/>
              </w:rPr>
              <w:t>Per Share</w:t>
            </w:r>
          </w:p>
        </w:tc>
        <w:tc>
          <w:tcPr>
            <w:tcW w:w="1000" w:type="dxa"/>
            <w:vAlign w:val="bottom"/>
          </w:tcPr>
          <w:p>
            <w:pPr>
              <w:spacing w:after="0"/>
              <w:rPr>
                <w:sz w:val="20"/>
                <w:szCs w:val="20"/>
                <w:color w:val="auto"/>
              </w:rPr>
            </w:pPr>
          </w:p>
        </w:tc>
        <w:tc>
          <w:tcPr>
            <w:tcW w:w="1600" w:type="dxa"/>
            <w:vAlign w:val="bottom"/>
            <w:gridSpan w:val="4"/>
          </w:tcPr>
          <w:p>
            <w:pPr>
              <w:jc w:val="right"/>
              <w:ind w:right="1160"/>
              <w:spacing w:after="0"/>
              <w:rPr>
                <w:sz w:val="20"/>
                <w:szCs w:val="20"/>
                <w:color w:val="auto"/>
              </w:rPr>
            </w:pPr>
            <w:r>
              <w:rPr>
                <w:rFonts w:ascii="Arial" w:cs="Arial" w:eastAsia="Arial" w:hAnsi="Arial"/>
                <w:sz w:val="18"/>
                <w:szCs w:val="18"/>
                <w:b w:val="1"/>
                <w:bCs w:val="1"/>
                <w:color w:val="auto"/>
                <w:w w:val="97"/>
              </w:rPr>
              <w:t>Total</w:t>
            </w:r>
          </w:p>
        </w:tc>
      </w:tr>
      <w:tr>
        <w:trPr>
          <w:trHeight w:val="191"/>
        </w:trPr>
        <w:tc>
          <w:tcPr>
            <w:tcW w:w="4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5"/>
              </w:rPr>
              <w:t>Without</w:t>
            </w: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With</w:t>
            </w:r>
          </w:p>
        </w:tc>
        <w:tc>
          <w:tcPr>
            <w:tcW w:w="200" w:type="dxa"/>
            <w:vAlign w:val="bottom"/>
          </w:tcPr>
          <w:p>
            <w:pPr>
              <w:spacing w:after="0"/>
              <w:rPr>
                <w:sz w:val="16"/>
                <w:szCs w:val="16"/>
                <w:color w:val="auto"/>
              </w:rPr>
            </w:pPr>
          </w:p>
        </w:tc>
        <w:tc>
          <w:tcPr>
            <w:tcW w:w="1000" w:type="dxa"/>
            <w:vAlign w:val="bottom"/>
            <w:tcBorders>
              <w:top w:val="single" w:sz="8" w:color="auto"/>
            </w:tcBorders>
          </w:tcPr>
          <w:p>
            <w:pPr>
              <w:jc w:val="center"/>
              <w:ind w:left="70"/>
              <w:spacing w:after="0" w:line="191" w:lineRule="exact"/>
              <w:rPr>
                <w:sz w:val="20"/>
                <w:szCs w:val="20"/>
                <w:color w:val="auto"/>
              </w:rPr>
            </w:pPr>
            <w:r>
              <w:rPr>
                <w:rFonts w:ascii="Arial" w:cs="Arial" w:eastAsia="Arial" w:hAnsi="Arial"/>
                <w:sz w:val="18"/>
                <w:szCs w:val="18"/>
                <w:b w:val="1"/>
                <w:bCs w:val="1"/>
                <w:color w:val="auto"/>
                <w:w w:val="95"/>
              </w:rPr>
              <w:t>Without</w:t>
            </w: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6"/>
                <w:szCs w:val="16"/>
                <w:color w:val="auto"/>
              </w:rPr>
            </w:pPr>
          </w:p>
        </w:tc>
      </w:tr>
      <w:tr>
        <w:trPr>
          <w:trHeight w:val="216"/>
        </w:trPr>
        <w:tc>
          <w:tcPr>
            <w:tcW w:w="4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Over-</w:t>
            </w: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Over-</w:t>
            </w:r>
          </w:p>
        </w:tc>
        <w:tc>
          <w:tcPr>
            <w:tcW w:w="100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Over-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Over-</w:t>
            </w:r>
          </w:p>
        </w:tc>
      </w:tr>
      <w:tr>
        <w:trPr>
          <w:trHeight w:val="234"/>
        </w:trPr>
        <w:tc>
          <w:tcPr>
            <w:tcW w:w="4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allotment</w:t>
            </w:r>
          </w:p>
        </w:tc>
        <w:tc>
          <w:tcPr>
            <w:tcW w:w="24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allotment</w:t>
            </w:r>
          </w:p>
        </w:tc>
        <w:tc>
          <w:tcPr>
            <w:tcW w:w="100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allotment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allotment</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74"/>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Underwriting discount and commissions paid by us</w:t>
            </w:r>
          </w:p>
        </w:tc>
        <w:tc>
          <w:tcPr>
            <w:tcW w:w="2360" w:type="dxa"/>
            <w:vAlign w:val="bottom"/>
            <w:gridSpan w:val="2"/>
          </w:tcPr>
          <w:p>
            <w:pPr>
              <w:jc w:val="right"/>
              <w:ind w:right="993"/>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9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97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the underwriting agreement, we have agreed to indemnify the underwriters against certain liabilities, including liabilities under the Securities Act, or to contribute to payments that the underwriters or such other indemnified parties may be required to make in respect of those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Without the prior written consent of Roth Capital Partners, LLC, for a period of 90 days following the date of this prospectus (the “Lock-Up Period”), we have agreed not to directly or indirectly (i) offer, pledge, issue, sell, contract to sell, purchase, contract to purchase, lend or otherwise transfer or dispose of, directly or indirectly, any shares of common stock or any securities convertible into or exercisable or exchangeable for common stock of the Company, (ii) enter into any swap or other arrangement that transfers, in whole or in part, any of the economic consequences of ownership of shares of common stock or (iii) file any registration statement with the Commission relating to the offering of any shares of common stock or any securities convertible into or exercisable or exchangeable for shares of common stock, except, in the case of clause (i), for the issuance of the shares of our common stock in this offering, the issuance of shares of our common stock pursuant to our 2012 Employee, Director and Consultant Equity Incentive Plan or 2006 Stock Option Plan and the issuance of shares upon conversion of our Series D Convertible Preferred Stock.</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each of our directors, executive officers and greater than 5% stockholders has entered into a lock-up agreement with the underwriters. Under the lock-up agreements, the foregoing persons may not, directly or indirectly, (i) sell, assign, transfer, pledge, offer to sell, contract to sell, sell any option or contract to purchase, purchase any option or contract to sell, grant any option for sale (including any short sale), right or warrant to purchase, lend, establish an open “put equivalent position” (within the meaning of Rule 16a-1(h) under the Exchange Act, or otherwise dispose of, or enter into any transaction which is designed to or could be expected to result in the disposition of, any shares of common stock or securities convertible into or exercisable or exchangeable for any equity securities of the Company (including, without limitation, shares of common stock or any such securities which may be deemed to be beneficially owned by such persons in accordance with the rules and regulations promulgated by the Securities and Exchange Commission (the “Commission”) from time to time (such shares or securities, the “Beneficially Owned Shares”)), or publicly announce any intention to do any of the foregoing, other than the exercise of options or warrants so long as there is no sale or disposition of the common stock underlying such options or warrants during the Lock-Up Period, (ii) enter into any swap, hedge or other agreement or arrangement that transfers in whole or in part, the economic risk of ownership of any Beneficially Owned Shares, common stock or securities convertible into or exercisable or exchangeable for any equity securities of the Company, or (iii) engage in any short selling of any Beneficially Owned Shares, common stock or securities convertible into or exercisable or exchangeable for any equity securities of the Company, whether any such transaction described in clause (i), (ii) or (iii) above is to be settled by delivery of shares of common stock or such other securities, in cash or otherwise, without the prior written consent of Roth Capital Partners, LLC, for a period of 90 days from the date of this prospectus supplement. This consent may be given at any time without public notice. These restrictions on future dispositions by our directors, executive officers and greater than 5% stockholders are subject to certain exceptions for transfers of Beneficially Owned Shares, including but not limited to transfers (i) as a bona fide gift or gifts, (ii) by operation of law, including pursuant to a qualified domestic order or in connection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with a divorce settlement, (iii) to the immediate family of the transferor, (iv) to any trust for the direct or indirect benefit of such person or the immediate family of the transferor, (v) to any beneficiary of the transferor pursuant to a will or other testamentary document or applicable laws of descent and (vi) to any corporation, partnership, limited liability company or other entity all of the beneficial ownership interests of which are held by the transferor or the immediate family of the transferor.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prospectus supplement and the accompanying prospectus may be made available in electronic format on websites or through other online services maintained by the underwriters or by their affiliates. In those cases, prospective investors may view offering terms online and prospective investors may be allowed to place orders online. Other than this prospectus supplement and the accompanying prospectus in electronic format, the information on the underwriters' websites or our website and any information contained in any other websites maintained by the underwriters or by us is not part of this prospectus supplement, the accompanying prospectus or the registration statement of which this prospectus supplement and the accompanying prospectus forms a part, has not been approved and/or endorsed by us or the underwriters in their capacity as underwriters, and should not be relied upon by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236" w:lineRule="exact"/>
        <w:rPr>
          <w:rFonts w:ascii="Arial" w:cs="Arial" w:eastAsia="Arial" w:hAnsi="Arial"/>
          <w:sz w:val="17"/>
          <w:szCs w:val="17"/>
          <w:color w:val="auto"/>
        </w:rPr>
      </w:pPr>
    </w:p>
    <w:p>
      <w:pPr>
        <w:jc w:val="both"/>
        <w:ind w:left="660" w:hanging="328"/>
        <w:spacing w:after="0" w:line="297"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158"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A naked short position occurs if the underwriters sell more shares than could be covered by the over-allotment option. This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8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Penalty bids permit the underwriters to reclaim a selling concession from a syndicate member when the common stock originally sold by the syndicate member is purchased in a stabilizing or syndicate covering transaction to cover syndicate short positions.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discontinued at any time.</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Neither we nor the underwriters make any representation or prediction as to the direction or magnitude of any effect that the transactions described above may have on the price of our shares of common stock. In addition,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neither we nor the underwriters make any representation that the underwriters will engage in these transactions or that any transaction, if commenced, will not be discontinued without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jc w:val="both"/>
        <w:ind w:firstLine="714"/>
        <w:spacing w:after="0" w:line="273" w:lineRule="auto"/>
        <w:rPr>
          <w:sz w:val="20"/>
          <w:szCs w:val="20"/>
          <w:color w:val="auto"/>
        </w:rPr>
      </w:pPr>
      <w:r>
        <w:rPr>
          <w:rFonts w:ascii="Arial" w:cs="Arial" w:eastAsia="Arial" w:hAnsi="Arial"/>
          <w:sz w:val="17"/>
          <w:szCs w:val="17"/>
          <w:color w:val="auto"/>
        </w:rPr>
        <w:t>This prospectus supplement and the accompanying prospectus does not constitute an approved prospectus under Directive 2003/71/EC and no such prospectus is intended to be prepared and approved in connection with this offering. Accordingly, in relation to each Member State of the European Economic Area which has implemented Directive 2003/71/EC (each, a “Relevant Member State”) an offer to the public of any shares of common stock which are the subject of the offering contemplated by this prospectus supplement and the accompanying prospectus may not be made in that Relevant Member State except that an offer to the public in that Relevant Member State of any shares of common stock may be made at any time under the following exemptions under the Prospectus Directive, if and to the extent that they have been implemented in that Relevant Member State:</w:t>
      </w:r>
    </w:p>
    <w:p>
      <w:pPr>
        <w:spacing w:after="0" w:line="178" w:lineRule="exact"/>
        <w:rPr>
          <w:sz w:val="20"/>
          <w:szCs w:val="20"/>
          <w:color w:val="auto"/>
        </w:rPr>
      </w:pPr>
    </w:p>
    <w:p>
      <w:pPr>
        <w:ind w:left="1680" w:hanging="340"/>
        <w:spacing w:after="0"/>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jc w:val="both"/>
        <w:ind w:left="660" w:firstLine="711"/>
        <w:spacing w:after="0" w:line="264" w:lineRule="auto"/>
        <w:tabs>
          <w:tab w:leader="none" w:pos="1731"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of the underwriters for any such offer; or</w:t>
      </w:r>
    </w:p>
    <w:p>
      <w:pPr>
        <w:spacing w:after="0" w:line="18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(c)  in any other circumstances which do not require any person to publish a prospectus pursuant to Article 3 of the Prospectus Directive.</w:t>
      </w:r>
    </w:p>
    <w:p>
      <w:pPr>
        <w:spacing w:after="0" w:line="248" w:lineRule="exact"/>
        <w:rPr>
          <w:sz w:val="20"/>
          <w:szCs w:val="20"/>
          <w:color w:val="auto"/>
        </w:rPr>
      </w:pPr>
    </w:p>
    <w:p>
      <w:pPr>
        <w:jc w:val="both"/>
        <w:ind w:firstLine="723"/>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common stock in any Relevant Member State means the communication in any form and by any means of sufficient information on the terms of the offer and any shares of common stock to be offered so as to enable an investor to decide to purchase any shares of common stock, as the expression may be varied in that Member State by any measure implementing the Prospectus Directive in that Member State and the expression "Prospectus Directive" means Directive 2003/71/EC (and any amendments thereto including the 2010 PD Amending Directive to the extent implemented in each Relevant Member State) and includes any relevant implementing measure in each Relevant Member State and the expression "2010 PD Amending Directive" means Directive 2010/73/EU.</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jc w:val="both"/>
        <w:ind w:firstLine="897"/>
        <w:spacing w:after="0" w:line="287" w:lineRule="auto"/>
        <w:rPr>
          <w:sz w:val="20"/>
          <w:szCs w:val="20"/>
          <w:color w:val="auto"/>
        </w:rPr>
      </w:pPr>
      <w:r>
        <w:rPr>
          <w:rFonts w:ascii="Arial" w:cs="Arial" w:eastAsia="Arial" w:hAnsi="Arial"/>
          <w:sz w:val="16"/>
          <w:szCs w:val="16"/>
          <w:color w:val="auto"/>
        </w:rPr>
        <w:t>This prospectus supplement and the accompanying prospectus are not an approved prospectus for purposes of the UK Prospectus Rules, as implemented under the EU Prospectus Directive (2003/71/EC), and have not been approved under section 21 of the Financial Services and Markets Act 2000 (as amended) (the "FSMA") by a person authorized under FSMA. The financial promotions contained in this prospectus supplement and the accompanying prospectus are directed at, and this prospectus supplement and the accompanying prospectus are only being distributed to, (1) persons who receive this prospectus supplement and the accompanying prospectus outside of the United Kingdom, and (2) persons in the United Kingdom who fall within the exemptions under articles 19 (investment professionals) and 49(2)(a) to (d) (high net worth companies, unincorporated associations, etc.) of the Financial Services and Markets Act 2000 (Financial Promotion) Order 2005 (all such persons together being referred to as "Relevant Persons"). This prospectus supplement and the accompanying prospectus must not be acted upon or relied upon by any person who is not a Relevant Person. Any investment or investment activity to which this prospectus supplement and the accompanying prospectus relate is available only to Relevant Persons and will be engaged in only with Relevant Persons. This prospectus supplement and the accompanying prospectus and their contents are confidential and should not be distributed, published or reproduced (in whole or in part) or disclosed by recipients to any other person that is not a Relevant Person.</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representative has represented, warranted and agreed that: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left="660" w:firstLine="708"/>
        <w:spacing w:after="0" w:line="264" w:lineRule="auto"/>
        <w:tabs>
          <w:tab w:leader="none" w:pos="17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any invitation or inducement to engage in investment activity (within the meaning of section 21 of the FSMA in connection with the issue or sale of any of the shares of common stock in circumstances in which section 21(1) of the FSMA does not apply to the issuer; and</w:t>
      </w:r>
    </w:p>
    <w:p>
      <w:pPr>
        <w:spacing w:after="0" w:line="181" w:lineRule="exact"/>
        <w:rPr>
          <w:rFonts w:ascii="Arial" w:cs="Arial" w:eastAsia="Arial" w:hAnsi="Arial"/>
          <w:sz w:val="18"/>
          <w:szCs w:val="18"/>
          <w:color w:val="auto"/>
        </w:rPr>
      </w:pPr>
    </w:p>
    <w:p>
      <w:pPr>
        <w:ind w:left="660" w:firstLine="705"/>
        <w:spacing w:after="0" w:line="277" w:lineRule="auto"/>
        <w:tabs>
          <w:tab w:leader="none" w:pos="17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shares of common stock in, from or otherwise involving the United Kingdom.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the underwriters (including the representative) and their respective affiliates have engaged in, and may in the future engage in, investment banking and other commercial dealings in the ordinary course of business with us or our affiliates for which they have received, or may in the future receive, customary fees and commissions for these transactions. Except as disclosed in this prospectus supplement, we have no present arrangements with the underwriters for any services.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validity of the issuance of the shares offered hereby will be passed upon by Mintz, Levin, Cohn, Ferris, Glovsky and Popeo, P.C., New York, New York. Pillsbury Winthrop Shaw Pittman LLP, New York, New York, is acting as counsel for the underwriters in connection with this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CohnReznick, LLP, our independent registered public accounting firm, has audited our financial statements included in our Annual Report on Form 10-K for the year ended December 31, 2016 and 2015, which are incorporated by reference in this prospectus supplement and elsewhere in the registration statement. Our financial statements are incorporated by reference in reliance on CohnReznick, LLP’s reports, given on their authority as experts in accounting and auditing.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BDO USA, LLP, an independent registered public accounting firm, has audited the financial statements of XpresSpa included in our Current Report on Form 8-K/A dated March 7, 2017 for the year ended December 31, 2015 and 2014, which are incorporated by reference in this prospectus supplement and elsewhere in the registration statement. These financial statements are incorporated by reference in reliance on BDO USA, LLP’s reports, given 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file annual, quarterly and periodic reports, proxy statements and other information with the Commission. You may read and copy any materials that we file with the Commission at the Commission’s Public Reference Room at 100 F Street, N.E., Washington, D.C. 20549. You may obtain information on the operation of the Public Reference Room by calling the Commission at 1-800-SEC-0330. Many of our Commission filings are also available to the public from the Commission’s website at http://www.sec.gov.</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http://www.formholdings.com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filed with the Commission a registration statement on Form S-3 under the Securities Act relating to the shares we are offering by this prospectus. This prospectus does not contain all of the information set forth in the registration statement and the exhibits and schedules to the registration statement. Please refer to the registration statement and its exhibits and schedules for further information with respect to us and our shares. Statements contained in this prospectus as to the contents of any contract or other document are not necessarily complete and, in each instance, we refer you to the copy of that contract or document filed as an exhibit to the registration statement. You may read and obtain a copy of the registration statement and its exhibits and schedules from the Commission, as described in the preceding paragraph.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Commission allows us to “incorporate by reference” the information we file with the Commission, which means that we can disclose important information to you by referring you to those documents. The information incorporated by reference is considered to be part of this prospectus supplement, and information that we file later with the Commission will automatically update and supersede this information. We incorporate by reference the documents filed with Commission listed below:</w:t>
      </w:r>
    </w:p>
    <w:p>
      <w:pPr>
        <w:spacing w:after="0" w:line="18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December 31, 2016, filed on March 30, 2016, as amended on May 1, 2017;</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Current Reports on Form 8-K filed with the Commission on January 20, 2017, February 3, 2017, March 7, 2017 and May 15, 2017 (with respect to Items 5.02 and 9.01);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Current Reports on Form 8-K/A filed with the Commission on March 7, 2017;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description of our Shares contained in our Registration Statement on Form 8-A filed with the Commission on June 16, 2010.</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reports and other documents subsequently filed by us with the Commission pursuant to Sections 13(a), 13(c), 14, or 15(d) of the Securities Exchange Act of 1934 after the date of this prospectus supplement and before the termination of the offering shall be deemed to be incorporated by reference in this prospectus supplement and to be a part of this prospectus supplement from the date of filing of such reports and documents. This prospectus supplement also incorporates by reference any documents that we filed with the Commission after the date that the initial registration statement was filed with the Commission and effectiveness of the registration statement. Any statement contained in any document incorporated or deemed to be incorporated by reference herein shall be deemed to be modified or superseded for purposes of this prospectus supplement to the extent that a statement contained in this prospectus supplement or in any other subsequently filed document which also is or is deemed to be incorporated by reference in this prospectus supplement modifies or supersedes such statement. Any statement so modified or superseded shall not be deemed, except as so modified or superseded, to constitute a part of this prospectus supplement.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request, orally or in writing, a copy of any or all of the documents incorporated herein by reference. These documents will be provided to</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you at no cost, by contacting: Investor Relations, FORM Holdings Corp.,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10017 or call (212) 309-7549.</w:t>
      </w:r>
    </w:p>
    <w:p>
      <w:pPr>
        <w:spacing w:after="0"/>
        <w:rPr>
          <w:sz w:val="20"/>
          <w:szCs w:val="20"/>
          <w:color w:val="auto"/>
        </w:rPr>
      </w:pPr>
      <w:r>
        <w:rPr>
          <w:rFonts w:ascii="Arial" w:cs="Arial" w:eastAsia="Arial" w:hAnsi="Arial"/>
          <w:sz w:val="17"/>
          <w:szCs w:val="17"/>
          <w:color w:val="auto"/>
        </w:rPr>
        <w:t>Exhibits to the documents will not be sent, unless those exhibits have specifically been incorporated by reference in this prospectus supplement.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$50,000,000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rights or performance of purchase contracts; or any combination of these securities upon the performance of purchase contracts.</w:t>
      </w:r>
    </w:p>
    <w:p>
      <w:pPr>
        <w:spacing w:after="0" w:line="188"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jc w:val="both"/>
        <w:ind w:firstLine="661"/>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58" w:lineRule="exact"/>
        <w:rPr>
          <w:sz w:val="20"/>
          <w:szCs w:val="20"/>
          <w:color w:val="auto"/>
        </w:rPr>
      </w:pPr>
    </w:p>
    <w:p>
      <w:pPr>
        <w:jc w:val="both"/>
        <w:ind w:firstLine="661"/>
        <w:spacing w:after="0" w:line="279" w:lineRule="auto"/>
        <w:rPr>
          <w:sz w:val="20"/>
          <w:szCs w:val="20"/>
          <w:color w:val="auto"/>
        </w:rPr>
      </w:pPr>
      <w:r>
        <w:rPr>
          <w:rFonts w:ascii="Arial" w:cs="Arial" w:eastAsia="Arial" w:hAnsi="Arial"/>
          <w:sz w:val="17"/>
          <w:szCs w:val="17"/>
          <w:color w:val="auto"/>
        </w:rPr>
        <w:t>Our common stock is listed on the NASDAQ Capital Market under the symbol “VRNG.” On July 23, 2015, the last reported sale price of our common stock was $0.46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67" w:lineRule="exact"/>
        <w:rPr>
          <w:sz w:val="20"/>
          <w:szCs w:val="20"/>
          <w:color w:val="auto"/>
        </w:rPr>
      </w:pPr>
    </w:p>
    <w:p>
      <w:pPr>
        <w:jc w:val="both"/>
        <w:ind w:firstLine="661"/>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10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80" w:lineRule="exact"/>
        <w:rPr>
          <w:sz w:val="20"/>
          <w:szCs w:val="20"/>
          <w:color w:val="auto"/>
        </w:rPr>
      </w:pPr>
    </w:p>
    <w:p>
      <w:pPr>
        <w:ind w:right="320" w:firstLine="667"/>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July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80" w:type="dxa"/>
            <w:vAlign w:val="bottom"/>
            <w:gridSpan w:val="4"/>
          </w:tcPr>
          <w:p>
            <w:pPr>
              <w:ind w:left="3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PROSPECTUS SUMMARY</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SPECIAL NOTE REGARDING FORWARD-LOOKING STATEMENTS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RATIO OF EARNINGS TO FIXED CHARGES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USE OF PROCEEDS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PLAN OF DISTRIBUTION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CAPITAL STOCK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DEBT SECURITIES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WARRANTS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RIGHTS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PURCHASE CONTRACTS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UNITS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LEGAL MATTERS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WHERE YOU CAN FIND MORE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INCORPORATION OF INFORMATION BY REFERENCE</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61"/>
        <w:spacing w:after="0" w:line="276"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or purchase contracts to purchase any of such securities, either individually or in units, in one or more offerings, with a total value of up to $50,000,000.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3"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8"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78" w:lineRule="exact"/>
        <w:rPr>
          <w:sz w:val="20"/>
          <w:szCs w:val="20"/>
          <w:color w:val="auto"/>
        </w:rPr>
      </w:pPr>
    </w:p>
    <w:p>
      <w:pPr>
        <w:jc w:val="both"/>
        <w:ind w:firstLine="661"/>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the context otherwise requires, “Vringo,” “the Company,” “we,” “us,” “our” and similar terms refer to Vringo, Inc. and its subsidiaries.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5355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5355590"/>
                    </a:xfrm>
                    <a:prstGeom prst="rect">
                      <a:avLst/>
                    </a:prstGeom>
                    <a:noFill/>
                  </pic:spPr>
                </pic:pic>
              </a:graphicData>
            </a:graphic>
          </wp:anchor>
        </w:drawing>
        <w:t>PROSPECTUS SUMMARY</w:t>
      </w:r>
    </w:p>
    <w:p>
      <w:pPr>
        <w:spacing w:after="0" w:line="229"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7" w:lineRule="exact"/>
        <w:rPr>
          <w:sz w:val="20"/>
          <w:szCs w:val="20"/>
          <w:color w:val="auto"/>
        </w:rPr>
      </w:pPr>
    </w:p>
    <w:p>
      <w:pPr>
        <w:ind w:left="960" w:hanging="3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manage an intellectual property portfolio consisting of over 600 patents and patent applications, covering telecom infrastructure, internet search and mobile technologies. These patents and patent applications have been developed internally or acquired from third parties. We strive to develop, acquire, license and protect innovation worldwide. We seek to expand our portfolio of intellectual property through acquisition and development both internally and with the assistance of third parties. Our goal is to partner with innovators of compelling technologies.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potential acquisitions, we seek to purchase all of, or interests in, technology and intellectual property in exchange for cash, our securities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360" w:top="985"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5906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6590665"/>
                    </a:xfrm>
                    <a:prstGeom prst="rect">
                      <a:avLst/>
                    </a:prstGeom>
                    <a:noFill/>
                  </pic:spPr>
                </pic:pic>
              </a:graphicData>
            </a:graphic>
          </wp:anchor>
        </w:drawing>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three European patents. Subsequently, ZTE responded to the complaint with a counterclaim for invalidity of the patents-in-suit. Vringo Infrastructure filed a second UK suit on December 3, 2012, alleging infringement of three additional European patents.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2014, Vringo Infrastructure withdrew its claim to one of the patents included in the first suit, and ZTE withdrew its invalidity counterclaim. Another patent included in the first suit was heard in a trial that commenced on October 28, 2014.</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28, 2014, the Court found the patent valid as amended and infringed by ZTE. Following the Court’s ruling, ZTE applied to introduce new prior art and re-argue the validity of the patent; the application was rejected on January 30, 2015. There was no appeal by ZTE of the substantive decision and therefore the decision is final. Trial on the remedies phase is currently scheduled to occur in the first half of 2016 and will focus on the appropriate royalty rate to be awarded.</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181818"/>
        </w:rPr>
        <w:t>On April 10, 2015, Vringo and ZTE reached an agreement in relation to the remaining European Patent in issue (EP (UK) 1 330 933) in the second patent case in the UK as a result of which the parties withdrew their respective claims and counterclaims.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171"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$1,085,000 as of March 31, 2015) to the Court in order to enforce the injunction against ZTE.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third quarter of 2015.</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5" w:right="339" w:bottom="1440" w:gutter="0" w:footer="0" w:header="0"/>
        </w:sectPr>
      </w:pPr>
    </w:p>
    <w:bookmarkStart w:id="32" w:name="page33"/>
    <w:bookmarkEnd w:id="32"/>
    <w:p>
      <w:pPr>
        <w:jc w:val="both"/>
        <w:ind w:firstLine="64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204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Trial in the nullity suit with respect to the first European patent took place on March 4, 2015. The Court indicated that it will present its findings in a written decision, which is likely to be released in the second quarter of 2015. Trial in the nullity suit with respect to the second European patent has been scheduled for the fourth quarter of 2015.</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ZTE filed nullity suits against three Vringo patents not currently being asserted against ZTE. Vringo believes these claims are meritless and will vigorously defend the validity of its patents. No schedule has currently been set in these cases.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ZTE has filed 33 reexamination requests of Vringo’s Chinese patents with the Patent Re-Examination Board (“PRB”) of the State Intellectual Property Office of the People’s Republic of China. To date, the PRB has upheld the validity of 17 of Vringo’s patents, partially upheld the validity of two of Vringo’s patents, and has held that 12 of Vringo’s patents are invalid. Vringo has filed appeals on the PRB’s decision on the nine patents that are held invalid. The appeal process is expected to take at least one year. The remaining reexamination requests remain pending, with decisions expected to be rendered on a rolling basis.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181818"/>
        </w:rPr>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The Court conducted hearing on May 29, 2015 for the parties to submit any evidence on which they intend to rely and during which ZTE amended its complaint to increase its damages demand. As a result Vringo filed a motion contesting the jurisdiction of the court which was denied. Vringo’s appeal of the jurisdictional question is pending. The trial court scheduled hearings starting on June 9, 2015 for the parties to argue their positions. The trial has been stayed pending the appeal. The appellate process is expected to take at least two months.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w:t>
      </w:r>
    </w:p>
    <w:p>
      <w:pPr>
        <w:jc w:val="both"/>
        <w:ind w:right="20"/>
        <w:spacing w:after="0" w:line="205" w:lineRule="auto"/>
        <w:rPr>
          <w:sz w:val="20"/>
          <w:szCs w:val="20"/>
          <w:color w:val="auto"/>
        </w:rPr>
      </w:pPr>
      <w:r>
        <w:rPr>
          <w:rFonts w:ascii="Arial" w:cs="Arial" w:eastAsia="Arial" w:hAnsi="Arial"/>
          <w:sz w:val="18"/>
          <w:szCs w:val="18"/>
          <w:color w:val="auto"/>
        </w:rPr>
        <w:t>liability and injunctive relief for these patents was held on April 13, 2015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 We anticipate that the Court will render a decision in the third quarter of 2015.</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3157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t>Australia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In March 2015, the Court granted Vringo’s request to join ZTE as a party to the action. We currently anticipate that the Court will set a trial date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On April 14, 2014, Vringo Infrastructure filed a patent infringement lawsuit assigned to the 5th Trial Court of Rio de Janeiro State Court in Brazil, alleging infringement of a Brazilian patent related to 3G/4G/LTE infrastructure. This is the Brazilian counterpart to the patent found to be valid as amended and infringed in the UK. On April 15, 2014, the court granted an ex-parte preliminary injunction restraining ZTE from manufacturing, using, offering for sale, selling, installing, testing, or importing such infrastructure equipment, subject to a fine. The Company posted a bond of approximately R$ 2,020,000 (approximately $621,000 as of March 31, 2015) with the court on April 17, 2014 as a surety against the truth of the allegations contained in the complaint. ZTE has filed numerous appeals against the injunction since, all of which have been rejected.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The Brazilian patent office answered the complaint, supporting the validity of the patent and requesting the dismissal of the complaint. A schedule for the remainder of this matter has not yet been set.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April 2015, ZTE filed a second suit in the Federal district court in Rio de Janeiro, against Vringo and the Brazilian patent office, seeking to prevent Vringo from enforcing the injunction issued in the state court. A schedule for this matter has not yet been set.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002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7002145"/>
                    </a:xfrm>
                    <a:prstGeom prst="rect">
                      <a:avLst/>
                    </a:prstGeom>
                    <a:noFill/>
                  </pic:spPr>
                </pic:pic>
              </a:graphicData>
            </a:graphic>
          </wp:anchor>
        </w:drawing>
        <w:t>Malaysia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the fourth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approximately €243,000 in order to continue to enforce the injunction. On February 4, 2015, the Court rejected ZTE’s request for the Court to order Vringo to pay an increased bond of €40,000,000, in a final decision that may not be appealed. Vringo paid the €243,000 bond on February 11, 2015 (approximately $264,000 as of March 31, 2015). ZTE has filed numerous appeals against the injunction since, all of which have been rejected.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schedule has not yet been set in this matter.</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retains the right to appeal this decision.</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23, 2014, ZTE filed suit in the District Court of The Hague seeking the invalidity of Vringo’s European Patent that is the subject of the other proceedings taking place in the same Court. A hearing in this matter has not yet been scheduled.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a non-disclosure agreement (“NDA”) between the parties,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On October 2, 2014, Vringo filed a motion for judgment on the pleadings, similar to a motion for summary judgment, asking the court to render a judgment on Vringo’s cause of action based solely on the pleadings of the parties. On April 6, 2015, the Court granted Vringo’s motion in part, holding that ZTE breached the NDA. On June 3, 2015, the Court granted, in part, Vringo’s request for a preliminary injunction, effectively converting the previously-granted temporary restraining order into a preliminary injunction.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90" w:right="339" w:bottom="1440" w:gutter="0" w:footer="0" w:header="0"/>
        </w:sectPr>
      </w:pPr>
    </w:p>
    <w:bookmarkStart w:id="35" w:name="page36"/>
    <w:bookmarkEnd w:id="35"/>
    <w:p>
      <w:pPr>
        <w:jc w:val="both"/>
        <w:ind w:firstLine="648"/>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002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7002145"/>
                    </a:xfrm>
                    <a:prstGeom prst="rect">
                      <a:avLst/>
                    </a:prstGeom>
                    <a:noFill/>
                  </pic:spPr>
                </pic:pic>
              </a:graphicData>
            </a:graphic>
          </wp:anchor>
        </w:drawing>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Arial" w:cs="Arial" w:eastAsia="Arial" w:hAnsi="Arial"/>
          <w:sz w:val="16"/>
          <w:szCs w:val="16"/>
          <w:color w:val="181818"/>
        </w:rPr>
        <w:t>On February 10, 2015, the Court dissolved the temporary restraining order and</w:t>
      </w:r>
      <w:r>
        <w:rPr>
          <w:rFonts w:ascii="Arial" w:cs="Arial" w:eastAsia="Arial" w:hAnsi="Arial"/>
          <w:sz w:val="16"/>
          <w:szCs w:val="16"/>
          <w:color w:val="auto"/>
        </w:rPr>
        <w:t xml:space="preserve"> </w:t>
      </w:r>
      <w:r>
        <w:rPr>
          <w:rFonts w:ascii="Arial" w:cs="Arial" w:eastAsia="Arial" w:hAnsi="Arial"/>
          <w:sz w:val="16"/>
          <w:szCs w:val="16"/>
          <w:color w:val="181818"/>
        </w:rPr>
        <w:t>preliminary injunction and granted Vringo’s request to transfer the case to the United States District Court for the Southern District of New York.</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181818"/>
        </w:rPr>
        <w:t xml:space="preserve">On February 5, 2015, ZTE filed </w:t>
      </w:r>
      <w:r>
        <w:rPr>
          <w:rFonts w:ascii="Arial" w:cs="Arial" w:eastAsia="Arial" w:hAnsi="Arial"/>
          <w:sz w:val="18"/>
          <w:szCs w:val="18"/>
          <w:i w:val="1"/>
          <w:iCs w:val="1"/>
          <w:color w:val="181818"/>
        </w:rPr>
        <w:t>inter partes</w:t>
      </w:r>
      <w:r>
        <w:rPr>
          <w:rFonts w:ascii="Arial" w:cs="Arial" w:eastAsia="Arial" w:hAnsi="Arial"/>
          <w:sz w:val="18"/>
          <w:szCs w:val="18"/>
          <w:color w:val="181818"/>
        </w:rPr>
        <w:t xml:space="preserve"> review (“IPR”) requests for five of Vringo’s United States Patents. The requests, filed with the Patent Trial and Appeal Board (“PTAB”) of the United States Patent and Trademark Office will remain pending until the PTAB makes a decision on whether to grant the requests and, thus, review the patents. While these patents have counterparts being litigated by Vringo in other parts of the world, none of these United States Patents are currently in litigation. On June 5, 2015, ZTE withdrew their requests for IPR for procedural reasons. Vringo anticipates that ZTE will re-file them in the near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Patent Office</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May 14, 2015, ZTE filed an opposition to one of Vringo’s newly issued patents at the European Patent Office. Vringo believes that ZTE’s request has no merit and plans to vigorously defend the validity of its patent. A schedule has not yet been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Development and Reform Commission (China)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13, 2015, Vringo Infrastructure received a Request for Assistance in Investigation from the National Development and Reform Commission of the People’s Republic of China (NDRC). This request was based on a complaint filed by ZTE against Vringo. The NDRC has demanded that Vringo consent to mediation with ZTE overseen by the NDRC or face severe criminal and civil penalties. Vringo is actively responding to the NDRC’s concerns and working to convince them that ZTE’s claims have no merit. Vringo is additionally working to ensure that the NDRC respects the various relevant treaties to which the United States and China are signatories.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3157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t>India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15, 2011, our wholly-owned subsidiary, I/P Engine, Inc. (“I/P Engine”) initiated litigation in the United States District Court, for the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Trial commenced on October 16, 2012, and the case was submitted to the jury on November 1, 2012.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On November 20, 2012, the clerk entered the District Court's final judgment.</w:t>
      </w:r>
    </w:p>
    <w:p>
      <w:pPr>
        <w:spacing w:after="0" w:line="188"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On January 3, 2014, the District Court ordered that I/P Engine recover an additional sum of $17.32 million from Defendants for supplemental damages and prejudgment interest. On January 21, 2014, the District Court ruled that Defendants' alleged design-around is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August 15, 2014, the Court of Appeals for the Federal Circuit (“Federal Circuit”) held that the claims of the patents-in-suit asserted by the Company against the Defendants are invalid for obviousness. On August 20, 2014, Vringo announced that I/P Engine would seek en banc review of the Federal Circuit's decision.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15, 2014, I/P Engine filed a petition for rehearing en banc, in which it argued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w:t>
      </w:r>
    </w:p>
    <w:p>
      <w:pPr>
        <w:spacing w:after="0" w:line="18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181818"/>
        </w:rPr>
        <w:t xml:space="preserve">On December 15, 2014, </w:t>
      </w:r>
      <w:r>
        <w:rPr>
          <w:rFonts w:ascii="Arial" w:cs="Arial" w:eastAsia="Arial" w:hAnsi="Arial"/>
          <w:sz w:val="17"/>
          <w:szCs w:val="17"/>
          <w:color w:val="000000"/>
        </w:rPr>
        <w:t>the Federal Circuit denied I/P Engine's petition for rehearing of the case en banc and consequently, we announced that</w:t>
      </w:r>
      <w:r>
        <w:rPr>
          <w:rFonts w:ascii="Arial" w:cs="Arial" w:eastAsia="Arial" w:hAnsi="Arial"/>
          <w:sz w:val="17"/>
          <w:szCs w:val="17"/>
          <w:color w:val="181818"/>
        </w:rPr>
        <w:t xml:space="preserve"> I/P Engine will seek review by the Supreme Court of the United States (“Supreme Court”) of the Federal Circuit's decision. On May 14, 2015, I/P </w:t>
      </w:r>
      <w:r>
        <w:rPr>
          <w:rFonts w:ascii="Arial" w:cs="Arial" w:eastAsia="Arial" w:hAnsi="Arial"/>
          <w:sz w:val="17"/>
          <w:szCs w:val="17"/>
          <w:color w:val="000000"/>
        </w:rPr>
        <w:t>Engine filed</w:t>
      </w:r>
      <w:r>
        <w:rPr>
          <w:rFonts w:ascii="Arial" w:cs="Arial" w:eastAsia="Arial" w:hAnsi="Arial"/>
          <w:sz w:val="17"/>
          <w:szCs w:val="17"/>
          <w:color w:val="181818"/>
        </w:rPr>
        <w:t xml:space="preserve"> </w:t>
      </w:r>
      <w:r>
        <w:rPr>
          <w:rFonts w:ascii="Arial" w:cs="Arial" w:eastAsia="Arial" w:hAnsi="Arial"/>
          <w:sz w:val="17"/>
          <w:szCs w:val="17"/>
          <w:color w:val="000000"/>
        </w:rPr>
        <w:t>a petition for writ of certiorari with the Supreme Court of the United States. The petition asks the Court to review and overturn a divided opinion of the U.S. Court of Appeals for the Federal Circuit, issued on August 15, 2014, which reversed a jury verdict entered in favor of I/P Engine against Google and certain of Google's customers in the United States District Court for the Eastern District of Virginia.</w:t>
      </w:r>
    </w:p>
    <w:p>
      <w:pPr>
        <w:spacing w:after="0" w:line="17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court dockets for the foregoing cases are publicly available on the Public Access to Court Electronic Records website, www.pacer.gov, which is operated by the Administrative Office of the U.S. Courts and the website for the Supreme Court of the United States, www.supremecourt.gov.</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164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7164705"/>
                    </a:xfrm>
                    <a:prstGeom prst="rect">
                      <a:avLst/>
                    </a:prstGeom>
                    <a:noFill/>
                  </pic:spPr>
                </pic:pic>
              </a:graphicData>
            </a:graphic>
          </wp:anchor>
        </w:drawing>
        <w:t>Risks Associated with our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is subject to numerous risks, as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We were incorporated in Delaware in 2006. Our principal executive offices are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and our telephone number is (212) 309-7549. Our principal website is </w:t>
      </w:r>
      <w:r>
        <w:rPr>
          <w:rFonts w:ascii="Arial" w:cs="Arial" w:eastAsia="Arial" w:hAnsi="Arial"/>
          <w:sz w:val="18"/>
          <w:szCs w:val="18"/>
          <w:i w:val="1"/>
          <w:iCs w:val="1"/>
          <w:color w:val="auto"/>
        </w:rPr>
        <w:t>www.vringoip.com</w:t>
      </w:r>
      <w:r>
        <w:rPr>
          <w:rFonts w:ascii="Arial" w:cs="Arial" w:eastAsia="Arial" w:hAnsi="Arial"/>
          <w:sz w:val="18"/>
          <w:szCs w:val="18"/>
          <w:color w:val="auto"/>
        </w:rPr>
        <w:t>. Information found on, or accessible through, our website is not a part of, and is not incorporated into, this prospectus, and you should not consider it part of this prospectus or part of any prospectus supplement. Our website address is included in this document as an inactive textual reference only. Our common stock is listed on the NASDAQ Capital Market and trades under the symbol “VRNG.”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61"/>
        <w:spacing w:after="0" w:line="276" w:lineRule="auto"/>
        <w:rPr>
          <w:sz w:val="20"/>
          <w:szCs w:val="20"/>
          <w:color w:val="auto"/>
        </w:rPr>
      </w:pPr>
      <w:r>
        <w:rPr>
          <w:rFonts w:ascii="Arial" w:cs="Arial" w:eastAsia="Arial" w:hAnsi="Arial"/>
          <w:sz w:val="17"/>
          <w:szCs w:val="17"/>
          <w:color w:val="auto"/>
        </w:rPr>
        <w:t>Under this prospectus, we may offer shares of our common stock and preferred stock, various series of debt securities and/or warrants, rights or purchase contracts to purchase any of such securities, either individually or in units, with a total value of up to $50,000,000,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73" w:lineRule="exact"/>
        <w:rPr>
          <w:sz w:val="20"/>
          <w:szCs w:val="20"/>
          <w:color w:val="auto"/>
        </w:rPr>
      </w:pPr>
    </w:p>
    <w:p>
      <w:pPr>
        <w:ind w:left="960" w:hanging="3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redemption, conversion or sinking fund terms, if any;</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1"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1" w:lineRule="exact"/>
        <w:rPr>
          <w:sz w:val="20"/>
          <w:szCs w:val="20"/>
          <w:color w:val="auto"/>
        </w:rPr>
      </w:pPr>
    </w:p>
    <w:p>
      <w:pPr>
        <w:ind w:left="960" w:hanging="3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360" w:top="986" w:right="459" w:bottom="1440" w:gutter="0" w:footer="0" w:header="0"/>
        </w:sectPr>
      </w:pPr>
    </w:p>
    <w:bookmarkStart w:id="38" w:name="page39"/>
    <w:bookmarkEnd w:id="38"/>
    <w:p>
      <w:pPr>
        <w:ind w:left="320" w:hanging="316"/>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827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827405"/>
                    </a:xfrm>
                    <a:prstGeom prst="rect">
                      <a:avLst/>
                    </a:prstGeom>
                    <a:noFill/>
                  </pic:spPr>
                </pic:pic>
              </a:graphicData>
            </a:graphic>
          </wp:anchor>
        </w:drawing>
        <w:t>the net proceeds to us.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This prospectus may not be used to consummate a sale of any securities unless it is accompanied by a prospectus supplement.</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80"/>
          </w:cols>
          <w:pgMar w:left="1000" w:top="989" w:right="131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This prospectus and the documents we have filed with the SEC that are incorporated herein by reference contain such “forward-looking statements” within the meaning of the Private Securities Litigation Reform Act of 1995.</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Such statements in connection with any discussion of future operations or financial performance are identified by the use of words such as “may,” “anticipate,” “estimate,” “expect,” “project,” “intend,” “plan,” “believe,” and other words and terms of similar meaning. Forward-looking statements include, but are not limited to, statements about: our business, operations, financial performance and condition, earnings, our prospects, our ability to raise capital to fund our operations and business plan, the continued listing of our securities on the NASDAQ Capital Market, our ability to protect intellectual property rights as well as regarding our industry generally. Forward–looking statements are not guarantees of performance. Such statements are based on management’s expectations and are subject to certain factors, risks and uncertainties that may cause actual results, outcome of events, timing and performance to differ materially from those expressed or implied by such statements. For a summary of such factors, please refer to the section entitled “Risk Factors” in this prospectus, as updated and supplemented by the discussion of risks and uncertainties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general corporate purposes, including, but not limited to, repayment of existing indebtedness, working capital, intellectual property protection and enforcement, capital expenditures, investments and acquisitions, including acquisitions of patent portfolios.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of Distribution</w:t>
      </w:r>
    </w:p>
    <w:p>
      <w:pPr>
        <w:spacing w:after="0" w:line="229"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(i) through underwriters or dealers, (ii) through agents or (iii) directly to one or more purchasers, or through a combination of such methods. We may distribute the securities from time to time in one or more transactions at:</w:t>
      </w:r>
    </w:p>
    <w:p>
      <w:pPr>
        <w:spacing w:after="0" w:line="166"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firstLine="661"/>
        <w:spacing w:after="0" w:line="342" w:lineRule="auto"/>
        <w:rPr>
          <w:sz w:val="20"/>
          <w:szCs w:val="20"/>
          <w:color w:val="auto"/>
        </w:rPr>
      </w:pPr>
      <w:r>
        <w:rPr>
          <w:rFonts w:ascii="Arial" w:cs="Arial" w:eastAsia="Arial" w:hAnsi="Arial"/>
          <w:sz w:val="16"/>
          <w:szCs w:val="16"/>
          <w:color w:val="auto"/>
        </w:rPr>
        <w:t>We may directly solicit offers to purchase the securities being offered by this prospectus. We may also designate agents to solicit offers to purchase the securities from time to time. We will name in a prospectus supplement any underwriter or agent involved in the offer or sale of the securities.</w:t>
      </w:r>
    </w:p>
    <w:p>
      <w:pPr>
        <w:spacing w:after="0" w:line="124"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8" w:lineRule="exact"/>
        <w:rPr>
          <w:sz w:val="20"/>
          <w:szCs w:val="20"/>
          <w:color w:val="auto"/>
        </w:rPr>
      </w:pPr>
    </w:p>
    <w:p>
      <w:pPr>
        <w:jc w:val="both"/>
        <w:ind w:firstLine="661"/>
        <w:spacing w:after="0" w:line="255"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78" w:lineRule="exact"/>
        <w:rPr>
          <w:sz w:val="20"/>
          <w:szCs w:val="20"/>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jc w:val="both"/>
        <w:ind w:left="98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73"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Shares of our common stock sold pursuant to the registration statement of which this prospectus is a part will be authorized for quotation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We can make no assurance as to the liquidity of or the existence of trading markets for any of the securities.</w:t>
      </w:r>
    </w:p>
    <w:p>
      <w:pPr>
        <w:spacing w:after="0" w:line="187" w:lineRule="exact"/>
        <w:rPr>
          <w:sz w:val="20"/>
          <w:szCs w:val="20"/>
          <w:color w:val="auto"/>
        </w:rPr>
      </w:pPr>
    </w:p>
    <w:p>
      <w:pPr>
        <w:jc w:val="both"/>
        <w:ind w:firstLine="661"/>
        <w:spacing w:after="0" w:line="254" w:lineRule="auto"/>
        <w:rPr>
          <w:sz w:val="20"/>
          <w:szCs w:val="20"/>
          <w:color w:val="auto"/>
        </w:rPr>
      </w:pPr>
      <w:r>
        <w:rPr>
          <w:rFonts w:ascii="Arial" w:cs="Arial" w:eastAsia="Arial" w:hAnsi="Arial"/>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61"/>
        <w:spacing w:after="0" w:line="286" w:lineRule="auto"/>
        <w:rPr>
          <w:sz w:val="20"/>
          <w:szCs w:val="20"/>
          <w:color w:val="auto"/>
        </w:rPr>
      </w:pPr>
      <w:r>
        <w:rPr>
          <w:rFonts w:ascii="Arial" w:cs="Arial" w:eastAsia="Arial" w:hAnsi="Arial"/>
          <w:sz w:val="17"/>
          <w:szCs w:val="17"/>
          <w:color w:val="auto"/>
        </w:rPr>
        <w:t>The following is a summary of our capital stock and provisions of our restated certificate of incorporation and restated by-laws, as they are in effect as of the date of this prospectus. For more detailed information, please see our restated certificate of incorporation and restated bylaws, which are filed with the Securities and Exchange Commission as exhibits to the registration statement of which this prospectus forms a part.</w:t>
      </w:r>
    </w:p>
    <w:p>
      <w:pPr>
        <w:spacing w:after="0" w:line="166"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We are authorized to issue 150,000,000 shares of common stock, par value $0.01 per share, and 5,000,000 shares of preferred stock, par value $0.01 per share. As of July 23, 2015, we had 97,553,886 shares of common stock outstanding held of record by 11 stockholders, which does not include stockholders who hold their shares in “street name.” There are no outstanding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Our board of directors has the authority, without action by our stockholders, to designate and issue up to 5,000,000 shares of preferred stock in one or more series and to designate the rights, preferences, and limitations of all such series, any or all of which may be superior to the rights of our common stock. It is not possible to state the actual effect of the issuance of any shares of preferred stock upon the rights of the holders of common stock until our board of directors determines the specific rights of the holders of preferred stock. However, effects of the issuance of preferred stock include restricting dividends on our common stock, diluting the voting power of our common stock, impairing the liquidation rights of our common stock, and making it more difficult for a third party to acquire us, which could have the effect of discouraging a third party from acquiring, or deterring a third party from paying a premium to acquire, a majority of our outstanding voting stock. We have no present plans to issue any shares of our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for our common stock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jc w:val="both"/>
        <w:ind w:firstLine="441"/>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1" w:lineRule="exact"/>
        <w:rPr>
          <w:sz w:val="20"/>
          <w:szCs w:val="20"/>
          <w:color w:val="auto"/>
        </w:rPr>
      </w:pPr>
    </w:p>
    <w:p>
      <w:pPr>
        <w:ind w:left="760" w:hanging="320"/>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if any, per share and the purchase price;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pari passu with or senior to the series of preferred stock as to dividend rights and rights upon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preferred stock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4, 2015, we entered into a securities purchase agreement with certain institutional investors in a registered direct offering of $12,500,000 of senior secured convertible notes and certain warrants to purchase shares of our common stock. On May 4, 2015, we issued the notes, which are convertible into shares of our common stock at $1.00 per share, bear 8% interest and mature in 21 months from the date of issuance, or February 4, 2017, unless earlier converted. In addition, we issued approximately 5.4 million warrants to purchase shares of our common stock, which are exercisable at $1.00 per share and are exercisable for a period of five years. In connection with the issuance of the notes and warrants, we received net cash proceeds of $12,425,000 on May 5, 2015. Our obligations under the outstanding notes are secured by a first priority perfected security interest in substantially all of our U.S. assets. In addition, stock of certain of our subsidiaries has been pledged. The outstanding notes contain customary events of default, as well as covenants, which include restrictions on the assumption of new debt by Vringo.</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amount of the outstanding notes will be repaid monthly, and we may make such payments and related interest payments in cash or, subject to certain conditions, in registered shares of our common stock, at our election. If we choose to repay the notes in shares of its common stock, the shares will be issued at a 15% discount, based on the then-current market price data of our common stock. We may also repay the notes in advance of the maturity schedule subject to early repayment penalties. Once the notes are repaid and no longer outstanding, we will have the ability to offer and sell new senior debt securities, in accordance with the general terms and conditions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760" w:hanging="320"/>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760" w:hanging="320"/>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71"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9" w:name="page50"/>
    <w:bookmarkEnd w:id="49"/>
    <w:p>
      <w:pPr>
        <w:jc w:val="both"/>
        <w:ind w:firstLine="441"/>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760" w:hanging="320"/>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760" w:hanging="320"/>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making the principal of or premium or interest on any debt security payable in currency other than that stated in the debt security;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1" w:name="page52"/>
    <w:bookmarkEnd w:id="51"/>
    <w:p>
      <w:pPr>
        <w:jc w:val="both"/>
        <w:ind w:firstLine="441"/>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73"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760" w:hanging="320"/>
        <w:spacing w:after="0" w:line="264"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247"/>
        <w:spacing w:after="0" w:line="293" w:lineRule="auto"/>
        <w:rPr>
          <w:sz w:val="20"/>
          <w:szCs w:val="20"/>
          <w:color w:val="auto"/>
        </w:rPr>
      </w:pPr>
      <w:r>
        <w:rPr>
          <w:rFonts w:ascii="Arial" w:cs="Arial" w:eastAsia="Arial" w:hAnsi="Arial"/>
          <w:sz w:val="16"/>
          <w:szCs w:val="16"/>
          <w:color w:val="auto"/>
        </w:rPr>
        <w:t>As of July 23, 2015, there were warrants to purchase 9,566,796 shares of Vringo common stock outstanding at a weighted-average exercise price of $1.33 per share. This amount is comprised of warrants to purchase 758,023 shares of common stock exercisable until February 6, 2017 at an exercise price of $1.76, warrants to purchase 3,433,773 shares of common stock exercisable until July 19, 2017 at an exercise price of $1.76, and warrants to purchase 5,375,000 shares of common stock exercisable until May 4, 2020 at an exercise price of $1.00. Prior to June 21, 2015, we also had public warrants to purchase 4,784,000 shares of common stock at an exercise price of $5.06, which were listed on the NASDAQ Capital Market under the symbol “VRNGW,” and additional warrants which were privately held to purchase 8,426,858 shares of common stock, both of which expired on June 21,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760" w:hanging="320"/>
        <w:spacing w:after="0" w:line="308" w:lineRule="auto"/>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ind w:left="760" w:hanging="320"/>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warrants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60"/>
          </w:cols>
          <w:pgMar w:left="240" w:top="881" w:right="119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jc w:val="both"/>
        <w:ind w:firstLine="441"/>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7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170" w:lineRule="exact"/>
        <w:rPr>
          <w:sz w:val="20"/>
          <w:szCs w:val="20"/>
          <w:color w:val="auto"/>
        </w:rPr>
      </w:pPr>
    </w:p>
    <w:p>
      <w:pPr>
        <w:ind w:left="980" w:hanging="324"/>
        <w:spacing w:after="0" w:line="308"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purchase contracts are to be prepaid;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or purchase contacts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760" w:right="20" w:hanging="320"/>
        <w:spacing w:after="0" w:line="277"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Delaware Law Governing Business Combinations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Delaware General Corporation Law.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181" w:lineRule="exact"/>
        <w:rPr>
          <w:sz w:val="20"/>
          <w:szCs w:val="20"/>
          <w:color w:val="auto"/>
        </w:rPr>
      </w:pPr>
    </w:p>
    <w:p>
      <w:pPr>
        <w:ind w:left="980" w:right="2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170" w:lineRule="exact"/>
        <w:rPr>
          <w:rFonts w:ascii="Arial" w:cs="Arial" w:eastAsia="Arial" w:hAnsi="Arial"/>
          <w:sz w:val="18"/>
          <w:szCs w:val="18"/>
          <w:color w:val="auto"/>
        </w:rPr>
      </w:pPr>
    </w:p>
    <w:p>
      <w:pPr>
        <w:jc w:val="both"/>
        <w:ind w:left="980" w:hanging="324"/>
        <w:spacing w:after="0" w:line="276"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restated certificate of incorporation limits the liability of our officers and directors to the fullest extent permitted by the Delaware General Corporation Law, and our restated certificate of incorporation and restated bylaws provide that we will indemnify our officers and directors to the fullest extent permitted by such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offered by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The consolidated financial statements of Vringo, Inc. and subsidiaries as of December 31, 2014 and for the year then ended and management’s assessment of the effectiveness of internal control over financial reporting as of December 31, 2014 have been incorporated by reference herein and in the registration statement in reliance upon the reports of KPMG LLP, independent registered public accounting firm, incorporated by reference herein, and upon the authority of said firm as experts in accounting and auditing. The audit report dated March 16, 2015 covering the consolidated financial statements as of December 31, 2014 and for the year then ended contains an explanatory paragraph that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consolidated financial statements of Vringo, Inc. and subsidiaries as of December 31, 2013 and for each of the years in the two-year period ended December 31, 2013 have been incorporated by reference herein and in the registration statement in reliance upon the report of Somekh Chaikin, a member firm of KPMG International, independent registered public accounting firm, incorporated by reference herein, and upon the authority of said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 site at </w:t>
      </w:r>
      <w:r>
        <w:rPr>
          <w:rFonts w:ascii="Arial" w:cs="Arial" w:eastAsia="Arial" w:hAnsi="Arial"/>
          <w:sz w:val="18"/>
          <w:szCs w:val="18"/>
          <w:u w:val="single" w:color="auto"/>
          <w:color w:val="auto"/>
        </w:rPr>
        <w:t>http://www.sec.gov</w:t>
      </w:r>
      <w:r>
        <w:rPr>
          <w:rFonts w:ascii="Arial" w:cs="Arial" w:eastAsia="Arial" w:hAnsi="Arial"/>
          <w:sz w:val="18"/>
          <w:szCs w:val="18"/>
          <w:i w:val="1"/>
          <w:iCs w:val="1"/>
          <w:color w:val="auto"/>
        </w:rPr>
        <w:t>.</w:t>
      </w:r>
    </w:p>
    <w:p>
      <w:pPr>
        <w:spacing w:after="0" w:line="18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95"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December 31, 2014, filed on March 16, 2015, as amended on April 30, 2015;</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Quarterly Report on Form 10-Q, filed on May 5, 2015;</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Current Reports on Form 8-K, filed on July 17, 2015, June 24, 2015, June 18, 2015, May 4, 2015 and January 23, 2015 (other than the portions of those reports not deemed to be filed);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description of our common stock and public warrants contained in our Registration Statement on Form 8-A, filed on April 29, 2013 (File No. 001-34785); and</w:t>
      </w:r>
    </w:p>
    <w:p>
      <w:pPr>
        <w:spacing w:after="0" w:line="170" w:lineRule="exact"/>
        <w:rPr>
          <w:rFonts w:ascii="Arial" w:cs="Arial" w:eastAsia="Arial" w:hAnsi="Arial"/>
          <w:sz w:val="18"/>
          <w:szCs w:val="18"/>
          <w:color w:val="auto"/>
        </w:rPr>
      </w:pPr>
    </w:p>
    <w:p>
      <w:pPr>
        <w:ind w:left="980" w:right="160" w:hanging="324"/>
        <w:spacing w:after="0" w:line="286"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the SEC file number for each of the documents listed above is 001-34785.</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You may request, orally or in writing, a copy of any or all of the documents incorporated herein by reference. These documents will be provided to you at no cost, by contacting: Investor Relations, Vringo, Inc.,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or call (212) 309-7549.</w:t>
      </w:r>
    </w:p>
    <w:p>
      <w:pPr>
        <w:spacing w:after="0" w:line="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2" w:name="page63"/>
    <w:bookmarkEnd w:id="62"/>
    <w:p>
      <w:pPr>
        <w:ind w:left="448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17145</wp:posOffset>
            </wp:positionV>
            <wp:extent cx="1697990" cy="1029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9799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Roth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520"/>
        <w:spacing w:after="0"/>
        <w:tabs>
          <w:tab w:leader="none" w:pos="240" w:val="left"/>
        </w:tabs>
        <w:rPr>
          <w:sz w:val="20"/>
          <w:szCs w:val="20"/>
          <w:color w:val="auto"/>
        </w:rPr>
      </w:pPr>
      <w:r>
        <w:rPr>
          <w:rFonts w:ascii="Arial" w:cs="Arial" w:eastAsia="Arial" w:hAnsi="Arial"/>
          <w:sz w:val="18"/>
          <w:szCs w:val="18"/>
          <w:b w:val="1"/>
          <w:bCs w:val="1"/>
          <w:color w:val="auto"/>
        </w:rPr>
        <w:t>July</w:t>
        <w:tab/>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583565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1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lowerLetter"/>
      <w:start w:val="1"/>
    </w:lvl>
    <w:lvl w:ilvl="1">
      <w:lvlJc w:val="left"/>
      <w:lvlText w:val="(%2)"/>
      <w:numFmt w:val="lowerLetter"/>
      <w:start w:val="2"/>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2019-12-07T07:14:01Z</dcterms:created>
  <dcterms:modified xsi:type="dcterms:W3CDTF">2019-12-07T07:14:01Z</dcterms:modified>
</cp:coreProperties>
</file>