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July 17, 2020</w:t>
      </w:r>
    </w:p>
    <w:p>
      <w:pPr>
        <w:spacing w:after="0" w:line="27" w:lineRule="exact"/>
        <w:rPr>
          <w:sz w:val="24"/>
          <w:szCs w:val="24"/>
          <w:color w:val="auto"/>
        </w:rPr>
      </w:pPr>
    </w:p>
    <w:p>
      <w:pPr>
        <w:ind w:left="93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41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0"/>
              </w:rPr>
              <w:t>(State or other jurisdiction of</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incorporation or organization)</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Douglas Satzman</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XpresSpa Group, Inc.</w:t>
      </w:r>
    </w:p>
    <w:p>
      <w:pPr>
        <w:jc w:val="center"/>
        <w:ind w:right="-19"/>
        <w:spacing w:after="0" w:line="192" w:lineRule="auto"/>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Kenneth R. Koch,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Daniel A. Bagliebter,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(212) 935-3000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9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0" w:gutter="0" w:footer="0" w:header="0"/>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140" w:space="720"/>
            <w:col w:w="5380"/>
          </w:cols>
          <w:pgMar w:left="320" w:top="445" w:right="339" w:bottom="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ectPr>
          <w:pgSz w:w="11900" w:h="16838" w:orient="portrait"/>
          <w:cols w:equalWidth="0" w:num="1">
            <w:col w:w="11240"/>
          </w:cols>
          <w:pgMar w:left="320" w:top="44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Title of Each Class of</w:t>
            </w: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 to be</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Proposed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Proposed</w:t>
            </w:r>
          </w:p>
        </w:tc>
        <w:tc>
          <w:tcPr>
            <w:tcW w:w="180" w:type="dxa"/>
            <w:vAlign w:val="bottom"/>
          </w:tcPr>
          <w:p>
            <w:pPr>
              <w:spacing w:after="0"/>
              <w:rPr>
                <w:sz w:val="18"/>
                <w:szCs w:val="18"/>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Securities to be</w:t>
            </w: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Registered(1)(2)</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Maximum</w:t>
            </w:r>
          </w:p>
        </w:tc>
        <w:tc>
          <w:tcPr>
            <w:tcW w:w="180" w:type="dxa"/>
            <w:vAlign w:val="bottom"/>
          </w:tcPr>
          <w:p>
            <w:pPr>
              <w:spacing w:after="0"/>
              <w:rPr>
                <w:sz w:val="18"/>
                <w:szCs w:val="18"/>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Registration Fee</w:t>
            </w:r>
          </w:p>
        </w:tc>
      </w:tr>
      <w:tr>
        <w:trPr>
          <w:trHeight w:val="216"/>
        </w:trPr>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Registered</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Aggregate Offering</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 Share(3)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Common stock, par value $0.01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10,499,991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36,724,768.52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36,724,768.52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4,766.88</w:t>
            </w:r>
          </w:p>
        </w:tc>
        <w:tc>
          <w:tcPr>
            <w:tcW w:w="80" w:type="dxa"/>
            <w:vAlign w:val="bottom"/>
          </w:tcPr>
          <w:p>
            <w:pPr>
              <w:spacing w:after="0"/>
              <w:rPr>
                <w:sz w:val="20"/>
                <w:szCs w:val="20"/>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33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registers up to the following:</w:t>
      </w:r>
    </w:p>
    <w:p>
      <w:pPr>
        <w:spacing w:after="0" w:line="225" w:lineRule="exact"/>
        <w:rPr>
          <w:rFonts w:ascii="Arial" w:cs="Arial" w:eastAsia="Arial" w:hAnsi="Arial"/>
          <w:sz w:val="18"/>
          <w:szCs w:val="18"/>
          <w:color w:val="auto"/>
        </w:rPr>
      </w:pPr>
    </w:p>
    <w:p>
      <w:pPr>
        <w:jc w:val="both"/>
        <w:ind w:left="920" w:right="20" w:hanging="345"/>
        <w:spacing w:after="0" w:line="259" w:lineRule="auto"/>
        <w:tabs>
          <w:tab w:leader="none" w:pos="9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100% of the (a) 7,614,700 shares of our common stock, par value $0.01 (“Common Stock”), issuable upon the exercise of warrants originally issued in June 2020 (the “June 2020 Warrants”) at an exercise price equal to $5.25 per share, and (b) 133,258 shares of our Common Stock issuable upon the exercise of warrants originally issued in June 2020 to Palladium Capital Advisors, LLC (“Palladium”) (the “Palladium Warrants”) at an exercise price equal to $5.25 per share;</w:t>
      </w:r>
    </w:p>
    <w:p>
      <w:pPr>
        <w:spacing w:after="0" w:line="186" w:lineRule="exact"/>
        <w:rPr>
          <w:rFonts w:ascii="Arial" w:cs="Arial" w:eastAsia="Arial" w:hAnsi="Arial"/>
          <w:sz w:val="18"/>
          <w:szCs w:val="18"/>
          <w:color w:val="auto"/>
        </w:rPr>
      </w:pPr>
    </w:p>
    <w:p>
      <w:pPr>
        <w:ind w:left="920" w:hanging="345"/>
        <w:spacing w:after="0" w:line="277" w:lineRule="auto"/>
        <w:tabs>
          <w:tab w:leader="none" w:pos="9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100% of the 609,176 shares of our Common Stock issuable upon the exercise of warrants originally issued in June 2020 (the “H.C.W. Warrants”) at an exercise price equal to $6.56625 per share; and</w:t>
      </w:r>
    </w:p>
    <w:p>
      <w:pPr>
        <w:spacing w:after="0" w:line="170" w:lineRule="exact"/>
        <w:rPr>
          <w:rFonts w:ascii="Arial" w:cs="Arial" w:eastAsia="Arial" w:hAnsi="Arial"/>
          <w:sz w:val="18"/>
          <w:szCs w:val="18"/>
          <w:color w:val="auto"/>
        </w:rPr>
      </w:pPr>
    </w:p>
    <w:p>
      <w:pPr>
        <w:jc w:val="both"/>
        <w:ind w:left="920" w:hanging="345"/>
        <w:spacing w:after="0" w:line="291" w:lineRule="auto"/>
        <w:tabs>
          <w:tab w:leader="none" w:pos="920" w:val="left"/>
        </w:tabs>
        <w:numPr>
          <w:ilvl w:val="1"/>
          <w:numId w:val="1"/>
        </w:numPr>
        <w:rPr>
          <w:rFonts w:ascii="Arial" w:cs="Arial" w:eastAsia="Arial" w:hAnsi="Arial"/>
          <w:sz w:val="16"/>
          <w:szCs w:val="16"/>
          <w:color w:val="auto"/>
        </w:rPr>
      </w:pPr>
      <w:r>
        <w:rPr>
          <w:rFonts w:ascii="Arial" w:cs="Arial" w:eastAsia="Arial" w:hAnsi="Arial"/>
          <w:sz w:val="16"/>
          <w:szCs w:val="16"/>
          <w:color w:val="auto"/>
        </w:rPr>
        <w:t>125% of the 1,714,286 shares (which is equal to 2,142,857 shares) of our Common Stock issuable (a) upon conversion of an aggregate principal amount of $900,000 of the Fourth Amended and Restated Convertible Promissory Note (the “B3D Note”), at a conversion price equal to $0.525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notice of intent to pay interest in Common Stock, and (c) as certain make-whole payments in Common Stock to the extent that the accrued and unpaid interest amount described above is less than 90% of the average volume weighted average price of our Common Stock for the 30 trading days prior to the interest payment date (or if not a trading day the next succeeding trading day).</w:t>
      </w:r>
    </w:p>
    <w:p>
      <w:pPr>
        <w:spacing w:after="0" w:line="166" w:lineRule="exact"/>
        <w:rPr>
          <w:rFonts w:ascii="Arial" w:cs="Arial" w:eastAsia="Arial" w:hAnsi="Arial"/>
          <w:sz w:val="16"/>
          <w:szCs w:val="16"/>
          <w:color w:val="auto"/>
        </w:rPr>
      </w:pPr>
    </w:p>
    <w:p>
      <w:pPr>
        <w:jc w:val="both"/>
        <w:ind w:left="460" w:hanging="331"/>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w:t>
      </w:r>
    </w:p>
    <w:p>
      <w:pPr>
        <w:spacing w:after="0" w:line="165" w:lineRule="exact"/>
        <w:rPr>
          <w:rFonts w:ascii="Arial" w:cs="Arial" w:eastAsia="Arial" w:hAnsi="Arial"/>
          <w:sz w:val="17"/>
          <w:szCs w:val="17"/>
          <w:color w:val="auto"/>
        </w:rPr>
      </w:pPr>
    </w:p>
    <w:p>
      <w:pPr>
        <w:ind w:left="460" w:hanging="331"/>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 of calculating the registration fee according to Rule 457(c) under the Securities Act of 1933, as amended, on the basis of the average of the high and low prices for a share of the Registrant’s Common Stock reported on The Nasdaq Stock Market LLC on July 13, 2020.</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July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10,499,991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the resale of up to an aggregate of 10,499,991 shares of our Common Stock. This total includes the following:</w:t>
      </w:r>
    </w:p>
    <w:p>
      <w:pPr>
        <w:spacing w:after="0" w:line="225" w:lineRule="exact"/>
        <w:rPr>
          <w:sz w:val="20"/>
          <w:szCs w:val="20"/>
          <w:color w:val="auto"/>
        </w:rPr>
      </w:pPr>
    </w:p>
    <w:p>
      <w:pPr>
        <w:jc w:val="both"/>
        <w:ind w:left="920" w:right="20" w:hanging="453"/>
        <w:spacing w:after="0" w:line="259"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(a) 7,614,700 shares of our common stock, par value $0.01 (“Common Stock”), issuable upon the exercise of warrants originally issued in June 2020 (the “June 2020 Warrants”) at an exercise price equal to $5.25 per share, and (b) 133,258 shares of our Common Stock issuable upon the exercise of warrants originally issued in June 2020 to Palladium Capital Advisors, LLC (“Palladium”) (the “Palladium Warrants”) at an exercise price equal to $5.25 per share;</w:t>
      </w:r>
    </w:p>
    <w:p>
      <w:pPr>
        <w:spacing w:after="0" w:line="186"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609,176 shares of our Common Stock issuable upon the exercise of warrants originally issued in June 2020 (the “H.C.W. Warrants”) at an exercise price equal to $6.56625 per share; and</w:t>
      </w:r>
    </w:p>
    <w:p>
      <w:pPr>
        <w:spacing w:after="0" w:line="170" w:lineRule="exact"/>
        <w:rPr>
          <w:rFonts w:ascii="Arial" w:cs="Arial" w:eastAsia="Arial" w:hAnsi="Arial"/>
          <w:sz w:val="18"/>
          <w:szCs w:val="18"/>
          <w:color w:val="auto"/>
        </w:rPr>
      </w:pPr>
    </w:p>
    <w:p>
      <w:pPr>
        <w:jc w:val="both"/>
        <w:ind w:left="920" w:hanging="453"/>
        <w:spacing w:after="0" w:line="254"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 of the 1,714,286 shares (which is equal to 2,142,857 shares) of our Common Stock issuable (a) upon conversion of an aggregate principal amount of $900,000 of the Fourth Amended and Restated Convertible Promissory Note (the “B3D Note”) at a conversion price equal to $0.525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notice of intent to pay interest in Common Stock, and (c) as certain make-whole payments in Common Stock to the extent that the accrued and unpaid interest amount described above is less than 90% of the average volume weighted average price of our Common Stock for the 30 trading days prior to the interest payment date (or if not a trading day the next succeeding trading day) (items (i) through (iii) collectively, the “Securities”).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Securities were issued by XpresSpa Group, Inc. (the “Company”) and were issued (a) with respect to item (i)(a) above, to accredited investors pursuant to or in connection with that certain Securities Purchase Agreement, dated as of June 17, 2020, by and between the Company and certain investors named therein (the “June 2020 Purchase Agreement”) and the June 2020 Warrants, and item (i)(b) above, to Palladium, as a financial advisory consultant in connection with that certain letter agreement, dated March 19, 2020, by and between the Company and Palladium (the “Palladium Engagement Letter”) and the Palladium Warrants; (b) with respect to item (ii) above, to certain designees of H.C. Wainwright &amp; Co., LLC (“H.C.W.”) as placement agent in connection with the June 2020 Purchase Agreement and the H.C.W. Warrants; and (c) with respect to item (iii) above, to an accredited investor pursuant to or in connection with a Sixth Amendment to Credit Agreement by and between the Company and B3D, LLC ("B3D"), dated as of March 6, 2020 (the “Credit Agreement Amendment”) and the B3D Note.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shares of Common Stock will be resold from time to time by the entities and persons listed in the section titled “Selling Securityholders” on page 32, which we refer to as the selling securityholders. The shares of Common Stock offered under this prospectus by the selling securityholders will be issued upon conversion of the B3D Note, payment of interest in Common Stock on the B3D Note, payment of make-whole payments in Common Stock, and upon conversion of each of the June 2020 Warrants, the H.C.W. Warrants and the Palladium Warrants, respectively (collectively,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72" w:lineRule="auto"/>
        <w:rPr>
          <w:sz w:val="20"/>
          <w:szCs w:val="20"/>
          <w:color w:val="auto"/>
        </w:rPr>
      </w:pPr>
      <w:r>
        <w:rPr>
          <w:rFonts w:ascii="Arial" w:cs="Arial" w:eastAsia="Arial" w:hAnsi="Arial"/>
          <w:sz w:val="17"/>
          <w:szCs w:val="17"/>
          <w:color w:val="auto"/>
        </w:rPr>
        <w:t>We are not selling any securities under this prospectus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 Moreover, we will receive the exercise price upon any exercise of the Warrants, to the extent exercised on a cash basis. If the Warrants are exercised in full, we would receive gross proceeds of approximately $44,700,000. We currently intend to use such proceeds, if any, for general corporate purposes and working capital. The holders of the Warrants are not obligated to exercise the Warrants, and we cannot predict whether or when, if ever, the holders of the Warrants will choose to exercise their respective Warrants, in whole or in part.</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selling securityholders may sell the shares of Common Stock described in this prospectus in a number of different ways and at varying prices. We provide more information about how a selling securityholder may sell its shares of Common Stock in the section titled “Plan of Distribution” on page 35.</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Capital Market (“Nasdaq”) under the symbol “XSPA.” On July 13, 2020, the last reported sale price of our Common Stock was $3.48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5 of this prospectus.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ind w:left="3540"/>
              <w:spacing w:after="0"/>
              <w:rPr>
                <w:sz w:val="20"/>
                <w:szCs w:val="20"/>
                <w:color w:val="auto"/>
              </w:rPr>
            </w:pPr>
            <w:r>
              <w:rPr>
                <w:rFonts w:ascii="Arial" w:cs="Arial" w:eastAsia="Arial" w:hAnsi="Arial"/>
                <w:sz w:val="18"/>
                <w:szCs w:val="18"/>
                <w:b w:val="1"/>
                <w:bCs w:val="1"/>
                <w:color w:val="auto"/>
              </w:rPr>
              <w:t>THE DATE OF THIS PROSPECTUS IS</w:t>
            </w:r>
          </w:p>
        </w:tc>
        <w:tc>
          <w:tcPr>
            <w:tcW w:w="4300" w:type="dxa"/>
            <w:vAlign w:val="bottom"/>
          </w:tcPr>
          <w:p>
            <w:pPr>
              <w:jc w:val="right"/>
              <w:ind w:right="3450"/>
              <w:spacing w:after="0"/>
              <w:rPr>
                <w:sz w:val="20"/>
                <w:szCs w:val="20"/>
                <w:color w:val="auto"/>
              </w:rPr>
            </w:pPr>
            <w:r>
              <w:rPr>
                <w:rFonts w:ascii="Arial" w:cs="Arial" w:eastAsia="Arial" w:hAnsi="Arial"/>
                <w:sz w:val="18"/>
                <w:szCs w:val="18"/>
                <w:b w:val="1"/>
                <w:bCs w:val="1"/>
                <w:color w:val="auto"/>
              </w:rPr>
              <w:t>, 2020.</w:t>
            </w:r>
          </w:p>
        </w:tc>
      </w:tr>
      <w:tr>
        <w:trPr>
          <w:trHeight w:val="675"/>
        </w:trPr>
        <w:tc>
          <w:tcPr>
            <w:tcW w:w="69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20"/>
                <w:szCs w:val="20"/>
                <w:color w:val="auto"/>
              </w:rPr>
            </w:pPr>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PROSPECTUS SUMMARY</w:t>
              </w:r>
            </w:hyperlink>
          </w:p>
        </w:tc>
        <w:tc>
          <w:tcPr>
            <w:tcW w:w="2000" w:type="dxa"/>
            <w:vAlign w:val="bottom"/>
            <w:shd w:val="clear" w:color="auto" w:fill="CCEEFF"/>
          </w:tcPr>
          <w:p>
            <w:pPr>
              <w:jc w:val="center"/>
              <w:ind w:left="910"/>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1</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2000" w:type="dxa"/>
            <w:vAlign w:val="bottom"/>
            <w:shd w:val="clear" w:color="auto" w:fill="CCEEFF"/>
          </w:tcPr>
          <w:p>
            <w:pPr>
              <w:jc w:val="center"/>
              <w:ind w:left="910"/>
              <w:spacing w:after="0"/>
              <w:rPr>
                <w:rFonts w:ascii="Arial" w:cs="Arial" w:eastAsia="Arial" w:hAnsi="Arial"/>
                <w:sz w:val="18"/>
                <w:szCs w:val="18"/>
                <w:u w:val="single" w:color="auto"/>
                <w:color w:val="0000EE"/>
                <w:w w:val="79"/>
              </w:rPr>
            </w:pPr>
            <w:hyperlink w:anchor="page10">
              <w:r>
                <w:rPr>
                  <w:rFonts w:ascii="Arial" w:cs="Arial" w:eastAsia="Arial" w:hAnsi="Arial"/>
                  <w:sz w:val="18"/>
                  <w:szCs w:val="18"/>
                  <w:u w:val="single" w:color="auto"/>
                  <w:color w:val="0000EE"/>
                  <w:w w:val="79"/>
                </w:rPr>
                <w:t>5</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SPECIAL NOTE REGARDING FORWARD-LOOKING STATEMENTS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29</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USE OF PROCEEDS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31</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SELLING SECURITYHOLDERS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32</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PLAN OF DISTRIBUTION</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35</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LEGAL MATTERS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37</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EXPERTS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37</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WHERE YOU CAN FIND MORE INFORMATION</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37</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INCORPORATION OF CERTAIN DOCUMENTS BY REFERENCE</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38</w:t>
              </w:r>
            </w:hyperlink>
          </w:p>
        </w:tc>
      </w:tr>
      <w:tr>
        <w:trPr>
          <w:trHeight w:val="432"/>
        </w:trPr>
        <w:tc>
          <w:tcPr>
            <w:tcW w:w="9240" w:type="dxa"/>
            <w:vAlign w:val="bottom"/>
          </w:tcPr>
          <w:p>
            <w:pPr>
              <w:ind w:left="3420"/>
              <w:spacing w:after="0"/>
              <w:rPr>
                <w:sz w:val="20"/>
                <w:szCs w:val="20"/>
                <w:color w:val="auto"/>
              </w:rPr>
            </w:pPr>
            <w:r>
              <w:rPr>
                <w:rFonts w:ascii="Arial" w:cs="Arial" w:eastAsia="Arial" w:hAnsi="Arial"/>
                <w:sz w:val="18"/>
                <w:szCs w:val="18"/>
                <w:b w:val="1"/>
                <w:bCs w:val="1"/>
                <w:color w:val="auto"/>
              </w:rPr>
              <w:t>INFORMATION CONTAINED IN THIS PROSPECTUS</w:t>
            </w:r>
          </w:p>
        </w:tc>
        <w:tc>
          <w:tcPr>
            <w:tcW w:w="20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and the selling securityholders have not, authorized anyone to provide you with additional or different information. These securities are not being offered in any jurisdiction where the offer is not permitted. You should assume that the information in this prospectus is accurate only as of the date on the front of the document and that any information we have incorporated by reference is accurate only as of the date of the documents incorporated by reference, regardless of the time of delivery of this prospectus or of any sale of our Common Stock. Unless the context otherwise requires, references to “we,” “our,” “us,” or the “Company” in this prospectus mean XpresSpa Group, Inc., together with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286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7286625"/>
                    </a:xfrm>
                    <a:prstGeom prst="rect">
                      <a:avLst/>
                    </a:prstGeom>
                    <a:noFill/>
                  </pic:spPr>
                </pic:pic>
              </a:graphicData>
            </a:graphic>
          </wp:anchor>
        </w:drawing>
        <w:t>PROSPECTUS SUMMARY</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Group, Inc. (“XpresSpa” or the “Company”) is a pure-play health and wellness services company and a leading airport retailer of spa services. XpresSpa offers travelers premium spa services, including massage, nail and skin care, as well as spa and travel products. We currently have one operating segment that is also our sole reporting unit.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launched XpresCheck™ brand</w:t>
      </w:r>
    </w:p>
    <w:p>
      <w:pPr>
        <w:spacing w:after="0" w:line="22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May 22, 2020, we announced the signing of a contract with JFK International Air Terminal LLC (“JFKIAT”) to pilot test our concept of providing diagnostic COVID-19 tests in Terminal 4. To facilitate the JFK pilot test, we signed an agreement with JFKIAT for a new modular constructed testing facility within the terminal that will host nine separate testing rooms with a capacity to administer over 500 tests per day. We intend to initially offer our services to airline employees, contractors and workers, concessionaires and their employees, TSA officers, and U.S. Customs and Border Protection agents. All COVID-19 screening and testing will be conducted by a newly launched brand, XpresCheck™, which will operate under our XpresTest subsidiary. The pilot test at JFK launched on June 22,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11, 2020, we effected a one-for-three reverse stock split, whereby every three shares of our Common Stock was reduced to one share of our Common Stock and the price per share of our Common Stock was multiplied by 3</w:t>
      </w:r>
      <w:r>
        <w:rPr>
          <w:rFonts w:ascii="Arial" w:cs="Arial" w:eastAsia="Arial" w:hAnsi="Arial"/>
          <w:sz w:val="18"/>
          <w:szCs w:val="18"/>
          <w:b w:val="1"/>
          <w:bCs w:val="1"/>
          <w:color w:val="auto"/>
        </w:rPr>
        <w:t>.</w:t>
      </w:r>
      <w:r>
        <w:rPr>
          <w:rFonts w:ascii="Arial" w:cs="Arial" w:eastAsia="Arial" w:hAnsi="Arial"/>
          <w:sz w:val="18"/>
          <w:szCs w:val="18"/>
          <w:color w:val="auto"/>
        </w:rPr>
        <w:t xml:space="preserve"> All references to shares and per share amounts have been adjusted to reflect the reverse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Coronavirus on Business</w:t>
      </w:r>
    </w:p>
    <w:p>
      <w:pPr>
        <w:spacing w:after="0" w:line="22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March 11, 2020, the World Health Organization declared the outbreak of COVID-19, which continues to spread throughout the U.S. and the world, as a pandemic. The outbreak has had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our business and cash flow from operations, similar to many businesses in the travel sector.</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Effective March 24, 2020, we temporarily closed all global spa locations, largely due to the categorization of the spa locations by local jurisdictions as “non-essential services”. Substantially all of our spa locations remain closed. We intend to strategically reopen our spa locations and resume normal operations once restrictions are lifted and airport traffic returns to sufficient levels to support our operations.</w:t>
      </w:r>
    </w:p>
    <w:p>
      <w:pPr>
        <w:spacing w:after="0" w:line="16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impact of COVID-19 is unknown and may continue as the rates of infection have increased in many states in the U.S., thus additional restrictive measures may be necessary. As a result, management has concluded that there was a long-lived asset impairment triggering event during the first quarter of 2020, which would require management to perform an impairment evaluation of our long-lived and definite-lived asset balances, consisting primarily of leasehold improvements at spa locations, trademarks and right of use lease assets of approximately $21,891 as of March 31, 2020. As a result of the triggering event, we reassessed our projections and based on management’s expectation of resuming normal operations, no impairment was indicated at this time. The full extent to which COVID-19 will impact our results will depend on future developments, which are highly uncertain and cannot be predicted, including new information which may emerge concerning the severity of the virus and the actions to contain or treat its impact.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560" w:top="1134" w:right="559" w:bottom="1440" w:gutter="0" w:footer="0" w:header="0"/>
        </w:sectPr>
      </w:pPr>
    </w:p>
    <w:bookmarkStart w:id="6" w:name="page7"/>
    <w:bookmarkEnd w:id="6"/>
    <w:p>
      <w:pPr>
        <w:jc w:val="both"/>
        <w:ind w:left="3"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23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423785"/>
                    </a:xfrm>
                    <a:prstGeom prst="rect">
                      <a:avLst/>
                    </a:prstGeom>
                    <a:noFill/>
                  </pic:spPr>
                </pic:pic>
              </a:graphicData>
            </a:graphic>
          </wp:anchor>
        </w:drawing>
        <w:t>The impact of the COVID-19 pandemic could continue to have a material adverse effect on our core XpresSpa business, results of operations, financial condition, liquidity and prospects in the near-term and beyond 2020. While management has used all currently available information in our forecasts, the ultimate impact of the COVID-19 pandemic and our newly launched brand, XpresCheck, on our results of operations, financial condition and cash flows is highly uncertain, and cannot currently be accurately predicted. Our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our newly launched brand, XpresCheck, could also have a material effect on our business.</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Airport Rent Concessions</w:t>
      </w:r>
    </w:p>
    <w:p>
      <w:pPr>
        <w:spacing w:after="0" w:line="225" w:lineRule="exact"/>
        <w:rPr>
          <w:sz w:val="20"/>
          <w:szCs w:val="20"/>
          <w:color w:val="auto"/>
        </w:rPr>
      </w:pPr>
    </w:p>
    <w:p>
      <w:pPr>
        <w:jc w:val="both"/>
        <w:ind w:left="3" w:right="20"/>
        <w:spacing w:after="0" w:line="293" w:lineRule="auto"/>
        <w:rPr>
          <w:sz w:val="20"/>
          <w:szCs w:val="20"/>
          <w:color w:val="auto"/>
        </w:rPr>
      </w:pPr>
      <w:r>
        <w:rPr>
          <w:rFonts w:ascii="Arial" w:cs="Arial" w:eastAsia="Arial" w:hAnsi="Arial"/>
          <w:sz w:val="16"/>
          <w:szCs w:val="16"/>
          <w:color w:val="auto"/>
        </w:rPr>
        <w:t>We have received rent concessions from landlords on a majority of our leases, allowing for the relief of minimum guaranteed payments in exchange for percentage-of-revenue rent or providing relief from rent in excess of minimum guaranteed amounts where percentage-of-revenue rent exceeds the minimum. Currently, the period of relief from these payments range from three- to ten-months beginning in March 2020. We did not pay a total of approximately $75,000 in rent in March 2020 as a result of receiving these concessions for the month in which we began closing our spa locations. We will realize additional savings in rent expense going forward since we closed all of our spas on March 24, 2020, and therefore there will be no percentage-of-revenue rent. We also received deferrals on unpaid rent for three to six months on certain of our leases.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Warrant Exchanges</w:t>
      </w:r>
    </w:p>
    <w:p>
      <w:pPr>
        <w:spacing w:after="0" w:line="225" w:lineRule="exact"/>
        <w:rPr>
          <w:sz w:val="20"/>
          <w:szCs w:val="20"/>
          <w:color w:val="auto"/>
        </w:rPr>
      </w:pPr>
    </w:p>
    <w:p>
      <w:pPr>
        <w:jc w:val="both"/>
        <w:ind w:left="3"/>
        <w:spacing w:after="0" w:line="291" w:lineRule="auto"/>
        <w:rPr>
          <w:sz w:val="20"/>
          <w:szCs w:val="20"/>
          <w:color w:val="auto"/>
        </w:rPr>
      </w:pPr>
      <w:r>
        <w:rPr>
          <w:rFonts w:ascii="Arial" w:cs="Arial" w:eastAsia="Arial" w:hAnsi="Arial"/>
          <w:sz w:val="16"/>
          <w:szCs w:val="16"/>
          <w:color w:val="auto"/>
        </w:rPr>
        <w:t>On March 19, 2020, we entered into separate Warrant Exchange Agreements (the “March Exchange Agreements”) with the holders of certain existing warrants (the “March Exchanged Warrants”) to exchange warrants for shares of our Common Stock, subject to receipt of the approval of our stockholders, which was obtained on May 28, 2020. The March Exchanged Warrants were originally issued (i) pursuant to a securities purchase agreement, dated as of May 15, 2018, and in connection with a related consent and (ii) in connection with that certain Agreement and Plan of Merger by and among us (formerly known as FORM Holdings Corp.), FHXMS, LLC, XpresSpa Holdings, LLC and Mistral XH Representative, LLC, as representative of the unitholders, dated October 25, 2016, as subsequently amended. Pursuant to the March Exchange Agreements, the holders exchanged 1,942,131 of the March Exchanged Warrants for an aggregate of 2,913,197 shares of our Common Stock.</w:t>
      </w:r>
    </w:p>
    <w:p>
      <w:pPr>
        <w:spacing w:after="0" w:line="166"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8"/>
          <w:szCs w:val="18"/>
          <w:color w:val="auto"/>
        </w:rPr>
        <w:t>On June 4, 2020, we entered into a Warrant Exchange Agreement (the “June Exchange Agreement”) with the holder of certain existing warrants (the “June Exchanged Warrants”) to exchange the June Exchanged Warrants for shares of our Common Stock. The June Exchanged Warrants were acquired pursuant to a separately negotiated private transaction between the holder and Calm. In June 2020, pursuant to the June Exchange Agreement, on the closing date the holder exchanged 1,374,750 of the June Exchanged Warrants for an aggregate of 2,062,125 shares of our Common Stock.</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Credit Cash Funding Advance</w:t>
      </w:r>
    </w:p>
    <w:p>
      <w:pPr>
        <w:spacing w:after="0" w:line="225" w:lineRule="exact"/>
        <w:rPr>
          <w:sz w:val="20"/>
          <w:szCs w:val="20"/>
          <w:color w:val="auto"/>
        </w:rPr>
      </w:pPr>
    </w:p>
    <w:p>
      <w:pPr>
        <w:jc w:val="both"/>
        <w:ind w:left="3" w:right="20"/>
        <w:spacing w:after="0" w:line="290" w:lineRule="auto"/>
        <w:rPr>
          <w:sz w:val="20"/>
          <w:szCs w:val="20"/>
          <w:color w:val="auto"/>
        </w:rPr>
      </w:pPr>
      <w:r>
        <w:rPr>
          <w:rFonts w:ascii="Arial" w:cs="Arial" w:eastAsia="Arial" w:hAnsi="Arial"/>
          <w:sz w:val="16"/>
          <w:szCs w:val="16"/>
          <w:color w:val="auto"/>
        </w:rPr>
        <w:t>On January 9, 2020, certain of our wholly-owned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$1,000,000 for aggregate fees of $160,000 for a total repayment amount of $1,160,000. As of March 31, 2020, the outstanding repayment amount of approximately $910,000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we repaid $733,903.34 owed under the CC Agreement as of June 1, 2020 and the CC Lender released all security interests held on the assets of the CC Borrowers, including the CC Borrowers’ existing and future accounts receivables and other rights to payment.</w:t>
      </w:r>
    </w:p>
    <w:p>
      <w:pPr>
        <w:spacing w:after="0" w:line="165" w:lineRule="exact"/>
        <w:rPr>
          <w:sz w:val="20"/>
          <w:szCs w:val="20"/>
          <w:color w:val="auto"/>
        </w:rPr>
      </w:pPr>
    </w:p>
    <w:p>
      <w:pPr>
        <w:jc w:val="both"/>
        <w:ind w:left="3" w:right="20"/>
        <w:spacing w:after="0" w:line="285" w:lineRule="auto"/>
        <w:rPr>
          <w:sz w:val="20"/>
          <w:szCs w:val="20"/>
          <w:color w:val="auto"/>
        </w:rPr>
      </w:pPr>
      <w:r>
        <w:rPr>
          <w:rFonts w:ascii="Arial" w:cs="Arial" w:eastAsia="Arial" w:hAnsi="Arial"/>
          <w:sz w:val="16"/>
          <w:szCs w:val="16"/>
          <w:color w:val="auto"/>
        </w:rPr>
        <w:t>As compensation for the consent of existing creditor B3D to the CC Agreement described above, on January 9, 2020, XpresSpa Holdings, LLC (“XpresSpa Holdings”), a wholly-owned subsidiary, entered into a fifth amendment (the “Fifth Credit Agreement Amendment”) to our existing credit agreement with B3D in order to, among other provisions, (i) amend and restate our existing B3D Note in order to increase the principal amount owed to B3D from $7,000,000 to $7,150,000, which additional $150,000 in principal and any interest accrued thereon will become convertible, at B3D’s option, into shares of our Common Stock subject to upon receipt of the approval of our stockholders, which was obtained on May 28, 2020 and</w:t>
      </w:r>
    </w:p>
    <w:p>
      <w:pPr>
        <w:spacing w:after="0" w:line="2" w:lineRule="exact"/>
        <w:rPr>
          <w:sz w:val="20"/>
          <w:szCs w:val="20"/>
          <w:color w:val="auto"/>
        </w:rPr>
      </w:pPr>
    </w:p>
    <w:p>
      <w:pPr>
        <w:ind w:left="3" w:right="20" w:hanging="3"/>
        <w:spacing w:after="0" w:line="260" w:lineRule="auto"/>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for the advance payment of 97,223 shares of Common Stock in satisfaction of the interest payable pursuant to the B3D Note for the months of October, November and December 2020. The Common Stock was issued to B3D on January 14, 2020.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3"/>
          </w:cols>
          <w:pgMar w:left="557" w:top="1138"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463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463665"/>
                    </a:xfrm>
                    <a:prstGeom prst="rect">
                      <a:avLst/>
                    </a:prstGeom>
                    <a:noFill/>
                  </pic:spPr>
                </pic:pic>
              </a:graphicData>
            </a:graphic>
          </wp:anchor>
        </w:drawing>
        <w:t>B3D Senior Secured Loan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6, 2020, XpresSpa Holdings, LLC, our wholly-owned subsidiary, entered into a sixth amendment (the “Sixth Credit Agreement Amendment”) to our existing credit agreement with B3D. In connection with the Sixth Credit Agreement Amendment and B3D Note, B3D agreed to provide us with $500,000 in additional funding and to submit one or more conversion notices to convert an aggregate of $375,000 in principal under the B3D Note to Common Stock on or prior to March 27, 2020. XpresSpa Holdings entered into the Credit Agreement Amendment in order to, among other provisions, (i) amend and restate our existing convertible promissory note with B3D in order to increase the principal amount owed from $7,150,000 to $7,900,000, which additional $750,000 in principal and any interest accrued thereon will be convertible, at B3D’s option, into shares of Common Stock subject to receipt of the approval of our stockholders, which was approved on May 28, 2020, and (ii) decrease the conversion rate under the B3D Note from $6.00 per share to $1.68 per share. On March 19, 2020, the conversion rate was reduced to $0.525 per share after giving effect to certain anti-dilution adjustments. In connection with the Sixth Credit Agreement Amendment, B3D converted a total of $750,000 in principal and was issued a total of 446,429 shares of our Common Stock in March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Common Stock Offerings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19, 2020, we entered into a securities purchase agreement with certain purchasers, pursuant to which we issued and sold, in a registered direct offering, (i) 1,396,281 shares of our Common Stock at an offering price of $0.525 per share and (ii) an aggregate of 698,958 pre-funded warrants exercisable for shares of Common Stock at an offering price of $0.495 per pre-funded warrant.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25, 2020, we entered into a securities purchase agreement with certain purchasers, pursuant to which we issued and sold, in a registered direct offering, (i) 2,483,333 shares of Common Stock at an offering price of $0.60 per share and (ii) an aggregate of 500,000 pre-funded warrants exercisable for shares of Common Stock at an offering price of $0.57 per pre-funded warrant.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27, 2020, we entered into a securities purchase agreement with certain purchasers, pursuant to which we issued and sold, in a registered direct offering (i) 2,631,666 shares of Common Stock at an offering price of $0.60 per share and (ii) an aggregate of 701,666 pre-funded warrants exercisable for shares of Common Stock at an offering price of $0.57 per pre-funded warrant.</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sold a total of 6,511,280 shares of Common Stock and 1,900,625 of pre-funded warrants and received total proceeds of approximately $4,200,000, net of financial advisory and consulting fees, in the above offerings. During the three months ended March 31, 2020, 1,698,959 pre-funded warrants were exercised for total proceeds of approximately $490,000. As of March 31, 2020, 201,666 pre-funded warrants to purchase Common Stock were unexercised and remained outstanding.</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April 6, 2020, we entered into a securities purchase agreement with certain purchasers, pursuant to which we issued and sold, in a registered direct offering (i) 4,049,573 shares of Common Stock at an offering price of $0.66 per share and (ii) an aggregate of 485,151 pre-funded warrants exercisable for shares of Common Stock at an offering price of $0.63 per pre-funded warrant.</w:t>
      </w:r>
    </w:p>
    <w:p>
      <w:pPr>
        <w:spacing w:after="0" w:line="18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June 17, 2020, we entered into a securities purchase agreement with certain purchasers, pursuant to which we agreed to issue and sell 7,614,700 shares of Common Stock at an offering price of $5.253 per share (the “Registered Offering”). In a concurrent private placement (the “Private Placement” and together with the Registered Offering, the “Offerings”), we agreed to issue to the purchasers who participated in the Registered Offering warrants (the “Private Warrants”) exercisable for an aggregate of 7,614,700 shares of Common Stock at an exercise price of $5.25 per share. Each Private Warrant is immediately exercisable and expires 21 months from the issuance date. The Private Warrants and the shares of Common Stock issuable upon the exercise of the Private Warrants are not registered under the Securities Act, were not offered pursuant to a registration statement and were offered pursuant to the exemption provided in Section 4(a)(2) under the Securities Act, and Rule 506(b) promulgated thereunder. The Offerings closed on June 19, 2020 and we received gross proceeds of approximately $40,000,000 before deducting placement agent fees and related offering expenses.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560" w:top="1138"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922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t>Paycheck Protection Program</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 2020, we entered into a U.S. Small Business Administration (“SBA”) Paycheck Protection Program (“PPP”) promissory note in the principal amount of $5,653,000 payable to Bank of America, NA (the “Bank of America”) evidencing a PPP loan (the “PPP Loan”). The PPP Loan bears interest at a rate of 1% per annum. No payments will be due on the PPP Loan during a six-month deferral period commencing on May 2, 2020. Commencing one month after the expiration of the deferral period, and continuing on the same day of each month thereafter until the maturity date of the PPP Loan, we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our request to the extent that PPP Loan proceeds are used to pay expenses permitted by the PPP. Bank of America may forgive interest accrued on any principal forgiven if the SBA pays the interest.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560" w:top="1138" w:right="5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1"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Investing in our securities involves a high degree of risk. You should carefully review and consider the following risk factors should be read in connection </w:t>
      </w:r>
      <w:hyperlink r:id="rId23">
        <w:r>
          <w:rPr>
            <w:rFonts w:ascii="Arial" w:cs="Arial" w:eastAsia="Arial" w:hAnsi="Arial"/>
            <w:sz w:val="17"/>
            <w:szCs w:val="17"/>
            <w:i w:val="1"/>
            <w:iCs w:val="1"/>
            <w:color w:val="auto"/>
          </w:rPr>
          <w:t xml:space="preserve">with the existing disclosures on risk factors in the sections entitled “Risk Factors” contained in our most recent </w:t>
        </w:r>
        <w:r>
          <w:rPr>
            <w:rFonts w:ascii="Arial" w:cs="Arial" w:eastAsia="Arial" w:hAnsi="Arial"/>
            <w:sz w:val="17"/>
            <w:szCs w:val="17"/>
            <w:i w:val="1"/>
            <w:iCs w:val="1"/>
            <w:u w:val="single" w:color="auto"/>
            <w:color w:val="0000EE"/>
          </w:rPr>
          <w:t>annual report on Form 10-K</w:t>
        </w:r>
        <w:r>
          <w:rPr>
            <w:rFonts w:ascii="Arial" w:cs="Arial" w:eastAsia="Arial" w:hAnsi="Arial"/>
            <w:sz w:val="17"/>
            <w:szCs w:val="17"/>
            <w:i w:val="1"/>
            <w:iCs w:val="1"/>
            <w:color w:val="auto"/>
          </w:rPr>
          <w:t xml:space="preserve"> and </w:t>
        </w:r>
        <w:r>
          <w:rPr>
            <w:rFonts w:ascii="Arial" w:cs="Arial" w:eastAsia="Arial" w:hAnsi="Arial"/>
            <w:sz w:val="17"/>
            <w:szCs w:val="17"/>
            <w:i w:val="1"/>
            <w:iCs w:val="1"/>
            <w:u w:val="single" w:color="auto"/>
            <w:color w:val="0000EE"/>
          </w:rPr>
          <w:t>quarterly</w:t>
        </w:r>
      </w:hyperlink>
      <w:r>
        <w:rPr>
          <w:rFonts w:ascii="Arial" w:cs="Arial" w:eastAsia="Arial" w:hAnsi="Arial"/>
          <w:sz w:val="17"/>
          <w:szCs w:val="17"/>
          <w:i w:val="1"/>
          <w:iCs w:val="1"/>
          <w:color w:val="auto"/>
        </w:rPr>
        <w:t xml:space="preserve"> </w:t>
      </w:r>
      <w:hyperlink r:id="rId23">
        <w:r>
          <w:rPr>
            <w:rFonts w:ascii="Arial" w:cs="Arial" w:eastAsia="Arial" w:hAnsi="Arial"/>
            <w:sz w:val="17"/>
            <w:szCs w:val="17"/>
            <w:i w:val="1"/>
            <w:iCs w:val="1"/>
            <w:u w:val="single" w:color="auto"/>
            <w:color w:val="0000EE"/>
          </w:rPr>
          <w:t>report on Form 10-Q</w:t>
        </w:r>
        <w:r>
          <w:rPr>
            <w:rFonts w:ascii="Arial" w:cs="Arial" w:eastAsia="Arial" w:hAnsi="Arial"/>
            <w:sz w:val="17"/>
            <w:szCs w:val="17"/>
            <w:i w:val="1"/>
            <w:iCs w:val="1"/>
            <w:color w:val="000000"/>
          </w:rPr>
          <w:t>, which have been filed with the SEC and are incorporated by reference in this prospectus, as well as any updates thereto contained in</w:t>
        </w:r>
      </w:hyperlink>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subsequent filings with the SEC, and all other information contained in this prospectus and incorporated by reference into the prospectus before purchasing our securities. The risks and uncertainties described below are not the only ones facing our Company. Additional risks and uncertainties of which we are unaware, or that we currently deem immaterial, also may become important factors that affect us. If any of the following risks occur, our business, financial condition, results of operations or cash flows could be materially and adversely affected. In that case, the trading price of our Common Stock could decline, and you may lose some or all of your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Risks Related to our Business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our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depend upon a large number of airplane travelers with the propensity for health and wellness, and in particular spa treatments and products, spending significant time post-security clearance check points.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our products and services diminishes, this could have an adverse effect on our growth, business activities, cash flow, financial condition and results of operations. Some reasons for these events could include:</w:t>
      </w:r>
    </w:p>
    <w:p>
      <w:pPr>
        <w:spacing w:after="0" w:line="184" w:lineRule="exact"/>
        <w:rPr>
          <w:sz w:val="20"/>
          <w:szCs w:val="20"/>
          <w:color w:val="auto"/>
        </w:rPr>
      </w:pPr>
    </w:p>
    <w:p>
      <w:pPr>
        <w:jc w:val="both"/>
        <w:ind w:left="660" w:hanging="328"/>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 public health epidemic, including the novel coronavirus (“COVID-19”), which has interfered and may continue to interfere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78"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temporary closure of our spa locations, largely due to the categorization of such spa locations by local jurisdictions as “non-essential services” in connection with the recent outbreak of COVID-19;</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activities (including cyber-attacks) impacting either domestic or international travel through airports where we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existing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pandemics,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due to certain factors, some of which are beyond our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macroeconomic conditions, nationally locally and internationally;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airports or off-airport locations may present increased risks due to our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growth strategy depends upon expanding into markets where we have little or no meaningful operating experience. Those locations may have demographic characteristics, consumer tastes and discretionary spending patterns that are different from those in the markets where our existing operations are located. As a result, new airport terminal and/or off-airport operations may be less successful than existing concession locations in current airport terminals. We may find it more difficult in new markets to hire, motivate and keep qualified employees who can project our vision, passion and culture. We may also be unfamiliar with local laws, regulations and administrative procedures, including the procurement of spa services retail licenses, in new markets which could delay the build-out of new concession locations and prevent us from achieving our target revenues on a timely basis. Operations in new markets may also have lower average revenues or enplanements than in the markets where we currently operate. Operations in new markets may also take longer to ramp up and reach expected sales and profit levels, and may never do so, thereby negatively affecting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is highly dependent on our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strategy primarily contemplates expansion through procuring new XpresSpa locations and opening new XpresSpa stores and kiosks. Implementing this strategy depends on our ability to successfully identify new store locations. We will also need to assess and mitigate the risk of any new store locations, to open the stores on favorable terms and to successfully integrate their operations with ours. We may not be able to successfully identify opportunities that meet these criteria, or, if it does, we may not be able to successfully negotiate and open new stores on a timely basis. If we are unable to identify and open new locations in accordance with our operating plan, our revenue growth rate and financial performance may fall short of our expectations.</w:t>
      </w:r>
    </w:p>
    <w:p>
      <w:pPr>
        <w:spacing w:after="0" w:line="19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estimates and assumptions we use to determine the size of our market are inaccurate, our future growth rate may be impacted.</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on Form 10-K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a skilled, licensed labor force to provide spa services, and the supply of this labor force is finite. If we cannot hire adequate staff for our locations, we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15, 2020, we had approximately 507 full-time and 221 part-time employees in our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We compete not only with other airport-based spa companies but with spa companies outside of the airport for this skilled labor force. In addition, all staff hired by us must pass the background checks and security clearances necessary to work in airport locations. If we are unable to attract and retain qualified staff to work in our airport locations, our ability to operate will be impacted negatively.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Effective March 24, 2020, we temporarily closed all global locations and furloughed the majority of our employees, largely due to the categorization of such spa locations by local jurisdictions as “non-essential services” in connection with the outbreak of COVID-19. We intend on reinstating the furloughed employees when restrictions related to non-essential services are relaxed and/or eliminated, but there can be no assurances that such employees will return to our locations in a timely manner or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labor force could unionize, putting upward pressure on labor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our stores in two airports have a labor force which is unionized. Major players in labor organization, and in particular “Unite Here!” which represents approximately 45,000 employees in the airport concessions and airline catering industries, could target our locations for its unionization efforts. In the event of the successful unionization of all of our labor force, we would likely incur additional costs in the form of higher wages, more benefits such as vacation and sick leave, and potentially also higher health care insurance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for new locations in airports and may not be able to secure new locations.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a spa concept within its retail product set and, in those instances, we compete primarily with BeRelax, Terminal Getaway, Massage Bar and 10 Minute Manicure.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leases may be terminated, either for convenience by the landlord or as a result of an XpresSpa default.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store locations and kiosks in a number of airports in which the landlord, with prior written notice to us, can terminate our lease, including for convenience or as necessary for airport purposes or operations. If a landlord elects to terminate a lease at an airport, we may have to shut down one or more store locations at that airport.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Additionally, our leases have numerous provisions governing the operation of our stores. Violation of one or more of these provisions, even unintentionally, may result in the landlord finding that we are in default of the lease. Violation of lease provisions may result in fines and, in some cases, termination of a lease.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operate depends on the traffic patterns of the terminals in which we operates, and the cessation or disruption of air traveler traffic in these terminals would negatively impact our addressable market.</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depend on a high volume of air travelers in terminals. It is possible that a terminal in which we operate could become subject to a lower volume of air travelers, which would significantly impact traffic near and around our locations and therefore our total addressable market. Lower volume in a terminal could be caused by:</w:t>
      </w:r>
    </w:p>
    <w:p>
      <w:pPr>
        <w:spacing w:after="0" w:line="184" w:lineRule="exact"/>
        <w:rPr>
          <w:sz w:val="20"/>
          <w:szCs w:val="20"/>
          <w:color w:val="auto"/>
        </w:rPr>
      </w:pPr>
    </w:p>
    <w:p>
      <w:pPr>
        <w:ind w:left="680" w:hanging="33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airline utilizing an airport in which we operate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we operate,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92" w:lineRule="exact"/>
        <w:rPr>
          <w:sz w:val="20"/>
          <w:szCs w:val="20"/>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ACDBE participation requirements, we are often required to meet, or use good faith efforts to meet, certain minimum ACDBE participation requirements when bidding on or submitting proposals for new concession contracts. If we are unable to find and/or partner with an appropriate ACDBE, we may lose opportunities to open new locations. In addition, a number of our existing leases contain minimum ACDBE participation requirements which require the ACDBE to own a significant portion of the business being operated under those leases. The level of ACDBE participation requirements may affect our profitability and/or our ability to meet financial forecasts.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spacing w:after="0" w:line="311" w:lineRule="auto"/>
        <w:rPr>
          <w:sz w:val="20"/>
          <w:szCs w:val="20"/>
          <w:color w:val="auto"/>
        </w:rPr>
      </w:pPr>
      <w:r>
        <w:rPr>
          <w:rFonts w:ascii="Arial" w:cs="Arial" w:eastAsia="Arial" w:hAnsi="Arial"/>
          <w:sz w:val="16"/>
          <w:szCs w:val="16"/>
          <w:color w:val="auto"/>
        </w:rPr>
        <w:t>Further, if we fail to comply with the minimum ACDBE participation requirements, we may be held responsible for a breach of contract, which could result in the termination of a lease and impairment of our ability to bid on or obtain future concession contracts. To the extent that our leases are terminated and we are required to shut down one or more store locations, there could be a material adverse impact to our business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minimum wage increases could negatively impact our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compensate our licensed technicians via a formula that includes commissions. As a result, an increase in the minimum wage could increase our cost of labor and have an adverse impact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customers’ credit card data and other personal information, we could be exposed to data loss, litigation and liability, and our reputation could be significantly harmed.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Privacy protection is increasingly demanding, and the use of electronic payment methods and collection of other personal information, including order history, travel history and other preferences, exposes us to increased risk of privacy and/or security breaches as well as other risks. The majority of our sales are by credit or debit cards. Additionally, we collect and stores personal information from individuals, including our customers and employees.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future, we may experience security breaches in which credit and debit card information or other personal information is stolen. Although we use secure private networks to transmit confidential information, third parties may have the technology or know-how to breach the security of the customer information transmitted in connection with credit and debit card sales, and our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us. In addition, contractors, or third parties with whom we does business or to whom we outsources business operations may attempt to circumvent our security measures in order to misappropriate such information and may purposefully or inadvertently cause a breach involving such information. If a person is able to circumvent our security measures or those of third parties, he or she could destroy or steal valuable information or disrupt our operations. We may become subject to claims for purportedly fraudulent transactions arising out of the actual or alleged theft of credit or debit card information, and we may also be subject to lawsuits or other proceedings relating to these types of incidents. Any such claim or proceeding could cause us to incur significant unplanned expenses, which could have an adverse effect on our business or results of operations. Further, adverse publicity resulting from these allegations could significantly harm our reputation and may have a material adverse effect on us. Although we carry cyber liability insurance to protect against these risks, there can be no assurance that such insurance will provide adequate levels of coverage against all potential claims.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our ability to recruit workers.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affinity among consumers is highly dependent on their positive feelings about the brand, our customer service and the range and quality of services and products that we offer. A negative customer experience that is posted to social media outlets and is distributed virally could tarnish our brand and our customers may opt to no longer engage with the brand.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must comply with a variety of employment and business practices laws across the United States, Netherlands and United Arab Emirates. We monitors the laws governing our activities, but in the event we do not become aware of a new regulation or fails to comply with a regulation, we could be subject to disciplinary action by governing bodies and potentially employee lawsuits.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not currently cash flow positive and will depend on funding to open new locations. In the event that capital is unavailable, we will not be able to open new locations.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Throughout our operating history, we have not generated sufficient cash from operations to fund our new store development. As a result, we will be dependent upon additional funding for our new location growth until such time as we can produce enough cash to profitably fund our own location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source, develop and sell products that may result in product liability defense costs and product liability payments.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We may face substantial product liability exposure for products we sell to the general public or that we use in our services. Product liability claims, regardless of their merits, could be costly and divert management’s attention, and adversely affect our reputation and the demand for our products and services. We to date have not been named as a defendant in any product liability action.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 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w:t>
      </w:r>
    </w:p>
    <w:p>
      <w:pPr>
        <w:spacing w:after="0" w:line="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an 85% ownership level by an acquirer or the transaction is later approved by our Board of Directors and by our stockholders by at least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percent vote of our stockholders other than the “interested stockholder,” each as specifically provided in Section 203.</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have been and may continue to be materially adversely impacted by public health epidemics, including the recent coronavirus outbreak.</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results of operations and financial condition has been and may continue to be materially adversely impacted if a public health epidemic, including the recent coronavirus outbreak, interferes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have no operating history in the diagnostic testing industry.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Despite our management’s extensive experience in health and wellness services, we have no specific operating history in the diagnostic testing industry, including providing management services to a professional practice offering diagnostic testing services. We will face substantial risks and uncertainties to which our new diagnostic testing line of business will be subject. To address these risks and uncertainties, we must, among other things, successfully execute our business strategy, respond to competitive developments and attract and retain qualified personnel. We cannot assure you that we will operate profitably or that our business strategy will be successful. As a result, our diagnostic testing line of business may not succeed.</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established formal contracts and relationships with professional practices for the ordering of and collection of samples for, and with laboratories for the performance of, COVID-19 testing in our XpresCheck locations.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exploring the possibility of offering COVID-19 testing in XpresCheck airport locations. On June 22, 2020, we began pilot testing and have established formal contractual relationships with professional practices for the ordering of and collection of samples for, and with clinical laboratories for the performance, of COVID-19 testing. We may never formalize longer term arrangements with a professional practice or clinical laboratory for these purposes and may never fully commence diagnostic testing operations. As a result, there can be no assurances that we will be able execute our current plans or generate any revenue associated with our current XpresCheck COVID-19 testing plans.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assurances that we will be able to successfully secure new locations or transition our existing spa facilities into XpresCheck locations at which COVID-19 testing will be ordered or performed.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assurances that we will be able to obtain new XpresCheck locations or make available or renovate our existing spa facilities for the purpose of operating a location at which XpresCheck COVID-19 testing will be ordered and/or performed by a professional practice. If we are unable to successfully transition such facilities to locations at which COVID-19 testing will be ordered and/or performed due to issues with lease agreements, permits, licenses or other delays, we will not be able to move forward with our planned short-term business transition.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rely on a limited number of professional practices and suppliers and, in some cases, a single professional practice or supplier, for the COVID-19 test and certain of the laboratory substances, equipment and other materials used for COVID-19 tests, and any delays or difficulties securing these materials could disrupt our operations and materially harm our business.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plan to contract with a limited number of professional practices, and potentially only a single professional practice, for the ordering of and collection of samples for COVID-19 testing. If our professional practice partner begins performing point of care COVID-19 testing at our XpresCheck locations in the future, we may rely on a limited number of suppliers for the COVID-19 test kits, collection supplies, reagents, and various other equipment and materials we intend to use in performing COVID-19 testing. We currently do not have formal agreements with any potential professional practice or supplier, and, as a result, if such services or supplies are obtained, the professional practice or supplier could cease supplying these services or tests, materials and equipment to us at any time due to our inability to reach agreement on terms, disruptions in the professional practice’s or supplier’s operations, a determination to pursue other activities or lines of business, or for other reasons, or the professional practice or supplier could fail to provide us with sufficient quantities of services or materials that meet our specifications. Transitioning to a new professional practice or supplier or locating a temporary substitute, if any are available, would be time-consuming and expensive, could result in interruptions in or otherwise affect the performance specifications of our intended operations, or could require that we revalidate the tests we use. In addition, the use of services, equipment or materials provided by a replacement professional practice or supplier could require us to alter our future operations and procedures. Moreover, we believe there are currently only a limited number of manufacturers that are capable of supplying and servicing some of the equipment and other materials necessary for our intended operations.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administering tests, our operations could be materially disrupted and our business, financial condition, results of operations, and reputation could be adversely affected. We also may experience services or supply issues as we increase test volume.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b w:val="1"/>
          <w:bCs w:val="1"/>
          <w:i w:val="1"/>
          <w:iCs w:val="1"/>
          <w:color w:val="auto"/>
        </w:rPr>
        <w:t>Since our professional practice partner have begun performing point of care COVID-19 testing at our XpresCheck locations, the COVID-19 testing technology we have chosen may not perform as expected, as a result of human error or otherwise. No assurance can be given that the COVID-19 testing technology we use will aid in the testing of this virus.</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On June 22, 2020, our professional practice partner began performing point of care COVID-19 testing at our XpresCheck locations, our success will depend on the COVID-19 testing technology we have chosen to use to provide a reliable, high-quality diagnostic result. There is no guarantee that the COVID-19 test technology we have chosen will be accurate. We believe that customers will be particularly sensitive to test defects and errors. As a result, the failure of the chosen tests to perform as expected could significantly impair our reputation and the public image of the tests we use. There can be no assurance that the COVID-19 test technology will be broadly adopted for use. Many companies are developing tests for COVID-19 and the COVID-19 test technology we are currently using may not be effective. As a result, the failure or perceived failure of the chosen tests to perform as expected could have a material adverse effect on our business, financial condition, results of operation and cash flows.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is little or no demand for the COVID-19 test, our business could be materially harmed.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can be no assurance that demand for our planned COVID-19 testing services will exist in the future because of the success of containment efforts, the emergence of a vaccine or due to other events. If there is no demand for our planned COVID-19 testing services, our business will be materially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COVID-19 testing capabilities may never achieve significant market acceptance.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expend substantial funds and management effort on the development and marketing of our professional practice partner’s COVID-19 testing capabilities with no assurance that we will be successful in implementing our planned diagnostic testing business. Our ability to successfully offer COVID-19 tests will depend significantly on the perception that the tests used by our professional practice partner can reduce transmission risk and are reliable.</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use potentially hazardous materials, chemicals and patient samples in our business and any disputes relating to improper handling, storage or disposal of these materials could be time consuming and costly.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professional practice partner’s diagnostic testing activities will involve the controlled use of hazardous laboratory materials and chemicals, including small quantities of acid and alcohol, and patient samples. They will be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 or restrict operations.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coverage may not be adequate to fully cover potential liability claims.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b w:val="1"/>
          <w:bCs w:val="1"/>
          <w:i w:val="1"/>
          <w:iCs w:val="1"/>
          <w:color w:val="auto"/>
        </w:rPr>
        <w:t>Our XpresCheck diagnostic testing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we expect to be subject to regulation under state law. State laws may require that laboratories and/or laboratory personnel meet certain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w:t>
      </w:r>
      <w:r>
        <w:rPr>
          <w:rFonts w:ascii="Arial" w:cs="Arial" w:eastAsia="Arial" w:hAnsi="Arial"/>
          <w:sz w:val="18"/>
          <w:szCs w:val="18"/>
          <w:color w:val="000000"/>
        </w:rPr>
        <w:t>on our business, financial condition, results of operation and cash flows.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complex federal, state, local and foreign laws and regulations that apply to our XpresCheck business, we could suffer severe consequences that could materially and adversely affect our operating results and financial condition.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planned operations to be subject to extensive federal, state, local and foreign laws and regulations, all of which are subject to change. These laws and regulations currently include, among other things:</w:t>
      </w:r>
    </w:p>
    <w:p>
      <w:pPr>
        <w:spacing w:after="0" w:line="170" w:lineRule="exact"/>
        <w:rPr>
          <w:sz w:val="20"/>
          <w:szCs w:val="20"/>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CLIA, which requires that laboratories obtain certification from the federal government, and state licensure laws;</w:t>
      </w:r>
    </w:p>
    <w:p>
      <w:pPr>
        <w:spacing w:after="0" w:line="23" w:lineRule="exact"/>
        <w:rPr>
          <w:rFonts w:ascii="Arial" w:cs="Arial" w:eastAsia="Arial" w:hAnsi="Arial"/>
          <w:sz w:val="18"/>
          <w:szCs w:val="18"/>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laws and regulations;</w:t>
      </w:r>
    </w:p>
    <w:p>
      <w:pPr>
        <w:spacing w:after="0" w:line="9" w:lineRule="exact"/>
        <w:rPr>
          <w:rFonts w:ascii="Arial" w:cs="Arial" w:eastAsia="Arial" w:hAnsi="Arial"/>
          <w:sz w:val="18"/>
          <w:szCs w:val="18"/>
          <w:color w:val="auto"/>
        </w:rPr>
      </w:pPr>
    </w:p>
    <w:p>
      <w:pPr>
        <w:jc w:val="both"/>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which imposes comprehensive federal standards with respect to the privacy and security of protected health information and requirements for the use of certain standardized electronic transactions, and amendments to HIPAA under HITECH, which strengthen and expand HIPAA privacy and security compliance requirements, increase penalties for violators, extend enforcement authority to state attorneys general and impose requirements for breach notification;</w:t>
      </w:r>
    </w:p>
    <w:p>
      <w:pPr>
        <w:spacing w:after="0" w:line="1" w:lineRule="exact"/>
        <w:rPr>
          <w:rFonts w:ascii="Arial" w:cs="Arial" w:eastAsia="Arial" w:hAnsi="Arial"/>
          <w:sz w:val="18"/>
          <w:szCs w:val="18"/>
          <w:color w:val="auto"/>
        </w:rPr>
      </w:pPr>
    </w:p>
    <w:p>
      <w:pPr>
        <w:ind w:left="460" w:right="2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jc w:val="both"/>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and false claims acts, which may extend to services reimbursable by any third-party payor, including private insurers;</w:t>
      </w:r>
    </w:p>
    <w:p>
      <w:pPr>
        <w:jc w:val="both"/>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p>
      <w:pPr>
        <w:spacing w:after="0" w:line="1"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216 of the federal Protecting Access to Medicare Act of 2014, which requires applicable laboratories to report private payor data in a timely and accurate manner beginning in 2017 and every three years thereafter (and in some cases annually);</w:t>
      </w: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laws that impose reporting and other compliance-related requirements;</w:t>
      </w:r>
    </w:p>
    <w:p>
      <w:pPr>
        <w:spacing w:after="0" w:line="9" w:lineRule="exact"/>
        <w:rPr>
          <w:rFonts w:ascii="Arial" w:cs="Arial" w:eastAsia="Arial" w:hAnsi="Arial"/>
          <w:sz w:val="18"/>
          <w:szCs w:val="18"/>
          <w:color w:val="auto"/>
        </w:rPr>
      </w:pPr>
    </w:p>
    <w:p>
      <w:pPr>
        <w:jc w:val="both"/>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billing laws, including regulations on “pass through billing” which may limit our ability to submit claims for payment and/or mark up the cost of services in excess of the price paid for such services, and “direct-bill” laws which may limit our ability to purchase services from a laboratory and bill for the services ordered;</w:t>
      </w:r>
    </w:p>
    <w:p>
      <w:pPr>
        <w:spacing w:after="0" w:line="1" w:lineRule="exact"/>
        <w:rPr>
          <w:rFonts w:ascii="Arial" w:cs="Arial" w:eastAsia="Arial" w:hAnsi="Arial"/>
          <w:sz w:val="18"/>
          <w:szCs w:val="18"/>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7"/>
          <w:szCs w:val="17"/>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way that the FDA regulates COVID-19 tests could result in the delay or additional expense in XpresCheck offering tests.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the U.S. Food and Drug Administration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delay or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Since our professional practice partner have begun performing point of care COVID-19 testing at our XpresCheck locations, failure to accurately bill for testing services, or to comply with applicable laws relating to government health care programs, could have a material adverse effect on our business.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Billing for diagnostic testing services is complex and subject to extensive and non-uniform rules and administrative requirements. Depending on the billing arrangement and applicable law, we expect to bill various payers, such as patients, insurance companies, Medicare, Medicaid, clinicians, hospitals and employer groups as </w:t>
      </w:r>
      <w:r>
        <w:rPr>
          <w:rFonts w:ascii="Arial" w:cs="Arial" w:eastAsia="Arial" w:hAnsi="Arial"/>
          <w:sz w:val="16"/>
          <w:szCs w:val="16"/>
          <w:color w:val="212529"/>
        </w:rPr>
        <w:t>we perform point of care COVID-19 testing at our</w:t>
      </w:r>
      <w:r>
        <w:rPr>
          <w:rFonts w:ascii="Arial" w:cs="Arial" w:eastAsia="Arial" w:hAnsi="Arial"/>
          <w:sz w:val="16"/>
          <w:szCs w:val="16"/>
          <w:color w:val="auto"/>
        </w:rPr>
        <w:t xml:space="preserve"> XpresCheck </w:t>
      </w:r>
      <w:r>
        <w:rPr>
          <w:rFonts w:ascii="Arial" w:cs="Arial" w:eastAsia="Arial" w:hAnsi="Arial"/>
          <w:sz w:val="16"/>
          <w:szCs w:val="16"/>
          <w:color w:val="212529"/>
        </w:rPr>
        <w:t>locations. We expect that the majority of our billing and related</w:t>
      </w:r>
      <w:r>
        <w:rPr>
          <w:rFonts w:ascii="Arial" w:cs="Arial" w:eastAsia="Arial" w:hAnsi="Arial"/>
          <w:sz w:val="16"/>
          <w:szCs w:val="16"/>
          <w:color w:val="auto"/>
        </w:rPr>
        <w:t xml:space="preserve"> </w:t>
      </w:r>
      <w:r>
        <w:rPr>
          <w:rFonts w:ascii="Arial" w:cs="Arial" w:eastAsia="Arial" w:hAnsi="Arial"/>
          <w:sz w:val="16"/>
          <w:szCs w:val="16"/>
          <w:color w:val="212529"/>
        </w:rPr>
        <w:t>operations will be provided by a third party. Failure to accurately bill for our services could have a material adverse effect on our business. In addition, failure to comply with applicable laws relating to billing government health care programs may result in various consequences, including the return of overpayments, civil and criminal fines and penalties, exclusion from participation in government health care programs and the loss of various licenses, certificates and authorizations necessary to operate our business, as well as incur additional liabilities from third-party claims, all of which could have a material adverse effect on our business. Certain violations of these laws may also provide the basis for a civil remedy under the federal False Claims Act, including fines and damages of up to three times the amount claimed. The qui tam provisions of the federal False Claims Act and similar provisions in certain state false claims acts allow private individuals to bring lawsuits against health care companies on behalf of the government.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212529"/>
        </w:rPr>
        <w:t>Although we expect to be in compliance, in all material respects, with applicable laws and regulations, there can be no assurance that a regulatory agency or tribunal would not reach a different conclusion. The federal and state governments have substantial leverage in negotiating settlements since the amount of potential damages and fines far exceeds the rates at which services will be reimbursed, and the government has the remedy of excluding a non-compliant provider from participation in the Medicare and Medicaid programs. We expect that federal and state governments continue aggressive enforcement efforts against perceived health care fraud. Legislative provisions relating to health care fraud and abuse provide government enforcement personnel with substantial funding, powers, penalties and remedies to pursue suspected cases of fraud and abuse.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We will depend on third parties to provide services critical to our XpresCheck diagnostic testing business, and we will depend on them to comply with applicable laws and regulations. Additionally, any breaches of the information technology systems of third parties could have a material adverse effect on our operations.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We will depend on third parties to provide services critical to our XpresCheck diagnostic testing business, including supplies, ground and air transport of clinical and diagnostic testing supplies and specimens, research products, and people, among other services. Third parties that will provide services to us will be subject to similar risks related to security of customer-related information and compliance with U.S., state, local, or international environmental, health and safety, and privacy and security laws and regulations as we will be.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Our business operations and reputation may be materially impaired if we do not comply with privacy laws or information security policies.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We will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We will be subject to laws and regulations regarding protecting the security and privacy of certain healthcare and personal information, including: (a) the federal Health Insurance Portability and Accountability Act and the regulations thereunder, 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IT systems will be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must comply with complex and overlapping laws protecting the privacy and security of health information and personal data.</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are a number of state, federal and international laws protecting the privacy and security of health information and personal data. Under the administrative simplification provisions of HIPAA, HHS has issued regulations which establish uniform standards governing the conduct of certain electronic health care transactions and protecting the privacy and security of PHI used or disclosed by health care providers and other covered entities.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privacy regulations regulate the use and disclosure of PHI by health care providers engaging in certain electronic transactions or “standard transactions.” They also set forth certain rights that an individual has with respect to his or her PHI maintained by a covered health 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 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security laws.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planned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the HIPAA, HITECH and state privacy restrictions may have a negative impact on our operations. Noncompliance could subject us to criminal penalties, civil sanctions and significant monetary penalties as well as reputational damage.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will be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XpresCheck capital expenditures may not generate a positive return and we will incur significant additional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capital expenditures may not generate a positive return. Significant capital expenditures will be required to construct new XpresCheck locations or renovate our existing spa facilities to accommodate our proposed new XpresCheck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the ability of our professional practice partner to order or perform COVID-19 testing could be limited, and our competitive position could be harmed.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color w:val="212529"/>
        </w:rPr>
        <w:t>we expect to incur significant additional costs as we implement the ability of our professional practice partner to perform on-site COVID-19</w:t>
      </w:r>
      <w:r>
        <w:rPr>
          <w:rFonts w:ascii="Arial" w:cs="Arial" w:eastAsia="Arial" w:hAnsi="Arial"/>
          <w:sz w:val="18"/>
          <w:szCs w:val="18"/>
          <w:color w:val="auto"/>
        </w:rPr>
        <w:t xml:space="preserve"> </w:t>
      </w:r>
      <w:r>
        <w:rPr>
          <w:rFonts w:ascii="Arial" w:cs="Arial" w:eastAsia="Arial" w:hAnsi="Arial"/>
          <w:sz w:val="18"/>
          <w:szCs w:val="18"/>
          <w:color w:val="212529"/>
        </w:rPr>
        <w:t xml:space="preserve">testing by </w:t>
      </w:r>
      <w:r>
        <w:rPr>
          <w:rFonts w:ascii="Arial" w:cs="Arial" w:eastAsia="Arial" w:hAnsi="Arial"/>
          <w:sz w:val="18"/>
          <w:szCs w:val="18"/>
          <w:color w:val="000000"/>
        </w:rPr>
        <w:t>XpresCheck</w:t>
      </w:r>
      <w:r>
        <w:rPr>
          <w:rFonts w:ascii="Arial" w:cs="Arial" w:eastAsia="Arial" w:hAnsi="Arial"/>
          <w:sz w:val="18"/>
          <w:szCs w:val="18"/>
          <w:color w:val="212529"/>
        </w:rPr>
        <w:t>. The COVID-19 outbreak could disrupt our future supply chain, including by impacting our ability to secure COVID-19 testing supplies and to provide personal protective equipment for our employees in our testing locations. For similar reasons, the COVID-19 pandemic has also adversely impacted, and may continue to adversely impact, third parties that will be critical to our business, including vendors, suppliers, and business partners. These developments, and others that are difficult or impossible to predict, could materially impact our business, financial results, cash flows, and financial position.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independent registered public accounting firm has expressed substantial doubt as to our ability to continue as a going concern.</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audited financial statements included in our annual report on Form 10-K for the year ended December 31, 2020 have been prepared assuming that we will continue as a going concern and do not include any adjustments that might result if we cease to continue as a going concern. The report of our independent registered public accounting firm on our financial statements for the years ended December 31, 2019 and 2018 included an explanatory paragraph indicating that there is substantial doubt about our ability to continue as a going concern. Our auditors’ doubts are based on our recurring losses from operations and working capital deficiency. The inclusion of a going concern explanatory paragraph in future reports of our independent auditors may make it more difficult for us to secure additional financing or enter into strategic relationships on terms acceptable to us, if at all, and may materially and adversely affect the terms of any financing that we might obtain.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recent COVID-19 outbreak was declared a pandemic by the World Health Organization on March 11, 2020 and has rapidly spread to the United States and many other parts of the world and may continue to adversely affect our business operations, employee availability, financial condition, liquidity and cash flow for an extended period of time.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outbreak is having an impact on the global economy, resulting in rapidly changing market and economic conditions. Similar to many businesses in the travel sector, our business has been materially adversely impacted by the recent COVID-19 outbreak due to the restrictions on travel that have been implemented. Effective March 24, 2020, we temporarily closed all global spa locations, largely due to the categorization of our spa locations by local jurisdictions as “non-essential services” in connection with the outbreak of COVID-19. This has had a materially adverse impact on our cash flows from operations and caused a liquidity crisis. Ongoing significant reductions in business related activities could result in further loss of sales and profits and other material adverse effects. The extent of the impact of COVID-19 on our business, financial results, liquidity and cash flows will depend largely on future developments, including new information that may emerge concerning the severity and action taken to contain or prevent further spread within the U.S. and the related impact on consumer confidence and spending, all of which are highly uncertain and cannot be predicted. As the outbreak of COVID-19 continues to spread rapidly in the U.S. and globally, related government and private sector responsive actions may continue to adversely affect our business operations. It is impossible to predict the effect and ultimate impact of the COVID-19 pandemic as the situation is rapidly evolving. If the COVID-19 outbreak continues and persists for an extended period of time, we expect there will be significant and material disruptions to our operations, which will have a material adverse effect on our business, financial condition and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the preparation of our annual financial statements for the year ended December 31, 2019, we identified a material weakness in our internal control over financial reporting. Any failure to maintain effective internal control over financial reporting could have a material adverse effect on our results of operations and financial position.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In connection with our audit of the year ended December 31, 2019, we identified a material weakness in our internal controls over our financial close and reporting process.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Our management has concluded that additional formal procedures need to be put in place in the financial close and reporting process to ensure that appropriate reviews occur on all financial reporting analysis in a timely manner. We also concluded that we did not maintain a sufficient complement of corporate employee personnel with appropriate levels of accounting and controls knowledge and experience commensurate with our financial reporting requirements to appropriately analyze record and disclose accounting matters completely and accurately. As this deficiency created a reasonable possibility that a material misstatement would not have been prevented or detected in a timely basis, management concluded that the control deficiency represented a material weakness and accordingly our internal control over financial reporting was not effective as of December 31, 2019.</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still considering the full extent of the procedures to implement in order to remediate the material weakness described above. Our preliminary remediation plan, complimented by our existing outsourced internal audit procedures, includes implementing a more robust review process, an increase in the supervision and monitoring of the financial reporting processes and our accounting personnel, and implementing better controls over calculations, analysis and conclusions associated with non-routine transactions at a more precise level.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assure you that any of our remedial measures will be effective in resolving this material weakness. If our management is unable to conclude that we have effective internal control over financial reporting, or to certify the effectiveness of such controls, or if additional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adversely affect our results of operations and financial condition.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and financial condition could be constrained by our outstanding debt, including the impact of the receipt of an explanatory paragraph with respect to our financial statements for the years ended December 31, 2019 and 2018, indicating that there is substantial doubt about our ability to continue as a going concern.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obligated under a credit agreement and convertible secured promissory note payable to B3D of approximately $900,000 as of July 13, 2020, with a maturity date of May 31, 2021 (the “Senior Secured Note”). The Senior Secured Note accrues interest of 9.0% per annum. We are obligated to make periodic interest payments on such debt obligations in cash, shares of our Common Stock, or a combination thereof. While we do not anticipate failing to make any such payments, the failure to do so may result in the default of loan obligations, leading to financial and operational hardship. We have granted B3D a security interest in all of our tangible and intangible personal property to secure our obligations under the Senior Secured Note. The Senior Secured Note is an outstanding obligation of ours but is guaranteed by us.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discussed above and in our annual report on Form 10-K for the year ended December 31, 2020, the report of our independent registered public accounting firm on our financial statements for the years ended December 31, 2019 and 2018 includes an explanatory paragraph indicating that there is substantial doubt about our ability to continue as a going concern. The receipt of this explanatory paragraph with respect to our financial statements for the years ended December 31, 2019 and 2018 will result in a breach of a covenant under the Senior Secured Note which, if unremedied for a period of 30 days after the date of notice, will constitute an event of default under the Senior Secured Note. Upon the occurrence of an event of default under the Senior Secured Note, B3D may, among other things, declare the Senior Secured Note and all accrued and unpaid interest thereon and all other amounts owing under the Senior Secured Note to be due and payable.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fail to meet certain conditions under the terms of our outstanding indebtedness, we will be obligated to repay in cash any principal amount, interest and any other sum that remains outstanding. If the maturity date of our indebtedness is accelerated as a result of an event of default, the outstanding principal amount, liquidated damages and other amounts owing in respect thereof through the date of acceleration, shall become, at the holder’s election, immediately due and payable in cash.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2019, our estimated aggregate total net operating loss carryforwards (“NOLs”) were $182,327,000 for U.S. federal purposes, expiring 20 years from the respective tax years to which they relate, and $31,401,000 for U.S. federal purposes with an indefinite life due to new regulations in the Tax Cuts and Jobs Act of 2017.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the Tax Reform Act of 1986 imposed substantial restrictions on the utilization of NOL and tax credits in the event of an ownership change of a corporation. Thus, our ability to utilize all such NOL and credit carryforwards may be limited. Future changes in stock ownership may also trigger an ownership change and, consequently, a Section 382 limitation.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Act (the “CARES Act”) was enacted on March 27, 2020 and includes favorable changes to tax law and incentives for businesses impacted by COVID-19. However, we do not anticipate the income tax law changes and incentives will have a material impact on our results of operations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financings or similar arrangements in the future, including the issuance of debt securities, preferred stock or Common Stock. If we issue Common Stock or securities convertible or exercisable into Common Stock, our common stockholders would experience additional dilution and, as a result, our stock price may decline.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on the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and may impair our ability to acquire additional intellectual property assets by using our shares as consideration.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88"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that COVID-19 might have on our results of operations and financial position;</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308" w:lineRule="auto"/>
        <w:rPr>
          <w:sz w:val="20"/>
          <w:szCs w:val="20"/>
          <w:color w:val="auto"/>
        </w:rPr>
      </w:pPr>
      <w:r>
        <w:rPr>
          <w:rFonts w:ascii="Arial" w:cs="Arial" w:eastAsia="Arial" w:hAnsi="Arial"/>
          <w:sz w:val="17"/>
          <w:szCs w:val="17"/>
          <w:b w:val="1"/>
          <w:bCs w:val="1"/>
          <w:i w:val="1"/>
          <w:iCs w:val="1"/>
          <w:color w:val="auto"/>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substantial volatility, and stockholders may lose all or a substantial part of their investment.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currently trades on Nasdaq. There is limited public float, and trading volume historically has been low and sporadic. As a result, the market price for our Common Stock may not necessarily be a reliable indicator of our fair market value. The price at which our Common Stock trades may fluctuate as a result of a number of factors, including the number of shares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p>
      <w:pPr>
        <w:spacing w:after="0" w:line="1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Common Stock becomes subject to the penny stock rules, it may be more difficult to sell our Common Stock.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and if the price of our Common Stock is less than $5.00 and our Common Stock is no longer listed on a national securities exchange such as Nasdaq, our stock may be deemed a penny stock. The penny stock rules require a broker-dealer, at least two business days prior to a transaction in a penny stock not otherwise exempt from those rules, to deliver to the customer a standardized risk disclosure document containing specified information and to obtain from the customer a signed and date acknowledgment of receipt of that document.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July 13, 2020, we had 56,483,913 shares of Common Stock issued and outstanding, excluding shares of Common Stock issuable upon exercise of warrants, options or restricted stock units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conversion of a substantial amount of notes or the exercise of a substantial number of warrants or options by our security holders may have an adverse effect on the market price of our Common Stock.</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Should the B3D Note outstanding as of July 13, 2020 be converted into Common Stock at a conversion price of $0.525 per share there would be an additional 1,714,286 shares of Common Stock eligible for trading in the public market. Should our warrants and options outstanding as of July 13, 2020 be exercised, there would be an additional 9,152,520 shares of Common Stock eligible for trading in the public market. Such securities, if converted or exercised, will increase the number of issued and outstanding shares of our Common Stock. Therefore, the sale of the shares of Common Stock underlying these instruments could have an adverse effect on the market price for our securities and/or on our ability to obtain future financing.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current plans to pay dividends on our Common Stock, and our investors may not receive funds without selling their stock.</w:t>
      </w:r>
    </w:p>
    <w:p>
      <w:pPr>
        <w:spacing w:after="0" w:line="2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holder of Common Stock, which could impair the value of our shares.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$250,000,000 and annual revenues of less than $100,000,000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2019,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lack of operating history in the diagnostic testing industry and the risks associated with novel coronavirus COVID-19 XpresCheck testing locations;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the base prospectus and in the documents incorporated by reference herein, particularly in the “Risk Factors” section, that we believe could cause actual results or events to differ materially from the forward-looking statements that we make. For a summary of such factors, please refer to the section entitled “Risk Factors” in this prospectus and the base prospectus, as updated and supplemented by the discussion of risks and uncertainties under “Risk Factors” contained in any supplements to this prospectus and the base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and the base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selling any securities in this offering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receive the exercise price upon any exercise of the Warrants, to the extent exercised on a cash basis. If the Warrants are exercised in full, we would receive gross proceeds of approximately $44,000,000. We currently intend to use such proceeds, if any, for general corporate purposes and working capital. The holders of the Warrants are not obligated to exercise the Warrants, and we cannot predict whether or when, if ever, the holders of the Warrants will choose to exercise their respective Warrants, in whole or in part.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shares of Common Stock being offered by the selling securityholders relate to the resale of up to an aggregate of 10,499,991 shares of our Common Stock. This total includes the following:</w:t>
      </w:r>
    </w:p>
    <w:p>
      <w:pPr>
        <w:spacing w:after="0" w:line="170" w:lineRule="exact"/>
        <w:rPr>
          <w:sz w:val="20"/>
          <w:szCs w:val="20"/>
          <w:color w:val="auto"/>
        </w:rPr>
      </w:pPr>
    </w:p>
    <w:p>
      <w:pPr>
        <w:jc w:val="both"/>
        <w:ind w:left="680" w:hanging="213"/>
        <w:spacing w:after="0" w:line="26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of the (a) 7,614,700 shares of our Common Stock, issuable upon the exercise of the June 2020 Warrants at an exercise price equal to $5.25 per share, and (b) 133,258 shares of our Common Stock issuable upon the exercise of the Palladium Warrants at an exercise price equal to $5.25 per share;</w:t>
      </w:r>
    </w:p>
    <w:p>
      <w:pPr>
        <w:spacing w:after="0" w:line="184" w:lineRule="exact"/>
        <w:rPr>
          <w:sz w:val="20"/>
          <w:szCs w:val="20"/>
          <w:color w:val="auto"/>
        </w:rPr>
      </w:pPr>
    </w:p>
    <w:p>
      <w:pPr>
        <w:jc w:val="both"/>
        <w:ind w:left="680" w:hanging="229"/>
        <w:spacing w:after="0" w:line="277" w:lineRule="auto"/>
        <w:rPr>
          <w:sz w:val="20"/>
          <w:szCs w:val="20"/>
          <w:color w:val="auto"/>
        </w:rPr>
      </w:pPr>
      <w:r>
        <w:rPr>
          <w:rFonts w:ascii="Arial" w:cs="Arial" w:eastAsia="Arial" w:hAnsi="Arial"/>
          <w:sz w:val="18"/>
          <w:szCs w:val="18"/>
          <w:color w:val="auto"/>
        </w:rPr>
        <w:t>(ii)100% of the 609,176 shares of our Common Stock issuable upon the exercise of the H.C.W. Warrants at an exercise price equal to $6.56625 per share; and</w:t>
      </w:r>
    </w:p>
    <w:p>
      <w:pPr>
        <w:spacing w:after="0" w:line="170" w:lineRule="exact"/>
        <w:rPr>
          <w:sz w:val="20"/>
          <w:szCs w:val="20"/>
          <w:color w:val="auto"/>
        </w:rPr>
      </w:pPr>
    </w:p>
    <w:p>
      <w:pPr>
        <w:jc w:val="both"/>
        <w:ind w:left="720" w:hanging="269"/>
        <w:spacing w:after="0" w:line="254" w:lineRule="auto"/>
        <w:rPr>
          <w:sz w:val="20"/>
          <w:szCs w:val="20"/>
          <w:color w:val="auto"/>
        </w:rPr>
      </w:pPr>
      <w:r>
        <w:rPr>
          <w:rFonts w:ascii="Arial" w:cs="Arial" w:eastAsia="Arial" w:hAnsi="Arial"/>
          <w:sz w:val="18"/>
          <w:szCs w:val="18"/>
          <w:color w:val="auto"/>
        </w:rPr>
        <w:t>(iii)125% of the 1,714,286 shares (which is equal to 2,142,857 shares) of our Common Stock issuable (a) upon conversion of an aggregate principal amount of $900,000 of the B3D Note at a conversion price equal to $0.525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notice of intent to pay interest in Common Stock, and (c) as certain make-whole payments in Common Stock to the extent that the accrued and unpaid interest amount described above is less than 90% of the average volume weighted average price of our Common Stock for the 30 trading days prior to the interest payment date (or if not a trading day the next succeeding trading day).</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Securities were issued by the Company and were issued (a) with respect to item (i)(a) above, to accredited investors pursuant to or in connection with June 2020 Purchase Agreement and the June 2020 Warrants, and with respect to item (i)(b) above, to Palladium, as a financial advisory consultant in connection with the Palladium Engagement Letter and the Palladium Warrants; (b) with respect to item (ii) above, to certain designees of H.C.W. as placement agent in connection with the June 2020 Purchase Agreement and the H.C.W. Warrants; and (c) with respect to item (iii) above, to an accredited investor pursuant to or in connection with the Credit Agreement Amendment and the B3D Note.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lists the selling securityholders and other information regarding the beneficial ownership of the shares of Common Stock held by each of the selling securityholders. Beneficial ownership is determined in accordance with the rules of the SEC and includes voting or investment power with respect to the securities. We deem shares of Common Stock that may be acquired by an individual or group within 60 days of July 13, 2020, pursuant to the exercise of warrants to be outstanding for the purpose of computing the percentage ownership of such individual or group, but not for the purpose of computing the percentage ownership of any other person shown in the table.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column in the table below lists the number of shares of Common Stock beneficially owned by the selling securityholders, based on their respective ownership of shares of Common Stock, as of July 13, 2020, assuming conversion of the B3D Note and exercise of the Warrants held by each such selling securityholder on that date.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percentage of shares beneficially owned after to the offering is based on 56,483,913 shares of our Common Stock outstanding as of July 13, 2020 and assumes the sale of the maximum number of shares of Common Stock to be sold pursuant to this prospectus. The number of shares in the column “Shares of Common Stock to be Sold Pursuant to this Prospectus” represents all of the shares that the selling securityholder may offer under this prospectus and does not take into account any limitations on the conversion of the B3D Note and exercise of the Warrants set forth therein.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Warrants, a selling securityholder may not exercise the Warrants to the extent (but only to the extent) such selling securityholder or any of its affiliates would beneficially own a number of shares of our Common Stock which would exceed 9.99% of the total number of shares of our Common Stock then issued or outstanding. The numbers in the table do not reflect these limitations. The selling securityholders may sell all, some or none of their shares in this offering. See “Plan of Distribution.”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b w:val="1"/>
                <w:bCs w:val="1"/>
                <w:color w:val="auto"/>
              </w:rPr>
              <w:t>Name of Selling</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Shares of Common Stock</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Common Stock to be Sold</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Shares of Common Stock</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of Shares of Common</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Beneficially Owned Prior</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Pursuant to this</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Beneficially Owned After</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Stock Beneficially Owned</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restart"/>
          </w:tcPr>
          <w:p>
            <w:pPr>
              <w:ind w:left="580"/>
              <w:spacing w:after="0"/>
              <w:rPr>
                <w:sz w:val="20"/>
                <w:szCs w:val="20"/>
                <w:color w:val="auto"/>
              </w:rPr>
            </w:pPr>
            <w:r>
              <w:rPr>
                <w:rFonts w:ascii="Arial" w:cs="Arial" w:eastAsia="Arial" w:hAnsi="Arial"/>
                <w:sz w:val="18"/>
                <w:szCs w:val="18"/>
                <w:b w:val="1"/>
                <w:bCs w:val="1"/>
                <w:color w:val="auto"/>
              </w:rPr>
              <w:t>Securityholder</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to Offering</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3"/>
              </w:rPr>
              <w:t>Prospectus</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this Offering (1)</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After this Offering (1)</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Alpha Capital Anstalt (2)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951,838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951,838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Intracoastal Capital, LLC</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2,150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951,838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953,988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Altium Growth Fund, LP</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951,838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951,838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Armistice Capital Master</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2,379,593</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2,379,593</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3.6%</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Fund Ltd. (5)</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Sabby Volatility Warrant</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2,379,593</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2,379,593</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3.6%</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Master Fund, Ltd. (6)</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Noam Rubinstein (7)(8)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191,890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191,890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Craig Schwabe (7)(9)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20,560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20,560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Michael Vasinkevich (7)</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390,634</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390,634</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Charles Worthman (7)(11)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6,092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6,092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Palladium Capital Advisor,</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133,258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133,258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LLC (12)</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B3D, LLC (13)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1,714,286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2,142,857</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2,142,857</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460" w:hanging="331"/>
        <w:spacing w:after="0"/>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Assumes the sale of the maximum number of shares of Common Stock to be sold pursuant to this prospectus.</w:t>
      </w:r>
    </w:p>
    <w:p>
      <w:pPr>
        <w:spacing w:after="0" w:line="225" w:lineRule="exact"/>
        <w:rPr>
          <w:rFonts w:ascii="Arial" w:cs="Arial" w:eastAsia="Arial" w:hAnsi="Arial"/>
          <w:sz w:val="18"/>
          <w:szCs w:val="18"/>
          <w:color w:val="auto"/>
        </w:rPr>
      </w:pPr>
    </w:p>
    <w:p>
      <w:pPr>
        <w:jc w:val="both"/>
        <w:ind w:left="460" w:hanging="331"/>
        <w:spacing w:after="0" w:line="263"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Beneficial ownership is based upon information provided to the Company by the selling securityholder and includes warrants to purchase 951,838 shares of Common Stock. Konrad Ackerman is the natural person with voting and dispositive power over the shares held by Alpha Capital Anstalt. The selling securityholder’s address is Lettstrasse 32, 9490 Vaduz, Liechtenstein.</w:t>
      </w:r>
    </w:p>
    <w:p>
      <w:pPr>
        <w:spacing w:after="0" w:line="183" w:lineRule="exact"/>
        <w:rPr>
          <w:rFonts w:ascii="Arial" w:cs="Arial" w:eastAsia="Arial" w:hAnsi="Arial"/>
          <w:sz w:val="18"/>
          <w:szCs w:val="18"/>
          <w:color w:val="auto"/>
        </w:rPr>
      </w:pPr>
    </w:p>
    <w:p>
      <w:pPr>
        <w:jc w:val="both"/>
        <w:ind w:left="460" w:hanging="331"/>
        <w:spacing w:after="0" w:line="296" w:lineRule="auto"/>
        <w:tabs>
          <w:tab w:leader="none" w:pos="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Beneficial ownership is based upon information provided to the Company by the selling securityholder and includes warrants to purchase 951,838 shares of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selling securityholder’s address is 2211A Lakeside Drive Bannockbum, IL 60015.</w:t>
      </w:r>
    </w:p>
    <w:p>
      <w:pPr>
        <w:spacing w:after="0" w:line="161" w:lineRule="exact"/>
        <w:rPr>
          <w:rFonts w:ascii="Arial" w:cs="Arial" w:eastAsia="Arial" w:hAnsi="Arial"/>
          <w:sz w:val="16"/>
          <w:szCs w:val="16"/>
          <w:color w:val="auto"/>
        </w:rPr>
      </w:pPr>
    </w:p>
    <w:p>
      <w:pPr>
        <w:jc w:val="both"/>
        <w:ind w:left="460" w:hanging="331"/>
        <w:spacing w:after="0" w:line="274"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Beneficial ownership is based upon information provided to the Company by the selling securityholder and includes warrants to purchase 951,838 shares of Common Stock. Jacob Gottlieb is the natural person with voting and dispositive power over the shares held by Altium Growth Fund, LP. The selling securityholder’s address is 152 West 57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10019.</w:t>
      </w:r>
    </w:p>
    <w:p>
      <w:pPr>
        <w:spacing w:after="0" w:line="51" w:lineRule="exact"/>
        <w:rPr>
          <w:rFonts w:ascii="Arial" w:cs="Arial" w:eastAsia="Arial" w:hAnsi="Arial"/>
          <w:sz w:val="18"/>
          <w:szCs w:val="18"/>
          <w:color w:val="auto"/>
        </w:rPr>
      </w:pPr>
    </w:p>
    <w:p>
      <w:pPr>
        <w:jc w:val="both"/>
        <w:ind w:left="460" w:hanging="331"/>
        <w:spacing w:after="0" w:line="318" w:lineRule="auto"/>
        <w:tabs>
          <w:tab w:leader="none" w:pos="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Beneficial ownership is based upon information provided to the Company by the selling securityholder and includes warrants to purchase 2,379,593 shares of Common Stock. Steven Boyd is the natural person with voting and dispositive power over the shares held by Armistice Capital Master Fund Ltd. The selling securityholder’s address is c/o Armistice Capital, LLC 510 Madison Avenue,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10022.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jc w:val="both"/>
        <w:ind w:left="340" w:hanging="331"/>
        <w:spacing w:after="0" w:line="279"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Beneficial ownership is based upon information provided to the Company by the selling securityholder and includes warrants to purchase 2,379,593 shares of Common Stock. Sabby Management, LLC is the fund manager of Sabby Volatility Warrant Master Fund, Ltd. and Hal David Mintz is the natural person with voting and dispositive power over the shares held by Sabby Management, LLC. The selling securityholder’s address is c/o Sabby Management, LLC, 10 Mountainview Road, Suite 205, Upper Saddle River, New Jersey 07458.</w:t>
      </w:r>
    </w:p>
    <w:p>
      <w:pPr>
        <w:spacing w:after="0" w:line="171" w:lineRule="exact"/>
        <w:rPr>
          <w:rFonts w:ascii="Arial" w:cs="Arial" w:eastAsia="Arial" w:hAnsi="Arial"/>
          <w:sz w:val="17"/>
          <w:szCs w:val="17"/>
          <w:color w:val="auto"/>
        </w:rPr>
      </w:pPr>
    </w:p>
    <w:p>
      <w:pPr>
        <w:ind w:left="340" w:hanging="33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selling stockholder is an affiliate of a registered broker-dealer.</w:t>
      </w:r>
    </w:p>
    <w:p>
      <w:pPr>
        <w:spacing w:after="0" w:line="225"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offering includes placement agent warrants to purchase 191,890 shares of common stock. The address of Mr. Rubinstein is c/o H.C. Wainwright &amp; Co., LLC, 430 Park Avenue, 3rd Floor, New York, New York 10022.</w:t>
      </w:r>
    </w:p>
    <w:p>
      <w:pPr>
        <w:spacing w:after="0" w:line="170"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offering includes placement agent warrants to purchase 20,560 shares of common stock. The address of Mr. Schwabe is c/o H.C. Wainwright &amp; Co., LLC, 430 Park Avenue, 3rd Floor, New York, New York 10022.</w:t>
      </w:r>
    </w:p>
    <w:p>
      <w:pPr>
        <w:spacing w:after="0" w:line="170"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offering includes placement agent warrants to purchase 390,634 shares of common stock. The address of Mr. Vasinkevich is c/o H.C. Wainwright &amp; Co., LLC, 430 Park Avenue, 3rd Floor, New York, New York 10022.</w:t>
      </w:r>
    </w:p>
    <w:p>
      <w:pPr>
        <w:spacing w:after="0" w:line="170"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offering includes placement agent warrants to purchase 6,092 shares of common stock. The address of Mr. Worthman is c/o H.C. Wainwright &amp; Co., LLC, 430 Park Avenue, 3rd Floor, New York, New York 10022.</w:t>
      </w:r>
    </w:p>
    <w:p>
      <w:pPr>
        <w:spacing w:after="0" w:line="170" w:lineRule="exact"/>
        <w:rPr>
          <w:rFonts w:ascii="Arial" w:cs="Arial" w:eastAsia="Arial" w:hAnsi="Arial"/>
          <w:sz w:val="18"/>
          <w:szCs w:val="18"/>
          <w:color w:val="auto"/>
        </w:rPr>
      </w:pPr>
    </w:p>
    <w:p>
      <w:pPr>
        <w:jc w:val="both"/>
        <w:ind w:left="340" w:hanging="331"/>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Beneficial ownership is based upon information provided to the Company by the selling securityholder and includes 100% of 133,258 shares of Common Stock underlying the Palladium Warrants. Palladium Capital Advisors, LLC is a brokerage firm controlled by Joel Padowitz. Joel Padowitz is the natural person with voting and dispositive power over the shares held by Palladium Capital Advisors, LLC. The selling securityholder’s address is 333 Tamiami Trail, Suite 291, Venice FL 34285.</w:t>
      </w:r>
    </w:p>
    <w:p>
      <w:pPr>
        <w:spacing w:after="0" w:line="186" w:lineRule="exact"/>
        <w:rPr>
          <w:rFonts w:ascii="Arial" w:cs="Arial" w:eastAsia="Arial" w:hAnsi="Arial"/>
          <w:sz w:val="18"/>
          <w:szCs w:val="18"/>
          <w:color w:val="auto"/>
        </w:rPr>
      </w:pPr>
    </w:p>
    <w:p>
      <w:pPr>
        <w:jc w:val="both"/>
        <w:ind w:left="340" w:hanging="331"/>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Beneficial ownership is based upon information provided to the Company by the selling securityholder and includes 125% of 1,714,286 shares (which is equal to 2,142,857 shares) of Common Stock underlying the B3D Note. B3D, LLC is an investment entity controlled by Brian Daly. Brian Daly is the natural person with voting and dispositive power over the shares held by B3D, LLC. The selling securityholder’s address is 9935D REA Road #317, Charlotte, NC 28277.</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90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registering the offer and sale of (i) the shares of Common Stock that may be issued upon the conversion or exercise, as applicable, of the Securities and (ii) certain shares of Common Stock held by certain of the selling securityholders, in each case to permit the resale of these shares of Common Stock by the holders of such Securities from time to time after the date of this prospectus. We will not receive any of the proceeds from the sale by the selling securityholders of the shares of Common Stock. We will bear all fees and expenses incident to our obligation to register the shares of Common Stock.</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selling securityholders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securityholders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61" w:lineRule="exact"/>
        <w:rPr>
          <w:sz w:val="20"/>
          <w:szCs w:val="20"/>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225" w:lineRule="exact"/>
        <w:rPr>
          <w:sz w:val="20"/>
          <w:szCs w:val="20"/>
          <w:color w:val="auto"/>
        </w:rPr>
      </w:pPr>
    </w:p>
    <w:p>
      <w:pPr>
        <w:ind w:left="24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distributions to their members, partners or shareholders;  a combination of any such methods of sale; and</w:t>
      </w:r>
    </w:p>
    <w:p>
      <w:pPr>
        <w:spacing w:after="0" w:line="225" w:lineRule="exact"/>
        <w:rPr>
          <w:sz w:val="20"/>
          <w:szCs w:val="20"/>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selling securityholders effect such transactions by selling shares of Common Stock to or through underwriters, broker-dealers or agents, such underwriters, broker-dealers or agents may receive commissions in the form of discounts, concessions or commissions from the selling securityholders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securityholders may enter into hedging transactions with broker-dealers, which may in turn engage in short sales of the shares of Common Stock in the course of hedging in positions they assume. The selling securityholders may also sell shares of Common Stock short and deliver shares of Common Stock covered by this prospectus to close out short positions and to return borrowed shares in connection with such short sales. The selling securityholders may also loan or pledge shares of Common Stock to broker-dealers that in turn may sell such shares.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93" w:lineRule="auto"/>
        <w:rPr>
          <w:sz w:val="20"/>
          <w:szCs w:val="20"/>
          <w:color w:val="auto"/>
        </w:rPr>
      </w:pPr>
      <w:r>
        <w:rPr>
          <w:rFonts w:ascii="Arial" w:cs="Arial" w:eastAsia="Arial" w:hAnsi="Arial"/>
          <w:sz w:val="16"/>
          <w:szCs w:val="16"/>
          <w:color w:val="auto"/>
        </w:rPr>
        <w:t>The selling securityholders may pledge or grant a security interest in some or all of the shares of Common Stock or the Securities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securityholders to include the pledgee, transferee or other successors in interest as selling securityholders under this prospectus. The selling securityholders also may transfer and donate the shares of Common Stock in other circumstances in which case the transferees, donees, pledgees or other successors in interest will be the selling beneficial owners for purposes of this prospectus.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selling securityholders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any selling securityholder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securityholders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will pay all expenses of the registration of the shares of Common Stock, estimated to be $74,766.88 in total, including, without limitation, SEC filing fees and expenses of compliance with state securities or "blue sky" laws; provided, however, that a selling securityholder will pay all underwriting discounts and selling commissions, if any. We will indemnify certain of the selling securityholders against liabilities, including some liabilities under the Securities Act, in accordance with that certain registration rights agreement that we have entered into with B3D and certain securityholders party to the June 2020 Purchase Agreement, as applicable, or certain selling securityholders will be entitled to contribution. We may be indemnified by the selling securityholders against civil liabilities, including liabilities under the Securities Act, that may arise from any written information furnished to us by the selling securityholder specifically for use in this prospectus, in accordance with that certain registration rights agreement that we have entered into with B3D and certain securityholders party to the June 2020 Purchase Agreement, as applicable, or we may be entitled to contribution.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validity of the securities we are offering will be passed upon for us by Mintz, Levin, Cohn, Ferris, Glovsky and Popeo, P.C., New York, New York.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rFonts w:ascii="Arial" w:cs="Arial" w:eastAsia="Arial" w:hAnsi="Arial"/>
          <w:sz w:val="17"/>
          <w:szCs w:val="17"/>
          <w:color w:val="0000EE"/>
        </w:rPr>
      </w:pPr>
      <w:hyperlink r:id="rId56">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56">
        <w:r>
          <w:rPr>
            <w:rFonts w:ascii="Arial" w:cs="Arial" w:eastAsia="Arial" w:hAnsi="Arial"/>
            <w:sz w:val="17"/>
            <w:szCs w:val="17"/>
            <w:u w:val="single" w:color="auto"/>
            <w:color w:val="0000EE"/>
          </w:rPr>
          <w:t>the year ended December 31, 2019</w:t>
        </w:r>
        <w:r>
          <w:rPr>
            <w:rFonts w:ascii="Arial" w:cs="Arial" w:eastAsia="Arial" w:hAnsi="Arial"/>
            <w:sz w:val="17"/>
            <w:szCs w:val="17"/>
            <w:color w:val="000000"/>
          </w:rPr>
          <w:t>, as set forth in their report (which includes an explanatory paragraph referring to the Company’s ability to continue as a</w:t>
        </w:r>
      </w:hyperlink>
      <w:r>
        <w:rPr>
          <w:rFonts w:ascii="Arial" w:cs="Arial" w:eastAsia="Arial" w:hAnsi="Arial"/>
          <w:sz w:val="17"/>
          <w:szCs w:val="17"/>
          <w:color w:val="0000EE"/>
        </w:rPr>
        <w:t xml:space="preserve"> </w:t>
      </w:r>
      <w:r>
        <w:rPr>
          <w:rFonts w:ascii="Arial" w:cs="Arial" w:eastAsia="Arial" w:hAnsi="Arial"/>
          <w:sz w:val="17"/>
          <w:szCs w:val="17"/>
          <w:color w:val="000000"/>
        </w:rPr>
        <w:t>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36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36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0000EE"/>
        </w:rPr>
      </w:pPr>
      <w:hyperlink r:id="rId56">
        <w:r>
          <w:rPr>
            <w:rFonts w:ascii="Arial" w:cs="Arial" w:eastAsia="Arial" w:hAnsi="Arial"/>
            <w:sz w:val="18"/>
            <w:szCs w:val="18"/>
            <w:u w:val="single" w:color="auto"/>
            <w:color w:val="0000EE"/>
          </w:rPr>
          <w:t>Our Annual Report on Form 10-K for the year ended December 31, 2019, filed on April 20,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as amended on</w:t>
      </w:r>
      <w:r>
        <w:rPr>
          <w:rFonts w:ascii="Arial" w:cs="Arial" w:eastAsia="Arial" w:hAnsi="Arial"/>
          <w:sz w:val="18"/>
          <w:szCs w:val="18"/>
          <w:color w:val="0000EE"/>
        </w:rPr>
        <w:t xml:space="preserve"> </w:t>
      </w:r>
      <w:hyperlink r:id="rId58">
        <w:r>
          <w:rPr>
            <w:rFonts w:ascii="Arial" w:cs="Arial" w:eastAsia="Arial" w:hAnsi="Arial"/>
            <w:sz w:val="18"/>
            <w:szCs w:val="18"/>
            <w:u w:val="single" w:color="auto"/>
            <w:color w:val="0000EE"/>
          </w:rPr>
          <w:t xml:space="preserve">May 19,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9">
        <w:r>
          <w:rPr>
            <w:rFonts w:ascii="Arial" w:cs="Arial" w:eastAsia="Arial" w:hAnsi="Arial"/>
            <w:sz w:val="18"/>
            <w:szCs w:val="18"/>
            <w:u w:val="single" w:color="auto"/>
            <w:color w:val="0000EE"/>
          </w:rPr>
          <w:t>June 15, 2020</w:t>
        </w:r>
      </w:hyperlink>
      <w:r>
        <w:rPr>
          <w:rFonts w:ascii="Arial" w:cs="Arial" w:eastAsia="Arial" w:hAnsi="Arial"/>
          <w:sz w:val="18"/>
          <w:szCs w:val="18"/>
          <w:color w:val="0000EE"/>
        </w:rPr>
        <w:t xml:space="preserve"> </w:t>
      </w:r>
      <w:r>
        <w:rPr>
          <w:rFonts w:ascii="Arial" w:cs="Arial" w:eastAsia="Arial" w:hAnsi="Arial"/>
          <w:sz w:val="18"/>
          <w:szCs w:val="18"/>
          <w:color w:val="000000"/>
        </w:rPr>
        <w:t>(File No. 001-34785);</w:t>
      </w:r>
    </w:p>
    <w:p>
      <w:pPr>
        <w:spacing w:after="0" w:line="170" w:lineRule="exact"/>
        <w:rPr>
          <w:rFonts w:ascii="Arial" w:cs="Arial" w:eastAsia="Arial" w:hAnsi="Arial"/>
          <w:sz w:val="18"/>
          <w:szCs w:val="18"/>
          <w:color w:val="0000EE"/>
        </w:rPr>
      </w:pPr>
    </w:p>
    <w:p>
      <w:pPr>
        <w:ind w:left="660" w:hanging="328"/>
        <w:spacing w:after="0"/>
        <w:tabs>
          <w:tab w:leader="none" w:pos="660" w:val="left"/>
        </w:tabs>
        <w:numPr>
          <w:ilvl w:val="0"/>
          <w:numId w:val="24"/>
        </w:numPr>
        <w:rPr>
          <w:rFonts w:ascii="Arial" w:cs="Arial" w:eastAsia="Arial" w:hAnsi="Arial"/>
          <w:sz w:val="18"/>
          <w:szCs w:val="18"/>
          <w:color w:val="0000EE"/>
        </w:rPr>
      </w:pPr>
      <w:hyperlink r:id="rId23">
        <w:r>
          <w:rPr>
            <w:rFonts w:ascii="Arial" w:cs="Arial" w:eastAsia="Arial" w:hAnsi="Arial"/>
            <w:sz w:val="18"/>
            <w:szCs w:val="18"/>
            <w:u w:val="single" w:color="auto"/>
            <w:color w:val="0000EE"/>
          </w:rPr>
          <w:t>Our Quarterly Report on Form 10-Q for the period ended March 31, 2020, filed on July 6, 2020 (File No. 001-3478)</w:t>
        </w:r>
      </w:hyperlink>
      <w:r>
        <w:rPr>
          <w:rFonts w:ascii="Arial" w:cs="Arial" w:eastAsia="Arial" w:hAnsi="Arial"/>
          <w:sz w:val="18"/>
          <w:szCs w:val="18"/>
          <w:color w:val="000000"/>
        </w:rPr>
        <w:t>;</w:t>
      </w:r>
    </w:p>
    <w:p>
      <w:pPr>
        <w:spacing w:after="0" w:line="225" w:lineRule="exact"/>
        <w:rPr>
          <w:rFonts w:ascii="Arial" w:cs="Arial" w:eastAsia="Arial" w:hAnsi="Arial"/>
          <w:sz w:val="18"/>
          <w:szCs w:val="18"/>
          <w:color w:val="0000EE"/>
        </w:rPr>
      </w:pPr>
    </w:p>
    <w:p>
      <w:pPr>
        <w:ind w:left="660" w:hanging="328"/>
        <w:spacing w:after="0"/>
        <w:tabs>
          <w:tab w:leader="none" w:pos="660" w:val="left"/>
        </w:tabs>
        <w:numPr>
          <w:ilvl w:val="0"/>
          <w:numId w:val="24"/>
        </w:numPr>
        <w:rPr>
          <w:rFonts w:ascii="Arial" w:cs="Arial" w:eastAsia="Arial" w:hAnsi="Arial"/>
          <w:sz w:val="17"/>
          <w:szCs w:val="17"/>
          <w:color w:val="auto"/>
        </w:rPr>
      </w:pPr>
      <w:hyperlink r:id="rId60">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January 3,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January 14,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3,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6,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19,</w:t>
        </w:r>
      </w:hyperlink>
    </w:p>
    <w:p>
      <w:pPr>
        <w:spacing w:after="0" w:line="34" w:lineRule="exact"/>
        <w:rPr>
          <w:rFonts w:ascii="Arial" w:cs="Arial" w:eastAsia="Arial" w:hAnsi="Arial"/>
          <w:sz w:val="17"/>
          <w:szCs w:val="17"/>
          <w:color w:val="auto"/>
        </w:rPr>
      </w:pPr>
    </w:p>
    <w:p>
      <w:pPr>
        <w:jc w:val="both"/>
        <w:ind w:left="660" w:right="140"/>
        <w:spacing w:after="0" w:line="255" w:lineRule="auto"/>
        <w:rPr>
          <w:rFonts w:ascii="Arial" w:cs="Arial" w:eastAsia="Arial" w:hAnsi="Arial"/>
          <w:sz w:val="18"/>
          <w:szCs w:val="18"/>
          <w:color w:val="0000EE"/>
        </w:rPr>
      </w:pPr>
      <w:hyperlink r:id="rId60">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1">
        <w:r>
          <w:rPr>
            <w:rFonts w:ascii="Arial" w:cs="Arial" w:eastAsia="Arial" w:hAnsi="Arial"/>
            <w:sz w:val="18"/>
            <w:szCs w:val="18"/>
            <w:u w:val="single" w:color="auto"/>
            <w:color w:val="0000EE"/>
          </w:rPr>
          <w:t>March 26,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2">
        <w:r>
          <w:rPr>
            <w:rFonts w:ascii="Arial" w:cs="Arial" w:eastAsia="Arial" w:hAnsi="Arial"/>
            <w:sz w:val="18"/>
            <w:szCs w:val="18"/>
            <w:u w:val="single" w:color="auto"/>
            <w:color w:val="0000EE"/>
          </w:rPr>
          <w:t xml:space="preserve">March 30, 2020 </w:t>
        </w:r>
      </w:hyperlink>
      <w:hyperlink r:id="rId63">
        <w:r>
          <w:rPr>
            <w:rFonts w:ascii="Arial" w:cs="Arial" w:eastAsia="Arial" w:hAnsi="Arial"/>
            <w:sz w:val="18"/>
            <w:szCs w:val="18"/>
            <w:u w:val="single" w:color="auto"/>
            <w:color w:val="0000EE"/>
          </w:rPr>
          <w:t>(two reports)</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April 6,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April 7,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April 17,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7">
        <w:r>
          <w:rPr>
            <w:rFonts w:ascii="Arial" w:cs="Arial" w:eastAsia="Arial" w:hAnsi="Arial"/>
            <w:sz w:val="18"/>
            <w:szCs w:val="18"/>
            <w:u w:val="single" w:color="auto"/>
            <w:color w:val="0000EE"/>
          </w:rPr>
          <w:t>April 24,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8">
        <w:r>
          <w:rPr>
            <w:rFonts w:ascii="Arial" w:cs="Arial" w:eastAsia="Arial" w:hAnsi="Arial"/>
            <w:sz w:val="18"/>
            <w:szCs w:val="18"/>
            <w:u w:val="single" w:color="auto"/>
            <w:color w:val="0000EE"/>
          </w:rPr>
          <w:t>April 28,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9">
        <w:r>
          <w:rPr>
            <w:rFonts w:ascii="Arial" w:cs="Arial" w:eastAsia="Arial" w:hAnsi="Arial"/>
            <w:sz w:val="18"/>
            <w:szCs w:val="18"/>
            <w:u w:val="single" w:color="auto"/>
            <w:color w:val="0000EE"/>
          </w:rPr>
          <w:t>May 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0">
        <w:r>
          <w:rPr>
            <w:rFonts w:ascii="Arial" w:cs="Arial" w:eastAsia="Arial" w:hAnsi="Arial"/>
            <w:sz w:val="18"/>
            <w:szCs w:val="18"/>
            <w:u w:val="single" w:color="auto"/>
            <w:color w:val="0000EE"/>
          </w:rPr>
          <w:t>May 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1">
        <w:r>
          <w:rPr>
            <w:rFonts w:ascii="Arial" w:cs="Arial" w:eastAsia="Arial" w:hAnsi="Arial"/>
            <w:sz w:val="18"/>
            <w:szCs w:val="18"/>
            <w:u w:val="single" w:color="auto"/>
            <w:color w:val="0000EE"/>
          </w:rPr>
          <w:t>May 11,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2">
        <w:r>
          <w:rPr>
            <w:rFonts w:ascii="Arial" w:cs="Arial" w:eastAsia="Arial" w:hAnsi="Arial"/>
            <w:sz w:val="18"/>
            <w:szCs w:val="18"/>
            <w:u w:val="single" w:color="auto"/>
            <w:color w:val="0000EE"/>
          </w:rPr>
          <w:t>May 22,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3">
        <w:r>
          <w:rPr>
            <w:rFonts w:ascii="Arial" w:cs="Arial" w:eastAsia="Arial" w:hAnsi="Arial"/>
            <w:sz w:val="18"/>
            <w:szCs w:val="18"/>
            <w:u w:val="single" w:color="auto"/>
            <w:color w:val="0000EE"/>
          </w:rPr>
          <w:t>May 29,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4">
        <w:r>
          <w:rPr>
            <w:rFonts w:ascii="Arial" w:cs="Arial" w:eastAsia="Arial" w:hAnsi="Arial"/>
            <w:sz w:val="18"/>
            <w:szCs w:val="18"/>
            <w:u w:val="single" w:color="auto"/>
            <w:color w:val="0000EE"/>
          </w:rPr>
          <w:t>June 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5">
        <w:r>
          <w:rPr>
            <w:rFonts w:ascii="Arial" w:cs="Arial" w:eastAsia="Arial" w:hAnsi="Arial"/>
            <w:sz w:val="18"/>
            <w:szCs w:val="18"/>
            <w:u w:val="single" w:color="auto"/>
            <w:color w:val="0000EE"/>
          </w:rPr>
          <w:t>June 10,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76">
        <w:r>
          <w:rPr>
            <w:rFonts w:ascii="Arial" w:cs="Arial" w:eastAsia="Arial" w:hAnsi="Arial"/>
            <w:sz w:val="18"/>
            <w:szCs w:val="18"/>
            <w:u w:val="single" w:color="auto"/>
            <w:color w:val="0000EE"/>
          </w:rPr>
          <w:t xml:space="preserve">June 17, 2020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w:t>
      </w:r>
      <w:r>
        <w:rPr>
          <w:rFonts w:ascii="Arial" w:cs="Arial" w:eastAsia="Arial" w:hAnsi="Arial"/>
          <w:sz w:val="18"/>
          <w:szCs w:val="18"/>
          <w:color w:val="0000EE"/>
        </w:rPr>
        <w:t xml:space="preserve"> </w:t>
      </w:r>
      <w:r>
        <w:rPr>
          <w:rFonts w:ascii="Arial" w:cs="Arial" w:eastAsia="Arial" w:hAnsi="Arial"/>
          <w:sz w:val="18"/>
          <w:szCs w:val="18"/>
          <w:color w:val="000000"/>
        </w:rPr>
        <w:t>under Items 2.02 or 7.01 and the exhibits furnished thereto);</w:t>
      </w:r>
    </w:p>
    <w:p>
      <w:pPr>
        <w:spacing w:after="0" w:line="189" w:lineRule="exact"/>
        <w:rPr>
          <w:rFonts w:ascii="Arial" w:cs="Arial" w:eastAsia="Arial" w:hAnsi="Arial"/>
          <w:sz w:val="18"/>
          <w:szCs w:val="18"/>
          <w:color w:val="0000EE"/>
        </w:rPr>
      </w:pPr>
    </w:p>
    <w:p>
      <w:pPr>
        <w:ind w:left="660" w:right="80" w:hanging="328"/>
        <w:spacing w:after="0" w:line="263" w:lineRule="auto"/>
        <w:tabs>
          <w:tab w:leader="none" w:pos="660" w:val="left"/>
        </w:tabs>
        <w:numPr>
          <w:ilvl w:val="0"/>
          <w:numId w:val="24"/>
        </w:numPr>
        <w:rPr>
          <w:rFonts w:ascii="Arial" w:cs="Arial" w:eastAsia="Arial" w:hAnsi="Arial"/>
          <w:sz w:val="18"/>
          <w:szCs w:val="18"/>
          <w:color w:val="0000EE"/>
        </w:rPr>
      </w:pPr>
      <w:hyperlink r:id="rId77">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2013 (File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78">
        <w:r>
          <w:rPr>
            <w:rFonts w:ascii="Arial" w:cs="Arial" w:eastAsia="Arial" w:hAnsi="Arial"/>
            <w:sz w:val="18"/>
            <w:szCs w:val="18"/>
            <w:u w:val="single" w:color="auto"/>
            <w:color w:val="0000EE"/>
          </w:rPr>
          <w:t>June 16, 2010 (File No. 001-34785)</w:t>
        </w:r>
      </w:hyperlink>
      <w:hyperlink r:id="rId77">
        <w:r>
          <w:rPr>
            <w:rFonts w:ascii="Arial" w:cs="Arial" w:eastAsia="Arial" w:hAnsi="Arial"/>
            <w:sz w:val="18"/>
            <w:szCs w:val="18"/>
            <w:color w:val="000000"/>
          </w:rPr>
          <w:t xml:space="preserve">,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right="6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5" w:lineRule="exact"/>
        <w:rPr>
          <w:rFonts w:ascii="Arial" w:cs="Arial" w:eastAsia="Arial" w:hAnsi="Arial"/>
          <w:sz w:val="18"/>
          <w:szCs w:val="18"/>
          <w:color w:val="0000EE"/>
        </w:rPr>
      </w:pPr>
    </w:p>
    <w:p>
      <w:pPr>
        <w:jc w:val="both"/>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0" w:lineRule="exact"/>
        <w:rPr>
          <w:rFonts w:ascii="Arial" w:cs="Arial" w:eastAsia="Arial" w:hAnsi="Arial"/>
          <w:sz w:val="18"/>
          <w:szCs w:val="18"/>
          <w:color w:val="0000EE"/>
        </w:rPr>
      </w:pPr>
    </w:p>
    <w:p>
      <w:pPr>
        <w:spacing w:after="0" w:line="225"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41"/>
          <w:szCs w:val="41"/>
          <w:b w:val="1"/>
          <w:bCs w:val="1"/>
          <w:color w:val="auto"/>
        </w:rPr>
        <w:t>XPRESSPA, INC.</w:t>
      </w:r>
    </w:p>
    <w:p>
      <w:pPr>
        <w:sectPr>
          <w:pgSz w:w="11900" w:h="16838" w:orient="portrait"/>
          <w:cols w:equalWidth="0" w:num="1">
            <w:col w:w="9019"/>
          </w:cols>
          <w:pgMar w:left="1440" w:top="879" w:right="1440"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10,499,991 Shares of Common Stock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9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209"/>
        </w:trPr>
        <w:tc>
          <w:tcPr>
            <w:tcW w:w="9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Printing fees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Total</w:t>
            </w:r>
          </w:p>
        </w:tc>
        <w:tc>
          <w:tcPr>
            <w:tcW w:w="900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74,766.88</w:t>
            </w:r>
          </w:p>
        </w:tc>
      </w:tr>
      <w:tr>
        <w:trPr>
          <w:trHeight w:val="418"/>
        </w:trPr>
        <w:tc>
          <w:tcPr>
            <w:tcW w:w="7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000" w:type="dxa"/>
            <w:vAlign w:val="bottom"/>
          </w:tcPr>
          <w:p>
            <w:pPr>
              <w:ind w:left="140"/>
              <w:spacing w:after="0"/>
              <w:rPr>
                <w:sz w:val="20"/>
                <w:szCs w:val="20"/>
                <w:color w:val="auto"/>
              </w:rPr>
            </w:pPr>
            <w:r>
              <w:rPr>
                <w:rFonts w:ascii="Arial" w:cs="Arial" w:eastAsia="Arial" w:hAnsi="Arial"/>
                <w:sz w:val="18"/>
                <w:szCs w:val="18"/>
                <w:b w:val="1"/>
                <w:bCs w:val="1"/>
                <w:color w:val="auto"/>
              </w:rPr>
              <w:t>Indemnification of Directors and Officers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74" w:lineRule="auto"/>
        <w:rPr>
          <w:sz w:val="20"/>
          <w:szCs w:val="20"/>
          <w:color w:val="auto"/>
        </w:rPr>
      </w:pPr>
      <w:r>
        <w:rPr>
          <w:rFonts w:ascii="Arial" w:cs="Arial" w:eastAsia="Arial" w:hAnsi="Arial"/>
          <w:sz w:val="17"/>
          <w:szCs w:val="17"/>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w:t>
      </w:r>
    </w:p>
    <w:p>
      <w:pPr>
        <w:ind w:left="280" w:hanging="272"/>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acts or omissions not in good faith or which involve intentional misconduct or a knowing violation of the law, (under Section 174 of the DGCL or</w:t>
      </w:r>
    </w:p>
    <w:p>
      <w:pPr>
        <w:spacing w:after="0" w:line="32" w:lineRule="exact"/>
        <w:rPr>
          <w:rFonts w:ascii="Arial" w:cs="Arial" w:eastAsia="Arial" w:hAnsi="Arial"/>
          <w:sz w:val="16"/>
          <w:szCs w:val="16"/>
          <w:color w:val="auto"/>
        </w:rPr>
      </w:pPr>
    </w:p>
    <w:p>
      <w:pPr>
        <w:jc w:val="both"/>
        <w:ind w:firstLine="8"/>
        <w:spacing w:after="0" w:line="255" w:lineRule="auto"/>
        <w:tabs>
          <w:tab w:leader="none" w:pos="3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800" w:type="dxa"/>
            <w:vAlign w:val="bottom"/>
          </w:tcPr>
          <w:p>
            <w:pPr>
              <w:spacing w:after="0" w:line="169" w:lineRule="exact"/>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1.1</w:t>
              </w:r>
            </w:hyperlink>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200" w:type="dxa"/>
            <w:vAlign w:val="bottom"/>
            <w:tcBorders>
              <w:bottom w:val="single" w:sz="8" w:color="0000EE"/>
            </w:tcBorders>
            <w:gridSpan w:val="9"/>
          </w:tcPr>
          <w:p>
            <w:pPr>
              <w:spacing w:after="0" w:line="169"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Letter Agreement, dated March 19, 2020, by and between the Company and Palladium Capital Advisors, LLC (incorporated by reference to</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Exhibit 1.1 to our Current Report on Form 8-K filed with the SEC on March 19, 2020)</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800" w:type="dxa"/>
            <w:vAlign w:val="bottom"/>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4.1</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9"/>
          </w:tcPr>
          <w:p>
            <w:pPr>
              <w:ind w:left="20"/>
              <w:spacing w:after="0"/>
              <w:rPr>
                <w:rFonts w:ascii="Arial" w:cs="Arial" w:eastAsia="Arial" w:hAnsi="Arial"/>
                <w:sz w:val="18"/>
                <w:szCs w:val="18"/>
                <w:u w:val="single" w:color="auto"/>
                <w:color w:val="0000EE"/>
                <w:w w:val="98"/>
              </w:rPr>
            </w:pPr>
            <w:hyperlink r:id="rId83">
              <w:r>
                <w:rPr>
                  <w:rFonts w:ascii="Arial" w:cs="Arial" w:eastAsia="Arial" w:hAnsi="Arial"/>
                  <w:sz w:val="18"/>
                  <w:szCs w:val="18"/>
                  <w:u w:val="single" w:color="auto"/>
                  <w:color w:val="0000EE"/>
                  <w:w w:val="98"/>
                </w:rPr>
                <w:t>Form of Warrant (incorporated by reference to Exhibit 4.1 to our Current Report on Form 8-K filed with the SEC on June 17, 2020)</w:t>
              </w:r>
            </w:hyperlink>
          </w:p>
        </w:tc>
      </w:tr>
      <w:tr>
        <w:trPr>
          <w:trHeight w:val="392"/>
        </w:trPr>
        <w:tc>
          <w:tcPr>
            <w:tcW w:w="800" w:type="dxa"/>
            <w:vAlign w:val="bottom"/>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4.2</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EE"/>
                <w:w w:val="97"/>
              </w:rPr>
            </w:pPr>
            <w:hyperlink r:id="rId84">
              <w:r>
                <w:rPr>
                  <w:rFonts w:ascii="Arial" w:cs="Arial" w:eastAsia="Arial" w:hAnsi="Arial"/>
                  <w:sz w:val="18"/>
                  <w:szCs w:val="18"/>
                  <w:color w:val="0000EE"/>
                  <w:w w:val="97"/>
                </w:rPr>
                <w:t>Form of Placement Agent Warrant (incorporated by reference to Exhibit 4.2 to our Current Report on Form 8-K filed with the SEC on</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June 17, 2020)</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4.3</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Form of Secured Convertible Note (incorporated by reference from Exhibit 4.1 to our Quarterly Report on Form 10-Q filed with the SEC on</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May 15, 2018)</w:t>
              </w:r>
            </w:hyperlink>
          </w:p>
        </w:tc>
        <w:tc>
          <w:tcPr>
            <w:tcW w:w="12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4.4</w:t>
              </w:r>
            </w:hyperlink>
          </w:p>
        </w:tc>
        <w:tc>
          <w:tcPr>
            <w:tcW w:w="2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Amendment to Secured Convertible Note (incorporated by reference from Exhibit 4.1 to our Current Report on Form 8-K filed with the SEC</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on June 27, 2019)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4.5</w:t>
              </w:r>
            </w:hyperlink>
          </w:p>
        </w:tc>
        <w:tc>
          <w:tcPr>
            <w:tcW w:w="2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Arial" w:cs="Arial" w:eastAsia="Arial" w:hAnsi="Arial"/>
                <w:sz w:val="18"/>
                <w:szCs w:val="18"/>
                <w:color w:val="0000EE"/>
                <w:w w:val="93"/>
              </w:rPr>
            </w:pPr>
            <w:hyperlink r:id="rId87">
              <w:r>
                <w:rPr>
                  <w:rFonts w:ascii="Arial" w:cs="Arial" w:eastAsia="Arial" w:hAnsi="Arial"/>
                  <w:sz w:val="18"/>
                  <w:szCs w:val="18"/>
                  <w:color w:val="0000EE"/>
                  <w:w w:val="93"/>
                </w:rPr>
                <w:t>Second Amended and Restated Convertible Promissory Note, dated as of July 8, 2019 (incorporated by reference from Exhibit 4.3 to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Current Report on Form 8-K filed with the SEC on July 8, 2019)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4.6</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Third Amended and Restated Convertible Promissory Note, dated as of January 9, 2020 (incorporated by reference from Exhibit 4.1 to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Current Report on Form 8-K filed with the SEC on January 14, 2020)</w:t>
              </w:r>
            </w:hyperlink>
          </w:p>
        </w:tc>
        <w:tc>
          <w:tcPr>
            <w:tcW w:w="51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4.7</w:t>
              </w:r>
            </w:hyperlink>
          </w:p>
        </w:tc>
        <w:tc>
          <w:tcPr>
            <w:tcW w:w="2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Fourth Amended and Restated Convertible Promissory Note, dated as of March 6, 2020 (incorporated by reference from Exhibit 4.1 to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Current Report on Form 8-K filed with the SEC on March 6, 2020)</w:t>
              </w:r>
            </w:hyperlink>
          </w:p>
        </w:tc>
        <w:tc>
          <w:tcPr>
            <w:tcW w:w="5380" w:type="dxa"/>
            <w:vAlign w:val="bottom"/>
            <w:gridSpan w:val="5"/>
          </w:tcPr>
          <w:p>
            <w:pPr>
              <w:spacing w:after="0"/>
              <w:rPr>
                <w:sz w:val="17"/>
                <w:szCs w:val="17"/>
                <w:color w:val="auto"/>
              </w:rPr>
            </w:pPr>
          </w:p>
        </w:tc>
      </w:tr>
      <w:tr>
        <w:trPr>
          <w:trHeight w:val="453"/>
        </w:trPr>
        <w:tc>
          <w:tcPr>
            <w:tcW w:w="80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5.1*</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Opinion of Mintz, Levin, Cohn, Ferris, Glovsky and Popeo, P.C. regarding legality of securities being registered</w:t>
              </w:r>
            </w:hyperlink>
          </w:p>
        </w:tc>
      </w:tr>
      <w:tr>
        <w:trPr>
          <w:trHeight w:val="432"/>
        </w:trPr>
        <w:tc>
          <w:tcPr>
            <w:tcW w:w="80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23.1*</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Consent of CohnReznick LLP, independent registered public accounting firm</w:t>
              </w:r>
            </w:hyperlink>
          </w:p>
        </w:tc>
      </w:tr>
      <w:tr>
        <w:trPr>
          <w:trHeight w:val="432"/>
        </w:trPr>
        <w:tc>
          <w:tcPr>
            <w:tcW w:w="80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23.2*</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Consent of Mintz, Levin, Cohn, Ferris, Glovsky and Popeo, P.C. (included in Exhibit 5.1)</w:t>
              </w:r>
            </w:hyperlink>
          </w:p>
        </w:tc>
      </w:tr>
      <w:tr>
        <w:trPr>
          <w:trHeight w:val="432"/>
        </w:trPr>
        <w:tc>
          <w:tcPr>
            <w:tcW w:w="8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24.1*</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Power of Attorney (included on the signature page of this Registration Statement)</w:t>
              </w:r>
            </w:hyperlink>
          </w:p>
        </w:tc>
      </w:tr>
    </w:tbl>
    <w:p>
      <w:pPr>
        <w:spacing w:after="0" w:line="202" w:lineRule="exact"/>
        <w:rPr>
          <w:sz w:val="20"/>
          <w:szCs w:val="20"/>
          <w:color w:val="auto"/>
        </w:rPr>
      </w:pPr>
    </w:p>
    <w:p>
      <w:pPr>
        <w:ind w:left="1020" w:hanging="101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020" w:hanging="101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1140" w:hanging="336"/>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140" w:hanging="336"/>
        <w:spacing w:after="0" w:line="272" w:lineRule="auto"/>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140" w:hanging="336"/>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paragraphs (a)(1)(i), (a)(1)(ii) and (a)(1)(iii) of this section do not apply if the registration statement is on Form S–3 (§239.13 of this chapter) or Form F–3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(§230.424(b) of this chapter) that is part of the registration statement.</w:t>
      </w:r>
    </w:p>
    <w:p>
      <w:pPr>
        <w:spacing w:after="0" w:line="188" w:lineRule="exact"/>
        <w:rPr>
          <w:sz w:val="20"/>
          <w:szCs w:val="20"/>
          <w:color w:val="auto"/>
        </w:rPr>
      </w:pPr>
    </w:p>
    <w:p>
      <w:pPr>
        <w:jc w:val="both"/>
        <w:ind w:left="980" w:hanging="324"/>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25" w:lineRule="exact"/>
        <w:rPr>
          <w:rFonts w:ascii="Arial" w:cs="Arial" w:eastAsia="Arial" w:hAnsi="Arial"/>
          <w:sz w:val="18"/>
          <w:szCs w:val="18"/>
          <w:color w:val="auto"/>
        </w:rPr>
      </w:pPr>
    </w:p>
    <w:p>
      <w:pPr>
        <w:jc w:val="both"/>
        <w:ind w:left="2280" w:hanging="328"/>
        <w:spacing w:after="0" w:line="263" w:lineRule="auto"/>
        <w:tabs>
          <w:tab w:leader="none" w:pos="22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2160" w:hanging="328"/>
        <w:spacing w:after="0" w:line="268" w:lineRule="auto"/>
        <w:tabs>
          <w:tab w:leader="none" w:pos="2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(§230.424(b)(2), (b)(5), or (b)(7) of this chapter) as part of a registration statement in reliance on Rule 430B relating to an offering made pursuant to Rule 415(a)(1) (i),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4" w:lineRule="exact"/>
        <w:rPr>
          <w:sz w:val="20"/>
          <w:szCs w:val="20"/>
          <w:color w:val="auto"/>
        </w:rPr>
      </w:pPr>
    </w:p>
    <w:p>
      <w:pPr>
        <w:jc w:val="both"/>
        <w:ind w:left="900" w:hanging="228"/>
        <w:spacing w:after="0" w:line="254" w:lineRule="auto"/>
        <w:rPr>
          <w:sz w:val="20"/>
          <w:szCs w:val="20"/>
          <w:color w:val="auto"/>
        </w:rPr>
      </w:pPr>
      <w:r>
        <w:rPr>
          <w:rFonts w:ascii="Arial" w:cs="Arial" w:eastAsia="Arial" w:hAnsi="Arial"/>
          <w:sz w:val="18"/>
          <w:szCs w:val="18"/>
          <w:color w:val="auto"/>
        </w:rPr>
        <w:t>(ii)If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2" w:lineRule="exact"/>
        <w:rPr>
          <w:sz w:val="20"/>
          <w:szCs w:val="20"/>
          <w:color w:val="auto"/>
        </w:rPr>
      </w:pPr>
    </w:p>
    <w:p>
      <w:pPr>
        <w:ind w:left="860" w:hanging="324"/>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rFonts w:ascii="Arial" w:cs="Arial" w:eastAsia="Arial" w:hAnsi="Arial"/>
          <w:sz w:val="18"/>
          <w:szCs w:val="18"/>
          <w:color w:val="auto"/>
        </w:rPr>
      </w:pPr>
    </w:p>
    <w:p>
      <w:pPr>
        <w:jc w:val="both"/>
        <w:ind w:left="860"/>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6" w:lineRule="exact"/>
        <w:rPr>
          <w:rFonts w:ascii="Arial" w:cs="Arial" w:eastAsia="Arial" w:hAnsi="Arial"/>
          <w:sz w:val="18"/>
          <w:szCs w:val="18"/>
          <w:color w:val="auto"/>
        </w:rPr>
      </w:pPr>
    </w:p>
    <w:p>
      <w:pPr>
        <w:ind w:left="900" w:hanging="216"/>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sz w:val="20"/>
          <w:szCs w:val="20"/>
          <w:color w:val="auto"/>
        </w:rPr>
      </w:pPr>
    </w:p>
    <w:p>
      <w:pPr>
        <w:ind w:left="900" w:right="20" w:hanging="228"/>
        <w:spacing w:after="0" w:line="277" w:lineRule="auto"/>
        <w:rPr>
          <w:sz w:val="20"/>
          <w:szCs w:val="20"/>
          <w:color w:val="auto"/>
        </w:rPr>
      </w:pPr>
      <w:r>
        <w:rPr>
          <w:rFonts w:ascii="Arial" w:cs="Arial" w:eastAsia="Arial" w:hAnsi="Arial"/>
          <w:sz w:val="18"/>
          <w:szCs w:val="18"/>
          <w:color w:val="auto"/>
        </w:rPr>
        <w:t>(ii)Any free writing prospectus relating to the offering prepared by or on behalf of the undersigned registrant or used or referred to by the undersigned registrant;</w:t>
      </w:r>
    </w:p>
    <w:p>
      <w:pPr>
        <w:spacing w:after="0" w:line="170" w:lineRule="exact"/>
        <w:rPr>
          <w:sz w:val="20"/>
          <w:szCs w:val="20"/>
          <w:color w:val="auto"/>
        </w:rPr>
      </w:pPr>
    </w:p>
    <w:p>
      <w:pPr>
        <w:ind w:left="920" w:hanging="269"/>
        <w:spacing w:after="0" w:line="277" w:lineRule="auto"/>
        <w:rPr>
          <w:sz w:val="20"/>
          <w:szCs w:val="20"/>
          <w:color w:val="auto"/>
        </w:rPr>
      </w:pPr>
      <w:r>
        <w:rPr>
          <w:rFonts w:ascii="Arial" w:cs="Arial" w:eastAsia="Arial" w:hAnsi="Arial"/>
          <w:sz w:val="18"/>
          <w:szCs w:val="18"/>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(iv)Any other communication that is an offer in the offering made by the undersigned registrant to the purchaser.</w:t>
      </w:r>
    </w:p>
    <w:p>
      <w:pPr>
        <w:spacing w:after="0" w:line="225" w:lineRule="exact"/>
        <w:rPr>
          <w:sz w:val="20"/>
          <w:szCs w:val="20"/>
          <w:color w:val="auto"/>
        </w:rPr>
      </w:pPr>
    </w:p>
    <w:p>
      <w:pPr>
        <w:jc w:val="both"/>
        <w:ind w:left="340" w:hanging="331"/>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908" w:right="339" w:bottom="1440" w:gutter="0" w:footer="0" w:header="0"/>
        </w:sectPr>
      </w:pPr>
    </w:p>
    <w:bookmarkStart w:id="48" w:name="page49"/>
    <w:bookmarkEnd w:id="48"/>
    <w:p>
      <w:pPr>
        <w:jc w:val="both"/>
        <w:ind w:left="340" w:hanging="331"/>
        <w:spacing w:after="0" w:line="271"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90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2020.</w:t>
      </w:r>
    </w:p>
    <w:p>
      <w:pPr>
        <w:spacing w:after="0" w:line="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Douglas Satzman</w:t>
      </w:r>
    </w:p>
    <w:p>
      <w:pPr>
        <w:spacing w:after="0" w:line="3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-130175</wp:posOffset>
            </wp:positionV>
            <wp:extent cx="34029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XpresSpa Group, Inc. constitutes and appoints Douglas Satzman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attorney-in-fact and agent, or his substitute or substitute, may lawfully do or cause to be done by virtue hereof.</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16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r>
      <w:tr>
        <w:trPr>
          <w:trHeight w:val="426"/>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July 17, 2020</w:t>
            </w:r>
          </w:p>
        </w:tc>
        <w:tc>
          <w:tcPr>
            <w:tcW w:w="100" w:type="dxa"/>
            <w:vAlign w:val="bottom"/>
          </w:tcPr>
          <w:p>
            <w:pPr>
              <w:spacing w:after="0"/>
              <w:rPr>
                <w:sz w:val="24"/>
                <w:szCs w:val="24"/>
                <w:color w:val="auto"/>
              </w:rPr>
            </w:pPr>
          </w:p>
        </w:tc>
      </w:tr>
      <w:tr>
        <w:trPr>
          <w:trHeight w:val="182"/>
        </w:trPr>
        <w:tc>
          <w:tcPr>
            <w:tcW w:w="3500" w:type="dxa"/>
            <w:vAlign w:val="bottom"/>
          </w:tcPr>
          <w:p>
            <w:pPr>
              <w:spacing w:after="0" w:line="182" w:lineRule="exact"/>
              <w:rPr>
                <w:sz w:val="20"/>
                <w:szCs w:val="20"/>
                <w:color w:val="auto"/>
              </w:rPr>
            </w:pPr>
            <w:r>
              <w:rPr>
                <w:rFonts w:ascii="Arial" w:cs="Arial" w:eastAsia="Arial" w:hAnsi="Arial"/>
                <w:sz w:val="18"/>
                <w:szCs w:val="18"/>
                <w:color w:val="auto"/>
              </w:rPr>
              <w:t>Douglas Satzman</w:t>
            </w:r>
          </w:p>
        </w:tc>
        <w:tc>
          <w:tcPr>
            <w:tcW w:w="4600" w:type="dxa"/>
            <w:vAlign w:val="bottom"/>
            <w:gridSpan w:val="3"/>
          </w:tcPr>
          <w:p>
            <w:pPr>
              <w:ind w:left="220"/>
              <w:spacing w:after="0" w:line="182" w:lineRule="exact"/>
              <w:rPr>
                <w:sz w:val="20"/>
                <w:szCs w:val="20"/>
                <w:color w:val="auto"/>
              </w:rPr>
            </w:pPr>
            <w:r>
              <w:rPr>
                <w:rFonts w:ascii="Arial" w:cs="Arial" w:eastAsia="Arial" w:hAnsi="Arial"/>
                <w:sz w:val="18"/>
                <w:szCs w:val="18"/>
                <w:color w:val="auto"/>
              </w:rPr>
              <w:t>(Principal Executive Officer, Principal Financial Officer</w:t>
            </w: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500" w:type="dxa"/>
            <w:vAlign w:val="bottom"/>
          </w:tcPr>
          <w:p>
            <w:pPr>
              <w:spacing w:after="0"/>
              <w:rPr>
                <w:sz w:val="20"/>
                <w:szCs w:val="20"/>
                <w:color w:val="auto"/>
              </w:rPr>
            </w:pP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and Principal Accounting Officer)</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Director, Chairman of the Board of Directors</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July 17, 2020</w:t>
            </w:r>
          </w:p>
        </w:tc>
        <w:tc>
          <w:tcPr>
            <w:tcW w:w="10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Bruce T. Bernstein</w:t>
            </w: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July 17, 2020</w:t>
            </w:r>
          </w:p>
        </w:tc>
        <w:tc>
          <w:tcPr>
            <w:tcW w:w="10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Donald E. Stout</w:t>
            </w: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Weinstein</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July 17, 2020</w:t>
            </w:r>
          </w:p>
        </w:tc>
        <w:tc>
          <w:tcPr>
            <w:tcW w:w="10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Robert Weinstein</w:t>
            </w: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Lebowitz</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July 17, 2020</w:t>
            </w:r>
          </w:p>
        </w:tc>
        <w:tc>
          <w:tcPr>
            <w:tcW w:w="10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Michael Lebowitz</w:t>
            </w: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4"/>
        </w:trPr>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II-6</w:t>
            </w:r>
          </w:p>
        </w:tc>
        <w:tc>
          <w:tcPr>
            <w:tcW w:w="3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-121920</wp:posOffset>
            </wp:positionV>
            <wp:extent cx="557530" cy="694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557530" cy="6940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2" w:lineRule="auto"/>
        <w:rPr>
          <w:sz w:val="20"/>
          <w:szCs w:val="20"/>
          <w:color w:val="auto"/>
        </w:rPr>
      </w:pPr>
      <w:r>
        <w:rPr>
          <w:rFonts w:ascii="Arial" w:cs="Arial" w:eastAsia="Arial" w:hAnsi="Arial"/>
          <w:sz w:val="18"/>
          <w:szCs w:val="18"/>
          <w:color w:val="auto"/>
        </w:rPr>
        <w:t>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acted as counsel for XpresSpa Group, Inc., a Delaware corporation (the “Company”), in connection with the preparation of the Registration Statement on Form S-3 (the “Registration Statement”) originally filed with the Securities and Exchange Commission (the “Commission”) on July 17, 2020, under the Securities Act of 1933, as amended (the “Act”), covering the offering for resale, on a delayed or continuous basis, of the following:</w:t>
      </w:r>
    </w:p>
    <w:p>
      <w:pPr>
        <w:spacing w:after="0" w:line="165" w:lineRule="exact"/>
        <w:rPr>
          <w:sz w:val="20"/>
          <w:szCs w:val="20"/>
          <w:color w:val="auto"/>
        </w:rPr>
      </w:pPr>
    </w:p>
    <w:p>
      <w:pPr>
        <w:jc w:val="both"/>
        <w:ind w:left="680" w:hanging="213"/>
        <w:spacing w:after="0" w:line="279"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100% of the (a) 7,614,700 shares of the Company’s common stock, par value $0.01 (“Common Stock”), issuable upon the exercise of warrants originally issued in June 2020 (the “June 2020 Warrants”) at an exercise price equal to $5.25 per share (the “June 2020 Warrant Shares”), and (b) 133,258 shares of Common Stock issuable upon the exercise of warrants originally issued in June 2020 to Palladium Capital Advisors, LLC (the “Palladium Warrants”) at an exercise price equal to $5.25 per share (the “Palladium Warrant Shares”);</w:t>
      </w:r>
    </w:p>
    <w:p>
      <w:pPr>
        <w:spacing w:after="0" w:line="171" w:lineRule="exact"/>
        <w:rPr>
          <w:sz w:val="20"/>
          <w:szCs w:val="20"/>
          <w:color w:val="auto"/>
        </w:rPr>
      </w:pPr>
    </w:p>
    <w:p>
      <w:pPr>
        <w:jc w:val="both"/>
        <w:ind w:left="680" w:hanging="229"/>
        <w:spacing w:after="0" w:line="277" w:lineRule="auto"/>
        <w:rPr>
          <w:sz w:val="20"/>
          <w:szCs w:val="20"/>
          <w:color w:val="auto"/>
        </w:rPr>
      </w:pPr>
      <w:r>
        <w:rPr>
          <w:rFonts w:ascii="Arial" w:cs="Arial" w:eastAsia="Arial" w:hAnsi="Arial"/>
          <w:sz w:val="18"/>
          <w:szCs w:val="18"/>
          <w:color w:val="auto"/>
        </w:rPr>
        <w:t>(ii)100% of the 609,176 shares of Common Stock issuable upon the exercise of warrants originally issued in June 2020 (the “H.C.W. Warrants”) at an exercise price equal to $6.56625 per share (the “H.C.W. Warrant Shares”); and</w:t>
      </w:r>
    </w:p>
    <w:p>
      <w:pPr>
        <w:spacing w:after="0" w:line="170" w:lineRule="exact"/>
        <w:rPr>
          <w:sz w:val="20"/>
          <w:szCs w:val="20"/>
          <w:color w:val="auto"/>
        </w:rPr>
      </w:pPr>
    </w:p>
    <w:p>
      <w:pPr>
        <w:jc w:val="both"/>
        <w:ind w:left="720" w:hanging="269"/>
        <w:spacing w:after="0" w:line="291" w:lineRule="auto"/>
        <w:rPr>
          <w:sz w:val="20"/>
          <w:szCs w:val="20"/>
          <w:color w:val="auto"/>
        </w:rPr>
      </w:pPr>
      <w:r>
        <w:rPr>
          <w:rFonts w:ascii="Arial" w:cs="Arial" w:eastAsia="Arial" w:hAnsi="Arial"/>
          <w:sz w:val="16"/>
          <w:szCs w:val="16"/>
          <w:color w:val="auto"/>
        </w:rPr>
        <w:t>(iii)125% of the 1,714,286 shares (which is equal to 2,142,857 shares) of Common Stock issuable (a) upon conversion of an aggregate principal amount of $900,000 of the Fourth Amended and Restated Convertible Promissory Note (the “B3D Note”) at a conversion price equal to $0.525 per share (the “B3D Shares”), (b) as accrued and unpaid interest payable thereon and issuable at the Company’s option in lieu of a cash payment of interest at a price per share equal to 90% of the volume weighted average price of Common Stock on the trading date immediately preceding the date of delivery of the Company’s notice of intent to pay interest in Common Stock, and (c) as certain make-whole payments in Common Stock to the extent that the accrued and unpaid interest amount described above is less than 90% of the average volume weighted average price of Common Stock for the 30 trading days prior to the interest payment date (or if not a trading day the next succeeding trading day).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counsel to the Company, we have examined such corporate records, documents, agreements and such matters of law as we have considered necessary or appropriate for the purpose of this opinion. In our examination, we have assumed the genuineness of all signatures, the authenticity of all documents submitted to us as originals and the conformity with the originals of all documents submitted to us as copies. Upon the basis of such examination, we advise you that in our opinion that:</w:t>
      </w:r>
    </w:p>
    <w:p>
      <w:pPr>
        <w:spacing w:after="0" w:line="187" w:lineRule="exact"/>
        <w:rPr>
          <w:sz w:val="20"/>
          <w:szCs w:val="20"/>
          <w:color w:val="auto"/>
        </w:rPr>
      </w:pPr>
    </w:p>
    <w:p>
      <w:pPr>
        <w:ind w:left="660" w:hanging="207"/>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June 2020 Warrant Shares have been duly authorized and reserved for issuance, and, when issued upon the exercise of the June 2020 Warrants and in accordance with the terms thereof,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680" w:hanging="229"/>
        <w:spacing w:after="0" w:line="277" w:lineRule="auto"/>
        <w:rPr>
          <w:sz w:val="20"/>
          <w:szCs w:val="20"/>
          <w:color w:val="auto"/>
        </w:rPr>
      </w:pPr>
      <w:r>
        <w:rPr>
          <w:rFonts w:ascii="Arial" w:cs="Arial" w:eastAsia="Arial" w:hAnsi="Arial"/>
          <w:sz w:val="18"/>
          <w:szCs w:val="18"/>
          <w:color w:val="auto"/>
        </w:rPr>
        <w:t>(ii)the Palladium Warrant Shares have been duly authorized and reserved for issuance, and, when issued upon the exercise of the Palladium Warrants and in accordance with the terms thereof, will be validly issued, fully paid and nonassessable;</w:t>
      </w:r>
    </w:p>
    <w:p>
      <w:pPr>
        <w:spacing w:after="0" w:line="170" w:lineRule="exact"/>
        <w:rPr>
          <w:sz w:val="20"/>
          <w:szCs w:val="20"/>
          <w:color w:val="auto"/>
        </w:rPr>
      </w:pPr>
    </w:p>
    <w:p>
      <w:pPr>
        <w:ind w:left="720" w:right="100" w:hanging="269"/>
        <w:spacing w:after="0" w:line="277" w:lineRule="auto"/>
        <w:rPr>
          <w:sz w:val="20"/>
          <w:szCs w:val="20"/>
          <w:color w:val="auto"/>
        </w:rPr>
      </w:pPr>
      <w:r>
        <w:rPr>
          <w:rFonts w:ascii="Arial" w:cs="Arial" w:eastAsia="Arial" w:hAnsi="Arial"/>
          <w:sz w:val="18"/>
          <w:szCs w:val="18"/>
          <w:color w:val="auto"/>
        </w:rPr>
        <w:t>(iii)the H.C.W. Warrant Shares have been duly authorized and reserved for issuance, and, when issued upon the exercise of the H.C.W. Warrants and in accordance with the terms thereof, will be validly issued, fully paid and nonassessable; and</w:t>
      </w:r>
    </w:p>
    <w:p>
      <w:pPr>
        <w:spacing w:after="0" w:line="170" w:lineRule="exact"/>
        <w:rPr>
          <w:sz w:val="20"/>
          <w:szCs w:val="20"/>
          <w:color w:val="auto"/>
        </w:rPr>
      </w:pPr>
    </w:p>
    <w:p>
      <w:pPr>
        <w:ind w:left="720" w:hanging="269"/>
        <w:spacing w:after="0" w:line="277" w:lineRule="auto"/>
        <w:rPr>
          <w:sz w:val="20"/>
          <w:szCs w:val="20"/>
          <w:color w:val="auto"/>
        </w:rPr>
      </w:pPr>
      <w:r>
        <w:rPr>
          <w:rFonts w:ascii="Arial" w:cs="Arial" w:eastAsia="Arial" w:hAnsi="Arial"/>
          <w:sz w:val="18"/>
          <w:szCs w:val="18"/>
          <w:color w:val="auto"/>
        </w:rPr>
        <w:t>(iv)the B3D Shares have been duly authorized and reserved for issuance, and, when issued upon the conversion of the B3D Note (or as payment pursuant thereto) and in accordance with the terms thereof, will be validly issued, fully paid and nonassessable.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opinion is limited to the General Corporation Law of the State of Delaware and the United Stated federal laws, and we disclaim any opinion whatsoever with respect to matters governed by the laws of any other jurisdiction.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filing of this opinion as an exhibit to the Registration Statement and to the references to this firm under the caption “Legal Matters” in the prospectus which is a part of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MINTZ, LEVIN, COHN, FERRIS, GLOVSKY &amp; POPEO,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tabs>
          <w:tab w:leader="none" w:pos="240" w:val="left"/>
          <w:tab w:leader="none" w:pos="220" w:val="left"/>
          <w:tab w:leader="none" w:pos="240" w:val="left"/>
          <w:tab w:leader="none" w:pos="240" w:val="left"/>
          <w:tab w:leader="none" w:pos="220" w:val="left"/>
          <w:tab w:leader="none" w:pos="18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NEW YORK</w:t>
      </w:r>
      <w:r>
        <w:rPr>
          <w:sz w:val="20"/>
          <w:szCs w:val="20"/>
          <w:color w:val="auto"/>
        </w:rPr>
        <w:tab/>
      </w:r>
      <w:r>
        <w:rPr>
          <w:rFonts w:ascii="Arial" w:cs="Arial" w:eastAsia="Arial" w:hAnsi="Arial"/>
          <w:sz w:val="14"/>
          <w:szCs w:val="14"/>
          <w:color w:val="auto"/>
        </w:rPr>
        <w:t>SAN DIEGO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3"/>
          <w:szCs w:val="13"/>
          <w:color w:val="auto"/>
        </w:rPr>
        <w:t>WASHINGTON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on Form S-3 of XpresSpa Group, Inc. of our report dated April 20, 2020 with respect to our audits of the consolidated financial statements of XpresSpa Group, Inc. (which includes an explanatory paragraph relating to the Company’s ability to continue as a going concern), as of and for the years ended December 31, 2019 and 2018, which appear in the Annual Report on Form 10-K of XpresSpa Group Inc. for the year ended December 31, 2019. We also consent to the reference to our firm under the caption “Experts” in the Prospectus, which is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lvl w:ilvl="1">
      <w:lvlJc w:val="left"/>
      <w:lvlText w:val="(%2)"/>
      <w:numFmt w:val="lowerRoman"/>
      <w:start w:val="1"/>
    </w:lvl>
  </w:abstractNum>
  <w:abstractNum w:abstractNumId="1">
    <w:nsid w:val="62BBD95A"/>
    <w:multiLevelType w:val="hybridMultilevel"/>
    <w:lvl w:ilvl="0">
      <w:lvlJc w:val="left"/>
      <w:lvlText w:val="(%1)"/>
      <w:numFmt w:val="lowerRoman"/>
      <w:start w:val="1"/>
    </w:lvl>
  </w:abstractNum>
  <w:abstractNum w:abstractNumId="2">
    <w:nsid w:val="436C6125"/>
    <w:multiLevelType w:val="hybridMultilevel"/>
    <w:lvl w:ilvl="0">
      <w:lvlJc w:val="left"/>
      <w:lvlText w:val="(%1)"/>
      <w:numFmt w:val="lowerRoman"/>
      <w:start w:val="2"/>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Roman"/>
      <w:start w:val="1"/>
    </w:lvl>
  </w:abstractNum>
  <w:abstractNum w:abstractNumId="18">
    <w:nsid w:val="836C40E"/>
    <w:multiLevelType w:val="hybridMultilevel"/>
    <w:lvl w:ilvl="0">
      <w:lvlJc w:val="left"/>
      <w:lvlText w:val="*"/>
      <w:numFmt w:val="bullet"/>
      <w:start w:val="1"/>
    </w:lvl>
    <w:lvl w:ilvl="1">
      <w:lvlJc w:val="left"/>
      <w:lvlText w:val="(%2)"/>
      <w:numFmt w:val="decimal"/>
      <w:start w:val="1"/>
    </w:lvl>
  </w:abstractNum>
  <w:abstractNum w:abstractNumId="19">
    <w:nsid w:val="2901D82"/>
    <w:multiLevelType w:val="hybridMultilevel"/>
    <w:lvl w:ilvl="0">
      <w:lvlJc w:val="left"/>
      <w:lvlText w:val="(%1)"/>
      <w:numFmt w:val="decimal"/>
      <w:start w:val="6"/>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lowerRoman"/>
      <w:start w:val="2"/>
    </w:lvl>
  </w:abstractNum>
  <w:abstractNum w:abstractNumId="25">
    <w:nsid w:val="6CEAF087"/>
    <w:multiLevelType w:val="hybridMultilevel"/>
    <w:lvl w:ilvl="0">
      <w:lvlJc w:val="left"/>
      <w:lvlText w:val="(%1)"/>
      <w:numFmt w:val="lowerRoman"/>
      <w:start w:val="4"/>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Letter"/>
      <w:start w:val="1"/>
    </w:lvl>
    <w:lvl w:ilvl="1">
      <w:lvlJc w:val="left"/>
      <w:lvlText w:val="(%2)"/>
      <w:numFmt w:val="decimal"/>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decimal"/>
      <w:start w:val="2"/>
    </w:lvl>
  </w:abstractNum>
  <w:abstractNum w:abstractNumId="31">
    <w:nsid w:val="5577F8E1"/>
    <w:multiLevelType w:val="hybridMultilevel"/>
    <w:lvl w:ilvl="0">
      <w:lvlJc w:val="left"/>
      <w:lvlText w:val="(%1)"/>
      <w:numFmt w:val="lowerRoman"/>
      <w:start w:val="1"/>
    </w:lvl>
    <w:lvl w:ilvl="1">
      <w:lvlJc w:val="left"/>
      <w:lvlText w:val="(%2)"/>
      <w:numFmt w:val="upperLetter"/>
      <w:start w:val="1"/>
    </w:lvl>
  </w:abstractNum>
  <w:abstractNum w:abstractNumId="32">
    <w:nsid w:val="440BADFC"/>
    <w:multiLevelType w:val="hybridMultilevel"/>
    <w:lvl w:ilvl="0">
      <w:lvlJc w:val="left"/>
      <w:lvlText w:val="(%1)"/>
      <w:numFmt w:val="upperLetter"/>
      <w:start w:val="2"/>
    </w:lvl>
  </w:abstractNum>
  <w:abstractNum w:abstractNumId="33">
    <w:nsid w:val="5072367"/>
    <w:multiLevelType w:val="hybridMultilevel"/>
    <w:lvl w:ilvl="0">
      <w:lvlJc w:val="left"/>
      <w:lvlText w:val="(%1)"/>
      <w:numFmt w:val="decimal"/>
      <w:start w:val="5"/>
    </w:lvl>
    <w:lvl w:ilvl="1">
      <w:lvlJc w:val="left"/>
      <w:lvlText w:val="(%2)"/>
      <w:numFmt w:val="lowerRoman"/>
      <w:start w:val="1"/>
    </w:lvl>
  </w:abstractNum>
  <w:abstractNum w:abstractNumId="34">
    <w:nsid w:val="3804823E"/>
    <w:multiLevelType w:val="hybridMultilevel"/>
    <w:lvl w:ilvl="0">
      <w:lvlJc w:val="left"/>
      <w:lvlText w:val="(%1)"/>
      <w:numFmt w:val="lowerLetter"/>
      <w:start w:val="2"/>
    </w:lvl>
  </w:abstractNum>
  <w:abstractNum w:abstractNumId="35">
    <w:nsid w:val="77465F01"/>
    <w:multiLevelType w:val="hybridMultilevel"/>
    <w:lvl w:ilvl="0">
      <w:lvlJc w:val="left"/>
      <w:lvlText w:val="(%1)"/>
      <w:numFmt w:val="lowerLetter"/>
      <w:start w:val="3"/>
    </w:lvl>
  </w:abstractNum>
  <w:abstractNum w:abstractNumId="36">
    <w:nsid w:val="7724C67E"/>
    <w:multiLevelType w:val="hybridMultilevel"/>
    <w:lvl w:ilvl="0">
      <w:lvlJc w:val="left"/>
      <w:lvlText w:val="(%1)"/>
      <w:numFmt w:val="lowerRoman"/>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7"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93" Type="http://schemas.openxmlformats.org/officeDocument/2006/relationships/image" Target="media/image55.png"/><Relationship Id="rId94" Type="http://schemas.openxmlformats.org/officeDocument/2006/relationships/image" Target="media/image56.png"/><Relationship Id="rId95" Type="http://schemas.openxmlformats.org/officeDocument/2006/relationships/image" Target="media/image57.jpeg"/><Relationship Id="rId96" Type="http://schemas.openxmlformats.org/officeDocument/2006/relationships/image" Target="media/image58.png"/><Relationship Id="rId97" Type="http://schemas.openxmlformats.org/officeDocument/2006/relationships/image" Target="media/image59.png"/><Relationship Id="rId98" Type="http://schemas.openxmlformats.org/officeDocument/2006/relationships/image" Target="media/image60.png"/><Relationship Id="rId23" Type="http://schemas.openxmlformats.org/officeDocument/2006/relationships/hyperlink" Target="https://www.sec.gov/Archives/edgar/data/1410428/000155837020008024/xspa-20200331x10q.htm" TargetMode="External"/><Relationship Id="rId56" Type="http://schemas.openxmlformats.org/officeDocument/2006/relationships/hyperlink" Target="https://www.sec.gov/Archives/edgar/data/1410428/000110465920048780/tm205324-1_10k.htm" TargetMode="External"/><Relationship Id="rId58" Type="http://schemas.openxmlformats.org/officeDocument/2006/relationships/hyperlink" Target="https://www.sec.gov/Archives/edgar/data/1410428/000110465920063789/tm2020063d1_10ka.htm" TargetMode="External"/><Relationship Id="rId59" Type="http://schemas.openxmlformats.org/officeDocument/2006/relationships/hyperlink" Target="https://www.sec.gov/Archives/edgar/data/1410428/000110465920073018/tm2022516d1_10ka.htm" TargetMode="External"/><Relationship Id="rId60" Type="http://schemas.openxmlformats.org/officeDocument/2006/relationships/hyperlink" Target="https://www.sec.gov/Archives/edgar/data/1410428/000110465920035631/tm2013177d1_8k.htm" TargetMode="External"/><Relationship Id="rId61" Type="http://schemas.openxmlformats.org/officeDocument/2006/relationships/hyperlink" Target="https://www.sec.gov/Archives/edgar/data/1410428/000110465920038562/tm2013765d1_8k.htm" TargetMode="External"/><Relationship Id="rId62" Type="http://schemas.openxmlformats.org/officeDocument/2006/relationships/hyperlink" Target="https://www.sec.gov/Archives/edgar/data/1410428/000110465920039740/tm2014049-2_8k.htm" TargetMode="External"/><Relationship Id="rId63" Type="http://schemas.openxmlformats.org/officeDocument/2006/relationships/hyperlink" Target="https://www.sec.gov/Archives/edgar/data/1410428/000110465920039953/tm2014049d1_8k.htm" TargetMode="External"/><Relationship Id="rId64" Type="http://schemas.openxmlformats.org/officeDocument/2006/relationships/hyperlink" Target="https://www.sec.gov/Archives/edgar/data/1410428/000110465920043615/tm2015133-2_8k.htm" TargetMode="External"/><Relationship Id="rId65" Type="http://schemas.openxmlformats.org/officeDocument/2006/relationships/hyperlink" Target="https://www.sec.gov/Archives/edgar/data/1410428/000110465920043879/tm2015133d1_8k.htm" TargetMode="External"/><Relationship Id="rId66" Type="http://schemas.openxmlformats.org/officeDocument/2006/relationships/hyperlink" Target="https://www.sec.gov/Archives/edgar/data/1410428/000110465920048297/tm2016230-1_8k.htm" TargetMode="External"/><Relationship Id="rId67" Type="http://schemas.openxmlformats.org/officeDocument/2006/relationships/hyperlink" Target="https://www.sec.gov/Archives/edgar/data/1410428/000110465920051103/tm2016889-1_8k.htm" TargetMode="External"/><Relationship Id="rId68" Type="http://schemas.openxmlformats.org/officeDocument/2006/relationships/hyperlink" Target="https://www.sec.gov/Archives/edgar/data/1410428/000110465920052381/tm2017854d1_8k.htm" TargetMode="External"/><Relationship Id="rId69" Type="http://schemas.openxmlformats.org/officeDocument/2006/relationships/hyperlink" Target="https://www.sec.gov/Archives/edgar/data/1410428/000110465920057415/tm2018713d1_8k.htm" TargetMode="External"/><Relationship Id="rId70" Type="http://schemas.openxmlformats.org/officeDocument/2006/relationships/hyperlink" Target="https://www.sec.gov/Archives/edgar/data/1410428/000110465920057642/tm2018713d2_8k.htm" TargetMode="External"/><Relationship Id="rId71" Type="http://schemas.openxmlformats.org/officeDocument/2006/relationships/hyperlink" Target="https://www.sec.gov/Archives/edgar/data/1410428/000110465920059539/tm2019325-1_8k.htm" TargetMode="External"/><Relationship Id="rId72" Type="http://schemas.openxmlformats.org/officeDocument/2006/relationships/hyperlink" Target="https://www.sec.gov/Archives/edgar/data/1410428/000110465920065144/tm2020772d1_8k.htm" TargetMode="External"/><Relationship Id="rId73" Type="http://schemas.openxmlformats.org/officeDocument/2006/relationships/hyperlink" Target="https://www.sec.gov/Archives/edgar/data/1410428/000110465920067377/tm2021289d1_8k.htm" TargetMode="External"/><Relationship Id="rId74" Type="http://schemas.openxmlformats.org/officeDocument/2006/relationships/hyperlink" Target="https://www.sec.gov/Archives/edgar/data/1410428/000110465920069761/tm2021831d1_8k.htm" TargetMode="External"/><Relationship Id="rId75" Type="http://schemas.openxmlformats.org/officeDocument/2006/relationships/hyperlink" Target="https://www.sec.gov/Archives/edgar/data/1410428/000110465920071715/tm2021956d1_8k.htm" TargetMode="External"/><Relationship Id="rId76" Type="http://schemas.openxmlformats.org/officeDocument/2006/relationships/hyperlink" Target="https://www.sec.gov/Archives/edgar/data/1410428/000110465920074007/tm2022774d1_8k.htm" TargetMode="External"/><Relationship Id="rId77" Type="http://schemas.openxmlformats.org/officeDocument/2006/relationships/hyperlink" Target="https://www.sec.gov/Archives/edgar/data/1410428/000114420413024675/v342843_8a12b.htm" TargetMode="External"/><Relationship Id="rId78" Type="http://schemas.openxmlformats.org/officeDocument/2006/relationships/hyperlink" Target="https://www.sec.gov/Archives/edgar/data/1410428/000119312510140514/d8a12b.htm" TargetMode="External"/><Relationship Id="rId82" Type="http://schemas.openxmlformats.org/officeDocument/2006/relationships/hyperlink" Target="https://www.sec.gov/Archives/edgar/data/1410428/000110465920035631/tm2013177d1_ex1-1.htm" TargetMode="External"/><Relationship Id="rId83" Type="http://schemas.openxmlformats.org/officeDocument/2006/relationships/hyperlink" Target="https://www.sec.gov/Archives/edgar/data/1410428/000110465920074007/tm2022774d1_ex4-1.htm" TargetMode="External"/><Relationship Id="rId84" Type="http://schemas.openxmlformats.org/officeDocument/2006/relationships/hyperlink" Target="https://www.sec.gov/Archives/edgar/data/1410428/000110465920074007/tm2022774d1_ex4-2.htm" TargetMode="External"/><Relationship Id="rId85" Type="http://schemas.openxmlformats.org/officeDocument/2006/relationships/hyperlink" Target="https://www.sec.gov/Archives/edgar/data/1410428/000114420418028911/tv492938_ex4-1.htm" TargetMode="External"/><Relationship Id="rId86" Type="http://schemas.openxmlformats.org/officeDocument/2006/relationships/hyperlink" Target="https://www.sec.gov/Archives/edgar/data/1410428/000114420419032532/tv524367_ex4-1.htm" TargetMode="External"/><Relationship Id="rId87" Type="http://schemas.openxmlformats.org/officeDocument/2006/relationships/hyperlink" Target="https://www.sec.gov/Archives/edgar/data/1410428/000114420419033939/tv524856_ex4-3.htm" TargetMode="External"/><Relationship Id="rId88" Type="http://schemas.openxmlformats.org/officeDocument/2006/relationships/hyperlink" Target="https://www.sec.gov/Archives/edgar/data/1410428/000110465920003636/tm203197d1_ex4-1.htm" TargetMode="External"/><Relationship Id="rId89" Type="http://schemas.openxmlformats.org/officeDocument/2006/relationships/hyperlink" Target="https://www.sec.gov/Archives/edgar/data/1410428/000110465920029962/tm2011914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2020-07-17T15:08:02Z</dcterms:created>
  <dcterms:modified xsi:type="dcterms:W3CDTF">2020-07-17T15:08:02Z</dcterms:modified>
</cp:coreProperties>
</file>