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50"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3740" w:right="2820" w:hanging="3655"/>
        <w:spacing w:after="0" w:line="223" w:lineRule="auto"/>
        <w:tabs>
          <w:tab w:leader="none" w:pos="376" w:val="left"/>
        </w:tabs>
        <w:numPr>
          <w:ilvl w:val="0"/>
          <w:numId w:val="1"/>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ind w:left="5000"/>
        <w:spacing w:after="0"/>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OR</w:t>
      </w:r>
    </w:p>
    <w:p>
      <w:pPr>
        <w:spacing w:after="0" w:line="132" w:lineRule="exact"/>
        <w:rPr>
          <w:sz w:val="24"/>
          <w:szCs w:val="24"/>
          <w:color w:val="auto"/>
        </w:rPr>
      </w:pPr>
    </w:p>
    <w:p>
      <w:pPr>
        <w:ind w:left="3840" w:right="2520" w:hanging="3755"/>
        <w:spacing w:after="0" w:line="260" w:lineRule="auto"/>
        <w:tabs>
          <w:tab w:leader="none" w:pos="377"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 to ___</w:t>
      </w:r>
    </w:p>
    <w:p>
      <w:pPr>
        <w:ind w:left="4020"/>
        <w:spacing w:after="0"/>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Commission file number 001-34785</w:t>
      </w:r>
    </w:p>
    <w:p>
      <w:pPr>
        <w:spacing w:after="0" w:line="41" w:lineRule="exact"/>
        <w:rPr>
          <w:rFonts w:ascii="Arial" w:cs="Arial" w:eastAsia="Arial" w:hAnsi="Arial"/>
          <w:sz w:val="14"/>
          <w:szCs w:val="14"/>
          <w:color w:val="auto"/>
        </w:rPr>
      </w:pPr>
    </w:p>
    <w:p>
      <w:pPr>
        <w:ind w:left="4680"/>
        <w:spacing w:after="0"/>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XWELL,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39" w:lineRule="exact"/>
        <w:rPr>
          <w:sz w:val="24"/>
          <w:szCs w:val="24"/>
          <w:color w:val="auto"/>
        </w:rPr>
      </w:pPr>
    </w:p>
    <w:tbl>
      <w:tblPr>
        <w:tblLayout w:type="fixed"/>
        <w:tblInd w:w="1240" w:type="dxa"/>
        <w:tblCellMar>
          <w:top w:w="0" w:type="dxa"/>
          <w:left w:w="0" w:type="dxa"/>
          <w:bottom w:w="0" w:type="dxa"/>
          <w:right w:w="0" w:type="dxa"/>
        </w:tblCellMar>
      </w:tblPr>
      <w:tr>
        <w:trPr>
          <w:trHeight w:val="161"/>
        </w:trPr>
        <w:tc>
          <w:tcPr>
            <w:tcW w:w="4000" w:type="dxa"/>
            <w:vAlign w:val="bottom"/>
          </w:tcPr>
          <w:p>
            <w:pPr>
              <w:jc w:val="center"/>
              <w:ind w:right="13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20-4988129</w:t>
            </w:r>
          </w:p>
        </w:tc>
        <w:tc>
          <w:tcPr>
            <w:tcW w:w="0" w:type="dxa"/>
            <w:vAlign w:val="bottom"/>
          </w:tcPr>
          <w:p>
            <w:pPr>
              <w:spacing w:after="0"/>
              <w:rPr>
                <w:sz w:val="1"/>
                <w:szCs w:val="1"/>
                <w:color w:val="auto"/>
              </w:rPr>
            </w:pPr>
          </w:p>
        </w:tc>
      </w:tr>
      <w:tr>
        <w:trPr>
          <w:trHeight w:val="148"/>
        </w:trPr>
        <w:tc>
          <w:tcPr>
            <w:tcW w:w="4000" w:type="dxa"/>
            <w:vAlign w:val="bottom"/>
          </w:tcPr>
          <w:p>
            <w:pPr>
              <w:jc w:val="center"/>
              <w:ind w:right="13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 incorporation or</w:t>
            </w:r>
          </w:p>
        </w:tc>
        <w:tc>
          <w:tcPr>
            <w:tcW w:w="3460" w:type="dxa"/>
            <w:vAlign w:val="bottom"/>
          </w:tcPr>
          <w:p>
            <w:pPr>
              <w:jc w:val="center"/>
              <w:ind w:left="1308"/>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000" w:type="dxa"/>
            <w:vAlign w:val="bottom"/>
          </w:tcPr>
          <w:p>
            <w:pPr>
              <w:jc w:val="center"/>
              <w:ind w:right="1308"/>
              <w:spacing w:after="0"/>
              <w:rPr>
                <w:sz w:val="20"/>
                <w:szCs w:val="20"/>
                <w:color w:val="auto"/>
              </w:rPr>
            </w:pPr>
            <w:r>
              <w:rPr>
                <w:rFonts w:ascii="Times New Roman" w:cs="Times New Roman" w:eastAsia="Times New Roman" w:hAnsi="Times New Roman"/>
                <w:sz w:val="14"/>
                <w:szCs w:val="14"/>
                <w:color w:val="auto"/>
              </w:rPr>
              <w:t>organization)</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00" w:type="dxa"/>
            <w:vAlign w:val="bottom"/>
          </w:tcPr>
          <w:p>
            <w:pPr>
              <w:jc w:val="center"/>
              <w:ind w:right="1328"/>
              <w:spacing w:after="0"/>
              <w:rPr>
                <w:sz w:val="20"/>
                <w:szCs w:val="20"/>
                <w:color w:val="auto"/>
              </w:rPr>
            </w:pPr>
            <w:r>
              <w:rPr>
                <w:rFonts w:ascii="Times New Roman" w:cs="Times New Roman" w:eastAsia="Times New Roman" w:hAnsi="Times New Roman"/>
                <w:sz w:val="14"/>
                <w:szCs w:val="14"/>
                <w:b w:val="1"/>
                <w:bCs w:val="1"/>
                <w:color w:val="auto"/>
                <w:w w:val="98"/>
              </w:rPr>
              <w:t>254 West 31</w:t>
            </w:r>
            <w:r>
              <w:rPr>
                <w:rFonts w:ascii="Times New Roman" w:cs="Times New Roman" w:eastAsia="Times New Roman" w:hAnsi="Times New Roman"/>
                <w:sz w:val="21"/>
                <w:szCs w:val="21"/>
                <w:b w:val="1"/>
                <w:bCs w:val="1"/>
                <w:color w:val="auto"/>
                <w:w w:val="98"/>
                <w:vertAlign w:val="superscript"/>
              </w:rPr>
              <w:t>st</w:t>
            </w:r>
            <w:r>
              <w:rPr>
                <w:rFonts w:ascii="Times New Roman" w:cs="Times New Roman" w:eastAsia="Times New Roman" w:hAnsi="Times New Roman"/>
                <w:sz w:val="14"/>
                <w:szCs w:val="14"/>
                <w:b w:val="1"/>
                <w:bCs w:val="1"/>
                <w:color w:val="auto"/>
                <w:w w:val="98"/>
              </w:rPr>
              <w:t xml:space="preserve"> Street, 11</w:t>
            </w:r>
            <w:r>
              <w:rPr>
                <w:rFonts w:ascii="Times New Roman" w:cs="Times New Roman" w:eastAsia="Times New Roman" w:hAnsi="Times New Roman"/>
                <w:sz w:val="21"/>
                <w:szCs w:val="21"/>
                <w:b w:val="1"/>
                <w:bCs w:val="1"/>
                <w:color w:val="auto"/>
                <w:w w:val="98"/>
                <w:vertAlign w:val="superscript"/>
              </w:rPr>
              <w:t>th</w:t>
            </w:r>
            <w:r>
              <w:rPr>
                <w:rFonts w:ascii="Times New Roman" w:cs="Times New Roman" w:eastAsia="Times New Roman" w:hAnsi="Times New Roman"/>
                <w:sz w:val="14"/>
                <w:szCs w:val="14"/>
                <w:b w:val="1"/>
                <w:bCs w:val="1"/>
                <w:color w:val="auto"/>
                <w:w w:val="98"/>
              </w:rPr>
              <w:t xml:space="preserve"> Floor</w:t>
            </w:r>
          </w:p>
        </w:tc>
        <w:tc>
          <w:tcPr>
            <w:tcW w:w="34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10001</w:t>
            </w:r>
          </w:p>
        </w:tc>
        <w:tc>
          <w:tcPr>
            <w:tcW w:w="0" w:type="dxa"/>
            <w:vAlign w:val="bottom"/>
          </w:tcPr>
          <w:p>
            <w:pPr>
              <w:spacing w:after="0"/>
              <w:rPr>
                <w:sz w:val="1"/>
                <w:szCs w:val="1"/>
                <w:color w:val="auto"/>
              </w:rPr>
            </w:pPr>
          </w:p>
        </w:tc>
      </w:tr>
      <w:tr>
        <w:trPr>
          <w:trHeight w:val="151"/>
        </w:trPr>
        <w:tc>
          <w:tcPr>
            <w:tcW w:w="4000" w:type="dxa"/>
            <w:vAlign w:val="bottom"/>
          </w:tcPr>
          <w:p>
            <w:pPr>
              <w:jc w:val="center"/>
              <w:ind w:right="1308"/>
              <w:spacing w:after="0" w:line="151" w:lineRule="exact"/>
              <w:rPr>
                <w:sz w:val="20"/>
                <w:szCs w:val="20"/>
                <w:color w:val="auto"/>
              </w:rPr>
            </w:pPr>
            <w:r>
              <w:rPr>
                <w:rFonts w:ascii="Times New Roman" w:cs="Times New Roman" w:eastAsia="Times New Roman" w:hAnsi="Times New Roman"/>
                <w:sz w:val="14"/>
                <w:szCs w:val="14"/>
                <w:b w:val="1"/>
                <w:bCs w:val="1"/>
                <w:color w:val="auto"/>
              </w:rPr>
              <w:t>New York, NY</w:t>
            </w:r>
          </w:p>
        </w:tc>
        <w:tc>
          <w:tcPr>
            <w:tcW w:w="3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jc w:val="center"/>
              <w:ind w:right="13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460" w:type="dxa"/>
            <w:vAlign w:val="bottom"/>
          </w:tcPr>
          <w:p>
            <w:pPr>
              <w:jc w:val="center"/>
              <w:ind w:left="130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(212)-750-9595</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6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2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color w:val="auto"/>
                <w:w w:val="98"/>
              </w:rPr>
              <w:t>XWEL</w:t>
            </w:r>
          </w:p>
        </w:tc>
        <w:tc>
          <w:tcPr>
            <w:tcW w:w="160" w:type="dxa"/>
            <w:vAlign w:val="bottom"/>
          </w:tcPr>
          <w:p>
            <w:pPr>
              <w:spacing w:after="0"/>
              <w:rPr>
                <w:sz w:val="15"/>
                <w:szCs w:val="15"/>
                <w:color w:val="auto"/>
              </w:rPr>
            </w:pPr>
          </w:p>
        </w:tc>
        <w:tc>
          <w:tcPr>
            <w:tcW w:w="3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34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230"/>
        </w:trPr>
        <w:tc>
          <w:tcPr>
            <w:tcW w:w="10220" w:type="dxa"/>
            <w:vAlign w:val="bottom"/>
            <w:gridSpan w:val="9"/>
          </w:tcPr>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42"/>
        </w:trPr>
        <w:tc>
          <w:tcPr>
            <w:tcW w:w="69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3300" w:type="dxa"/>
            <w:vAlign w:val="bottom"/>
          </w:tcPr>
          <w:p>
            <w:pPr>
              <w:ind w:left="60"/>
              <w:spacing w:after="0" w:line="188" w:lineRule="exact"/>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60"/>
        <w:spacing w:after="0" w:line="188" w:lineRule="exact"/>
        <w:tabs>
          <w:tab w:leader="none" w:pos="600" w:val="left"/>
        </w:tabs>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4"/>
          <w:szCs w:val="14"/>
          <w:i w:val="1"/>
          <w:iCs w:val="1"/>
          <w:color w:val="auto"/>
        </w:rPr>
        <w:t>large 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smaller reporting company,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emerging growth company</w:t>
      </w:r>
      <w:r>
        <w:rPr>
          <w:rFonts w:ascii="Times New Roman" w:cs="Times New Roman" w:eastAsia="Times New Roman" w:hAnsi="Times New Roman"/>
          <w:sz w:val="14"/>
          <w:szCs w:val="14"/>
          <w:color w:val="auto"/>
        </w:rPr>
        <w:t>”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40" w:type="dxa"/>
            <w:vAlign w:val="bottom"/>
          </w:tcPr>
          <w:p>
            <w:pPr>
              <w:ind w:left="6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04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175"/>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40" w:type="dxa"/>
            <w:vAlign w:val="bottom"/>
          </w:tcPr>
          <w:p>
            <w:pPr>
              <w:ind w:left="64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404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00"/>
              <w:spacing w:after="0" w:line="176" w:lineRule="exact"/>
              <w:rPr>
                <w:sz w:val="20"/>
                <w:szCs w:val="20"/>
                <w:color w:val="auto"/>
              </w:rPr>
            </w:pPr>
            <w:r>
              <w:rPr>
                <w:rFonts w:ascii="Arial Unicode MS" w:cs="Arial Unicode MS" w:eastAsia="Arial Unicode MS" w:hAnsi="Arial Unicode MS"/>
                <w:sz w:val="14"/>
                <w:szCs w:val="14"/>
                <w:color w:val="auto"/>
              </w:rPr>
              <w:t>☒</w:t>
            </w:r>
          </w:p>
        </w:tc>
      </w:tr>
      <w:tr>
        <w:trPr>
          <w:trHeight w:val="242"/>
        </w:trPr>
        <w:tc>
          <w:tcPr>
            <w:tcW w:w="19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04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4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4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4"/>
          <w:szCs w:val="14"/>
          <w:color w:val="auto"/>
        </w:rPr>
        <w:t>☐</w:t>
      </w:r>
    </w:p>
    <w:p>
      <w:pPr>
        <w:spacing w:after="0" w:line="188" w:lineRule="exact"/>
        <w:tabs>
          <w:tab w:leader="none" w:pos="65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57"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aggregate market value of the registrant’s voting common stock held by non-affiliates of the registrant, as of June 30, 2025, the last business day of the registrant’s most recently completed second quarter, was $3,633,243 computed by reference to the closing sale price of $0.92 per share on the Nasdaq Stock Market LLC on June 30, 2025. The registrant does not have any non-voting common stock.</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March 26, 2026, 7,926,766 shares of the registrant’s common stock 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543560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54610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88900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20"/>
                <w:szCs w:val="20"/>
                <w:color w:val="auto"/>
              </w:rPr>
            </w:pPr>
          </w:p>
        </w:tc>
      </w:tr>
      <w:tr>
        <w:trPr>
          <w:trHeight w:val="405"/>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PART I</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1. BUSINESS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ITEM 1A. RISK FACTORS</w:t>
            </w:r>
          </w:p>
        </w:tc>
        <w:tc>
          <w:tcPr>
            <w:tcW w:w="6420" w:type="dxa"/>
            <w:vAlign w:val="bottom"/>
            <w:gridSpan w:val="20"/>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36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ITEM 1B. UNRESOLVED STAFF COMMENTS</w:t>
            </w:r>
          </w:p>
        </w:tc>
        <w:tc>
          <w:tcPr>
            <w:tcW w:w="4860" w:type="dxa"/>
            <w:vAlign w:val="bottom"/>
            <w:gridSpan w:val="12"/>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22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ITEM 1C. CYBERSECURITY</w:t>
            </w:r>
          </w:p>
        </w:tc>
        <w:tc>
          <w:tcPr>
            <w:tcW w:w="6200" w:type="dxa"/>
            <w:vAlign w:val="bottom"/>
            <w:gridSpan w:val="18"/>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17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ITEM 2. PROPERTIES</w:t>
            </w:r>
          </w:p>
        </w:tc>
        <w:tc>
          <w:tcPr>
            <w:tcW w:w="6740" w:type="dxa"/>
            <w:vAlign w:val="bottom"/>
            <w:gridSpan w:val="21"/>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3. LEGAL PROCEEDINGS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31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360" w:type="dxa"/>
            <w:vAlign w:val="bottom"/>
            <w:gridSpan w:val="14"/>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PART II</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82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8"/>
              </w:rPr>
              <w:t>ITEM 5. MARKET FOR THE REGISTRANT’S COMMON EQUITY, RELATED STOCKHOLDER MATTERS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AND ISSUER PURCHASES OF EQUITY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17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ITEM 6. [RESERVED]</w:t>
            </w:r>
          </w:p>
        </w:tc>
        <w:tc>
          <w:tcPr>
            <w:tcW w:w="2480" w:type="dxa"/>
            <w:vAlign w:val="bottom"/>
            <w:tcBorders>
              <w:top w:val="single" w:sz="8" w:color="0000EE"/>
            </w:tcBorders>
            <w:gridSpan w:val="11"/>
          </w:tcPr>
          <w:p>
            <w:pPr>
              <w:spacing w:after="0"/>
              <w:rPr>
                <w:sz w:val="18"/>
                <w:szCs w:val="18"/>
                <w:color w:val="auto"/>
              </w:rPr>
            </w:pPr>
          </w:p>
        </w:tc>
        <w:tc>
          <w:tcPr>
            <w:tcW w:w="4280" w:type="dxa"/>
            <w:vAlign w:val="bottom"/>
            <w:gridSpan w:val="11"/>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w:t>
            </w:r>
          </w:p>
        </w:tc>
        <w:tc>
          <w:tcPr>
            <w:tcW w:w="420" w:type="dxa"/>
            <w:vAlign w:val="bottom"/>
          </w:tcPr>
          <w:p>
            <w:pPr>
              <w:spacing w:after="0"/>
              <w:rPr>
                <w:sz w:val="18"/>
                <w:szCs w:val="18"/>
                <w:color w:val="auto"/>
              </w:rPr>
            </w:pPr>
          </w:p>
        </w:tc>
      </w:tr>
      <w:tr>
        <w:trPr>
          <w:trHeight w:val="209"/>
        </w:trPr>
        <w:tc>
          <w:tcPr>
            <w:tcW w:w="13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OF OPERATIONS</w:t>
            </w:r>
          </w:p>
        </w:tc>
        <w:tc>
          <w:tcPr>
            <w:tcW w:w="6760" w:type="dxa"/>
            <w:vAlign w:val="bottom"/>
            <w:tcBorders>
              <w:top w:val="single" w:sz="8" w:color="0000EE"/>
            </w:tcBorders>
            <w:gridSpan w:val="22"/>
          </w:tcPr>
          <w:p>
            <w:pPr>
              <w:spacing w:after="0"/>
              <w:rPr>
                <w:sz w:val="18"/>
                <w:szCs w:val="18"/>
                <w:color w:val="auto"/>
              </w:rPr>
            </w:pPr>
          </w:p>
        </w:tc>
        <w:tc>
          <w:tcPr>
            <w:tcW w:w="320" w:type="dxa"/>
            <w:vAlign w:val="bottom"/>
            <w:gridSpan w:val="2"/>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532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7"/>
              </w:rPr>
              <w:t>ITEM 8. FINANCIAL STATEMENTS AND SUPPLEMENTARY DATA</w:t>
            </w:r>
          </w:p>
        </w:tc>
        <w:tc>
          <w:tcPr>
            <w:tcW w:w="1600" w:type="dxa"/>
            <w:vAlign w:val="bottom"/>
            <w:tcBorders>
              <w:top w:val="single" w:sz="8" w:color="0000EE"/>
            </w:tcBorders>
            <w:gridSpan w:val="2"/>
          </w:tcPr>
          <w:p>
            <w:pPr>
              <w:spacing w:after="0"/>
              <w:rPr>
                <w:sz w:val="18"/>
                <w:szCs w:val="18"/>
                <w:color w:val="auto"/>
              </w:rPr>
            </w:pPr>
          </w:p>
        </w:tc>
        <w:tc>
          <w:tcPr>
            <w:tcW w:w="1540" w:type="dxa"/>
            <w:vAlign w:val="bottom"/>
            <w:gridSpan w:val="6"/>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758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w:t>
            </w:r>
          </w:p>
        </w:tc>
        <w:tc>
          <w:tcPr>
            <w:tcW w:w="88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r>
      <w:tr>
        <w:trPr>
          <w:trHeight w:val="210"/>
        </w:trPr>
        <w:tc>
          <w:tcPr>
            <w:tcW w:w="21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FINANCIAL DISCLOSURE</w:t>
            </w:r>
          </w:p>
        </w:tc>
        <w:tc>
          <w:tcPr>
            <w:tcW w:w="6340" w:type="dxa"/>
            <w:vAlign w:val="bottom"/>
            <w:gridSpan w:val="19"/>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PART III</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0"/>
        </w:trPr>
        <w:tc>
          <w:tcPr>
            <w:tcW w:w="658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ITEM 11. EXECUTIVE COMPENSATION</w:t>
            </w:r>
          </w:p>
        </w:tc>
        <w:tc>
          <w:tcPr>
            <w:tcW w:w="1880" w:type="dxa"/>
            <w:vAlign w:val="bottom"/>
            <w:gridSpan w:val="7"/>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gridSpan w:val="9"/>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w:t>
            </w:r>
          </w:p>
        </w:tc>
        <w:tc>
          <w:tcPr>
            <w:tcW w:w="420" w:type="dxa"/>
            <w:vAlign w:val="bottom"/>
          </w:tcPr>
          <w:p>
            <w:pPr>
              <w:spacing w:after="0"/>
              <w:rPr>
                <w:sz w:val="18"/>
                <w:szCs w:val="18"/>
                <w:color w:val="auto"/>
              </w:rPr>
            </w:pPr>
          </w:p>
        </w:tc>
      </w:tr>
      <w:tr>
        <w:trPr>
          <w:trHeight w:val="210"/>
        </w:trPr>
        <w:tc>
          <w:tcPr>
            <w:tcW w:w="302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7"/>
              </w:rPr>
              <w:t>RELATED STOCKHOLDER MATTERS</w:t>
            </w:r>
          </w:p>
        </w:tc>
        <w:tc>
          <w:tcPr>
            <w:tcW w:w="4880" w:type="dxa"/>
            <w:vAlign w:val="bottom"/>
            <w:tcBorders>
              <w:top w:val="single" w:sz="8" w:color="0000EE"/>
            </w:tcBorders>
            <w:gridSpan w:val="12"/>
          </w:tcPr>
          <w:p>
            <w:pPr>
              <w:spacing w:after="0"/>
              <w:rPr>
                <w:sz w:val="18"/>
                <w:szCs w:val="18"/>
                <w:color w:val="auto"/>
              </w:rPr>
            </w:pPr>
          </w:p>
        </w:tc>
        <w:tc>
          <w:tcPr>
            <w:tcW w:w="560" w:type="dxa"/>
            <w:vAlign w:val="bottom"/>
            <w:gridSpan w:val="3"/>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13. CERTAIN RELATIONSHIPS AND RELATED TRANSACTIONS, AND DIRECTOR</w:t>
            </w:r>
          </w:p>
        </w:tc>
        <w:tc>
          <w:tcPr>
            <w:tcW w:w="420" w:type="dxa"/>
            <w:vAlign w:val="bottom"/>
          </w:tcPr>
          <w:p>
            <w:pPr>
              <w:spacing w:after="0"/>
              <w:rPr>
                <w:sz w:val="18"/>
                <w:szCs w:val="18"/>
                <w:color w:val="auto"/>
              </w:rPr>
            </w:pPr>
          </w:p>
        </w:tc>
      </w:tr>
      <w:tr>
        <w:trPr>
          <w:trHeight w:val="210"/>
        </w:trPr>
        <w:tc>
          <w:tcPr>
            <w:tcW w:w="13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INDEPENDENCE</w:t>
            </w:r>
          </w:p>
        </w:tc>
        <w:tc>
          <w:tcPr>
            <w:tcW w:w="5660" w:type="dxa"/>
            <w:vAlign w:val="bottom"/>
            <w:tcBorders>
              <w:top w:val="single" w:sz="8" w:color="0000EE"/>
            </w:tcBorders>
            <w:gridSpan w:val="20"/>
          </w:tcPr>
          <w:p>
            <w:pPr>
              <w:spacing w:after="0"/>
              <w:rPr>
                <w:sz w:val="18"/>
                <w:szCs w:val="18"/>
                <w:color w:val="auto"/>
              </w:rPr>
            </w:pPr>
          </w:p>
        </w:tc>
        <w:tc>
          <w:tcPr>
            <w:tcW w:w="1440" w:type="dxa"/>
            <w:vAlign w:val="bottom"/>
            <w:gridSpan w:val="5"/>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6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2"/>
              </w:rPr>
              <w:t>PART IV</w:t>
            </w:r>
          </w:p>
        </w:tc>
        <w:tc>
          <w:tcPr>
            <w:tcW w:w="4040" w:type="dxa"/>
            <w:vAlign w:val="bottom"/>
            <w:tcBorders>
              <w:top w:val="single" w:sz="8" w:color="0000EE"/>
            </w:tcBorders>
            <w:gridSpan w:val="17"/>
          </w:tcPr>
          <w:p>
            <w:pPr>
              <w:spacing w:after="0"/>
              <w:rPr>
                <w:sz w:val="18"/>
                <w:szCs w:val="18"/>
                <w:color w:val="auto"/>
              </w:rPr>
            </w:pPr>
          </w:p>
        </w:tc>
        <w:tc>
          <w:tcPr>
            <w:tcW w:w="3760" w:type="dxa"/>
            <w:vAlign w:val="bottom"/>
            <w:gridSpan w:val="10"/>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0"/>
        </w:trPr>
        <w:tc>
          <w:tcPr>
            <w:tcW w:w="51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ITEM 15. EXHIBITS AND FINANCIAL STATEMENT SCHEDULES</w:t>
            </w:r>
          </w:p>
        </w:tc>
        <w:tc>
          <w:tcPr>
            <w:tcW w:w="3280" w:type="dxa"/>
            <w:vAlign w:val="bottom"/>
            <w:gridSpan w:val="9"/>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0"/>
        </w:trPr>
        <w:tc>
          <w:tcPr>
            <w:tcW w:w="26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ITEM 16. FORM 10-K SUMMARY</w:t>
            </w:r>
          </w:p>
        </w:tc>
        <w:tc>
          <w:tcPr>
            <w:tcW w:w="5820" w:type="dxa"/>
            <w:vAlign w:val="bottom"/>
            <w:gridSpan w:val="16"/>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9"/>
        </w:trPr>
        <w:tc>
          <w:tcPr>
            <w:tcW w:w="1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360" w:type="dxa"/>
            <w:vAlign w:val="bottom"/>
            <w:gridSpan w:val="26"/>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These statements relate, among other matters, to our anticipated financial performance, future revenues or earnings, business prospects, projected ventures, new products and services, anticipated market performance and similar matters.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public health epidemics, similar to the coronavirus outbreak, on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material weaknesses we identified in our internal control over financial reporting, our efforts to remediate such material weaknesses and the timing of remediation;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offer new products and services;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deploy our available cash resources, as well as our ability raise additional capital to fund our operations and business plan, to the extent necessary;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level of consumer and corporate spending on health, wellness and travel;</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locations, maintain XpresSpa, Naples Wax and Centers for Disease Control and Prevention (“CDC”) bio surveillance testing locations, and ensure continued customer traffic at those locations;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 skilled labor force and the costs associated with that labor;</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the costs associated with opening new retail locations and maintaining or converting existing ones, and the revenue derived from our retail locations;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our Airport Concession Disadvantaged Business Enterprise partners on obligations set forth in our joint venture agreements;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information and customers’ financial data and other personal information;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disruption to our information technology systems;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management team;</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an adverse change with regard to, one or more of our significant suppliers, distributors, vendors or other business relationships;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events and trends in the health, wellness and travel industries;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quality, pricing, availability and useful life of our products and/or services, as well as the mix of our products and services sold;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within our industries;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 the jurisdictions in which we do business and any new laws and regulations or changes in existing laws and regulations;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regulatory actions in the healthcare sector that could impact our ability to continue operations;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discontinuance of emergency use authorization (“EUA”) policies that could impact our business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Nasdaq Capital Market’s (“Nasdaq”) listing standards;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claims, and investigations that may be filed against us and other events that may adversely affect our reputation;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intellectual property.</w:t>
      </w:r>
    </w:p>
    <w:p>
      <w:pPr>
        <w:spacing w:after="0" w:line="22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Forward-looking statements may appear throughout this Annual Report on Form 10-K, including, without limitation, the following sections: Item 1 “Business,” Item 1A “Risk Factors,” and Item 7 “Management’s Discussion and Analysis of Financial Condition and Results of Operations.”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“will be,” “will continue,” “will likely result,” “plans,” “predicts,” “projects,” “seeks,” “should,” “future,” “targets,” “continue,” “would,” or the negative of such terms, and similar or comparable terminology or expressions or variations intended to identify forward-looking statements. These statements are based on current expectations and assumptions based on information currently available to us. Such forward-looking statements are subject to risks, uncertainties, assumptions (that may never materialize or may prove incorrect) and other important factors that could cause actual results and the timing of certain events to differ materially from future results expressed or implied by such forward-looking statements. These forward-looking statements are not guarantees of future performance, and actual results may vary materially from the results and expectations discussed. Factors that could cause or contribute to such differences include, but are not limited to, those discussed in our Quarterly Reports on Form 10-Q, Current Reports on Form 8-K and in this Annual Report on Form 10-K, and in particular, the risks discussed under the caption “Risk Factors” in Item 1A of this report and those discussed in other documents we file with the Securities and Exchange Commission (“SEC”). The forward-looking statements set forth herein speak only as of the date of this report. We undertake no obligation to revise or publicly release the results of any revision to these forward-looking statements to reflect events or circumstances that may arise after the date of such forward-looking statements, except as required by law. Given these risks and uncertainties, readers are cautioned not to place undue reliance on such forward-looking statements.</w:t>
      </w:r>
    </w:p>
    <w:p>
      <w:pPr>
        <w:spacing w:after="0" w:line="18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All references in this Annual Report on Form 10-K to “we,” “us” and “our” refer to XWELL, Inc. (prior to October 25, 2022 known as “XpresSpa Group, Inc.” and prior to January 5, 2018, known as “FORM Holdings Corp.”), a Delaware corporation, and its consolidated subsidiaries unless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 is a global wellness organization dedicated to delivering restorative and health-focused services to travelers through its three reportable operating segments: XpresSpa®, XpresTest®, and Naples Wax Center®. As of the date of this Annual Report on Form 10-K, XWELL currently has three reportable operating segments: XpresSpa®, XpresTest® and Naples Wax Center®.</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25, 2022, the Company changed its name to XWELL, Inc. (“XWELL” or the “Company”) from XpresSpa Group, Inc. The Company’s common stock, par value $0.01 per share,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amounts are in thousands, except share, per share, or as otherwise specifically noted.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XpresSpa</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31, 2025, there were 16 domestic XpresSpa locations in total. The Company also had 9 international locations operating as of December 31, 2025, including 2 XpresSpa locations in the Dubai International Airport in the United Arab Emirates, 1 XpresSpa location in the Zayad International Airport in Abu Dhabi, United Arab Emirates, 2 XpresSpa locations in the Schiphol Amsterdam Airport in the Netherlands and 4 XpresSpa locations in the Istanbul Airport in Turkey.</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Treat, which is operating through XWELL’s subsidiary Treat, Inc. (“Treat”) is a wellness brand that provides access to wellness services for travelers at on-site centers. In April 2024, the decision was made to close the location in the Salt Lake City International Airport. In the first quarter of 2025, the decision was made to convert the final remaining Treat location at JFK International Airport in New York City to an XWELL location. As of December 31, 2025 all Treat locations have been converted to XWELL.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XpresTest</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in partnership with certain COVID-19 testing partners, successfully launched its XpresCheck Wellness Centers, in June of 2020, through its XpresTest, Inc. subsidiary (“XpresTest”), which offered COVID-19 and other medical testing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spacing w:after="0" w:line="189"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2025. The funding was expanded with a revenue increase of $3,763, to an estimated $15,100 in revenue for XpresTest. In February 2025, the program was extended through a three-year contract with a total base value of $22,200 over three years, and a maximum ceiling value of $24,800 within the same timeframe.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Naples Wax Center</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XWELL’s subsidiary Naples Wax, LLC, d/b/a Naples Wax Centers (“Naples Wax Center” or “Naples Wax”) which was acquired on September 12, 2023, for a purchase price of $1,624, operates a group of upscale hair removal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also plan to build our capability for delivering health and wellness services outside of the airport. We believe operating outside of the airport complements our offering and represents the fastest way to scale the XWELL family of brands.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will be looking to further expand internationally. We believe a strategy for international expansion further advances our ability to expand our other brands including bio surveillance outside of the US.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Our Strategy and Outlook</w:t>
      </w:r>
    </w:p>
    <w:p>
      <w:pPr>
        <w:spacing w:after="0" w:line="22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believe our company is strategically positioned to capitalize on the growing consumer interest in travel, health, and wellness, as well as the increasing demand for related products and services. Our forward-looking plan focuses on expanding and integrating offerings across our brands, with a key emphasis on unifying airport and off-airport locations under the XWELL brand. This strategic alignment will enable the development of membership programs that provide seamless access to XWELL locations, fostering deeper customer relationships and enhancing brand loyalty. Additionally, a strong customer community will support targeted marketing initiatives and cross-promotional opportunities.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part of our strategy, we will optimize our airport portfolio to create a leaner, more profitable business while leveraging the high foot traffic of airport locations to build brand recognition. Simultaneously, we will pursue an off-airport growth strategy through acquisitions, particularly in the expanding med spa sector, which includes health, wellness, and beauty services. Our plan includes both developing new locations and acquiring established med spas, strategically expanding XWELL’s presence in key metropolitan areas that align with our existing airport locations. This approach will enhance membership accessibility and strengthen our brand’s reach.</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Additionally, our expertise from the XpresTest unit will allow us to expand bio-security services beyond the U.S. through partnerships with government clients. Domestically, we will continue growing our bio-security initiatives in collaboration with government agencies. These strategic efforts will serve as catalysts for future growth, support our international expansion goals, and ensure scalable, long-term success. By optimizing our cost structure, refining our existing operations, and pursuing strategic acquisitions, XWELL is positioning itself for sustainable financial and operational growth while maximizing shareholder value.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Competition</w:t>
      </w:r>
    </w:p>
    <w:p>
      <w:pPr>
        <w:spacing w:after="0" w:line="22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domestic units operate within many of the largest and most heavily trafficked airports in the United States. The balance of the domestic market is highly fragmented and is represented largely by small, privately-owned entities. The largest domestic competitor operated 9 locations in 7 airports in the United States.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Our Market</w:t>
      </w:r>
    </w:p>
    <w:p>
      <w:pPr>
        <w:spacing w:after="0" w:line="22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Airport retailers differ significantly from traditional retailers. Unlike traditional retailers, airport retailers benefit from a steady and predictable flow of traffic from a constantly changing customer base. Airport retailers also benefit from “dwell time,” the period after travelers have passed through airport security and before they board an aircraft. For over 21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XWELL is uniquely positioned to address this gap focusing on an expedient experience that still allows its customers to escape the hectic confines of the airport.</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take advantage of growing demand for unique travel wellness products, XWELL has made significant investments in a new retail offering that addresses this growing consumer demand. Further, as more airports exchange services for more traditional food and beverage providers, XWELL is positioned to take advantage of passenger demand for healthier and bio-nutrient rich snack and food offerings as part of its grab and go strategy.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Equally as important to the industry growth is XWELL’s flexible, valuable, and desirable retail format and footprint within the airport retail segment. XWELL historically opened multiple locations annually, which have ranged in size from 200 square feet to 2,600 square feet, with a typical size of approximately 800 square feet. XWELL has been able to adapt its operating model to almost any size location available in space constrained airports. This increased flexibility compared to other retail concepts has allowed and will continue to allow XWELL to operate multiple stores within an airport, including in some cases for different concepts.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acquisition of Naples Wax Center was intended to support the Company’s strategy of expanding out-of-airport locations to diversify its portfolio and reduce reliance on in-airport operations. However, certain Naples Wax Center locations have experienced operating challenges, which resulted in the recognition of impairment charges during the year.</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have historically focused our growth on the airport space, our strategy continues to shift with further emphasis on growth outside the airport—in and out of travel focused centers. This shift includes taking our XpresSpa brand out of the airport and into other transit centers such as rail terminals. It also includes growth through acquisition such as Naples Wax Centers where we can apply our wellness pedigree to expand that business from both a location standpoint and from a diversification of products and services standpoint.</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goal continues to be opportunistic expansion outside the airport and we believe our family of brands will help to serve that growth strategy.</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Regulation</w:t>
      </w:r>
    </w:p>
    <w:p>
      <w:pPr>
        <w:spacing w:after="0" w:line="22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operations are subject to a range of laws and regulations adopted by national, regional, and local authorities from the various jurisdictions in which we operate, including those relating to, among others, licensing (e.g., massage, nail, and cosmetology), public health and safety and fire codes. Failure to obtain or retain required licenses and approvals, including those related to licensing, public health and safety and fire codes, would adversely affect our operations. Although we have not experienced, and do not anticipate, significant problems obtaining required licenses, permits or approvals, any difficulties, delays or failures in obtaining such licenses, permits or approvals could delay or prevent the opening, or adversely impact the viability, of our operations.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Airport authorities in the United States frequently require that our airport concessions meet minimum Airport Concession Disadvantaged Business Enterprise (“ACDBE”) participation requirements. The Department of Transportation’s (“DOT”) ACDBE program is implemented by recipients of DOT Federal Financial Assistance, including airport agencies that receive federal funding. The ACDBE program is administered by the Federal Aviation Administration (“FAA”), state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local ACDBE certifying agencies and individual airports. The ACDBE program is designed to help ensure that small firms owned and controlled by socially and economically disadvantaged individuals can compete for airport contracting and concession opportunities in domestic passenger service airports. The ACDBE regulations require that airport recipients establish annual ACDBE participation goals, review the scope of anticipated large prime contracts throughout the year, and establish contract specific ACDBE participation goals. We generally meet the contract specific goals through an agreement providing for co-ownership of the retail location with a disadvantaged business enterprise. Frequently, and within the guidelines issued by the FAA, we may lend money to ACDBEs in connection with concession agreements in order to help the ACDBE fund the capital investment required under a concession agreement. The rules and regulations governing the certification of ACDBE participation in airport concession agreements are complex, and ensuring ongoing compliance is costly and time consuming. Further, if we fail to comply with the minimum ACDBE participation requirements in our concession agreements, we may be held responsible for breach of contract, which could result in the termination of a concession agreement and monetary damages. See “Item 1A. Risk Factors – Risks Related to our Business Operations – Failure to comply with minimum airport concession disadvantaged business enterprise participation goals and requirements could lead to lost business opportunities or the loss of existing business.”</w:t>
      </w:r>
    </w:p>
    <w:p>
      <w:pPr>
        <w:spacing w:after="0" w:line="19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subject to the Fair Labor Standards Act, the Immigration Reform and Control Act of 1986, the Occupational Safety and Health Act, the Family and Medical Leave Act, the Affordable Care Act and various federal and state laws governing matters such as minimum wages, overtime, unemployment tax rates, workers’ compensation rates, citizenship requirements and other working conditions. We are also subject to the Americans with Disabilities Act, which prohibits discrimination on the basis of disability in public accommodations and employment, which may require us to design or modify our concession locations to make reasonable accommodations for disabled persons.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also subject to certain truth-in-advertising, general customs, consumer and data protection, product safety, workers’ health and safety and public health rules that govern retailers in general, as well as the merchandise sold within the various jurisdictions in which we operate.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Employees</w:t>
      </w:r>
    </w:p>
    <w:p>
      <w:pPr>
        <w:spacing w:after="0" w:line="22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181818"/>
        </w:rPr>
        <w:t>As of December 31, 2025, we had approximately 175 full-time and 105 part-time employees of XWELL. We consider our relationships with our employees to be good.</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Corporate Information</w:t>
      </w:r>
    </w:p>
    <w:p>
      <w:pPr>
        <w:spacing w:after="0" w:line="224" w:lineRule="exact"/>
        <w:rPr>
          <w:sz w:val="20"/>
          <w:szCs w:val="20"/>
          <w:color w:val="auto"/>
        </w:rPr>
      </w:pPr>
    </w:p>
    <w:p>
      <w:pPr>
        <w:jc w:val="both"/>
        <w:ind w:left="60" w:right="79"/>
        <w:spacing w:after="0" w:line="233" w:lineRule="auto"/>
        <w:rPr>
          <w:sz w:val="20"/>
          <w:szCs w:val="20"/>
          <w:color w:val="auto"/>
        </w:rPr>
      </w:pPr>
      <w:r>
        <w:rPr>
          <w:rFonts w:ascii="Times New Roman" w:cs="Times New Roman" w:eastAsia="Times New Roman" w:hAnsi="Times New Roman"/>
          <w:sz w:val="18"/>
          <w:szCs w:val="18"/>
          <w:color w:val="auto"/>
        </w:rPr>
        <w:t>Our common stock, par value $0.01 per share, which was previously listed since January 8, 2018 under the trading symbol “XSPA” on Nasdaq, has been listed under the trading symbol “XWELL” since October 25, 2022. Our principal executive offices are located at 254 West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10001. Our telephone number is (212) 309-7549 and our website address is </w:t>
      </w:r>
      <w:r>
        <w:rPr>
          <w:rFonts w:ascii="Times New Roman" w:cs="Times New Roman" w:eastAsia="Times New Roman" w:hAnsi="Times New Roman"/>
          <w:sz w:val="18"/>
          <w:szCs w:val="18"/>
          <w:i w:val="1"/>
          <w:iCs w:val="1"/>
          <w:color w:val="auto"/>
        </w:rPr>
        <w:t>www.xwell.com</w:t>
      </w:r>
      <w:r>
        <w:rPr>
          <w:rFonts w:ascii="Times New Roman" w:cs="Times New Roman" w:eastAsia="Times New Roman" w:hAnsi="Times New Roman"/>
          <w:sz w:val="18"/>
          <w:szCs w:val="18"/>
          <w:color w:val="auto"/>
        </w:rPr>
        <w:t xml:space="preserve">. We also operate the websites </w:t>
      </w:r>
      <w:r>
        <w:rPr>
          <w:rFonts w:ascii="Times New Roman" w:cs="Times New Roman" w:eastAsia="Times New Roman" w:hAnsi="Times New Roman"/>
          <w:sz w:val="18"/>
          <w:szCs w:val="18"/>
          <w:i w:val="1"/>
          <w:iCs w:val="1"/>
          <w:color w:val="auto"/>
        </w:rPr>
        <w:t>www.xpresspa.com, www.xprescheck.com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www.napleswaxcenter.com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References in this Annual Report on Form 10-K to our website address and websites we operate do not constitute incorporation by reference of the information contained on the websites. We make our filings with the Securities and Exchange Commission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p>
      <w:pPr>
        <w:spacing w:after="0" w:line="189"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code of conduct and our insider trading compliance manual;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charters for our audit committee, compensation committee, and nominating and corporate governance committee.</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an Internet website that contains reports, proxy and information statements, and other information regarding issuers, including us, that file electronically with the SEC. The public can obtain any documents that we file with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We are subject to various risks that may materially harm our business, prospects, financial condition and results of operations. An investment in our common stock is speculative and involves a high degree of risk, and you should carefully consider the risks described below, together with the other information included in this Annual Report on Form 10-K, including the consolidated financial statements and related notes before making an investment decision regarding our common stock. Our business, financial condition, results of operations and the trading price of our common stock could be materially adversely affected by any of the following risks as well as the other risks highlighted elsewhere in this Annual Report on Form 10-K. Although this section discusses all of the material risks currently known to us, additional risks and uncertainties not presently known to us or that we currently deem immaterial also may materially affect our business, financial condition and results of operations.</w:t>
      </w:r>
    </w:p>
    <w:p>
      <w:pPr>
        <w:spacing w:after="0" w:line="188"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If any of the events described in the following risk factors actually occurs, or if additional risks and uncertainties later materialize, that are not presently known to us or that we currently deem immaterial, then our business, prospects, results of operations and financial condition could be materially adversely affected. In that event, the trading price of our common stock could decline, and you may lose all or part of your investment in our shares. The risks discussed below include forward-looking statements, and our actual results may differ substantially from those discussed in these forward-looking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 Summary</w:t>
      </w:r>
    </w:p>
    <w:p>
      <w:pPr>
        <w:spacing w:after="0" w:line="22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the risks that we face. Additional discussion of the risks summarized in this risk factor summary, and other risks that we face, can be found below following this summary, and should be carefully considered, together with other information in this Annual Report on Form 10-K, including the consolidated financial statements and related notes thereto, and our other filings with the SEC, before making an investment decision regarding our common stock.</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Condition and Capital Requirements</w:t>
      </w:r>
    </w:p>
    <w:p>
      <w:pPr>
        <w:spacing w:after="0" w:line="229" w:lineRule="exact"/>
        <w:rPr>
          <w:sz w:val="20"/>
          <w:szCs w:val="20"/>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have been prepared on a going concern basis; we must raise additional capital to fund our operations in order to continue as a going concern;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substantial capital expenditures, and we may not have access to the capital required to maintain and grow our operations.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 surveillance monitoring activities conducted by XpresTest are funded partially by government contracts awards, which may not be available to us in the future, and such contracts awards are subject to guidelines regulating certain aspects of our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w:t>
      </w:r>
    </w:p>
    <w:p>
      <w:pPr>
        <w:spacing w:after="0" w:line="229" w:lineRule="exact"/>
        <w:rPr>
          <w:sz w:val="20"/>
          <w:szCs w:val="20"/>
          <w:color w:val="auto"/>
        </w:rPr>
      </w:pPr>
    </w:p>
    <w:p>
      <w:pPr>
        <w:jc w:val="both"/>
        <w:ind w:left="720" w:right="7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services critical to our XpresTest bio surveillance business, and we depend on them to comply with applicable laws and regulations. Additionally, any breaches of the information technology systems of third parties could have a material adverse effect on our operations.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may be materially impaired if we do not comply with privacy laws or information security policies.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certain material weaknesses in our internal controls over financial reporting, which could impair our ability to produce accurate consolidated financial statements on a timely basis and result in material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66" w:lineRule="auto"/>
        <w:rPr>
          <w:sz w:val="20"/>
          <w:szCs w:val="20"/>
          <w:color w:val="auto"/>
        </w:rPr>
      </w:pPr>
      <w:r>
        <w:rPr>
          <w:rFonts w:ascii="Times New Roman" w:cs="Times New Roman" w:eastAsia="Times New Roman" w:hAnsi="Times New Roman"/>
          <w:sz w:val="18"/>
          <w:szCs w:val="18"/>
          <w:color w:val="auto"/>
        </w:rPr>
        <w:t>misstatements in our consolidated financial statements if not remediated. If we fail to maintain an effective system of internal control over financial reporting, we may not be able to accurately report our financial results and current and potential stockholders may lose confidence in our financial reporting.</w:t>
      </w:r>
    </w:p>
    <w:p>
      <w:pPr>
        <w:spacing w:after="0" w:line="176" w:lineRule="exact"/>
        <w:rPr>
          <w:sz w:val="20"/>
          <w:szCs w:val="20"/>
          <w:color w:val="auto"/>
        </w:rPr>
      </w:pPr>
    </w:p>
    <w:p>
      <w:pPr>
        <w:jc w:val="both"/>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international and domestic airplane travel, and the time that airline passengers spend in United States airports post-security. A decrease in the desire of customers to buy spa services and products, or decreased time spent in airports would negatively impact our operations.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social media regarding XWELL, XpresSpa, XpresTest or Naples Wax Center could result in decreased revenues and impact our ability to recruit worker.</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source, develop, and sell products that may result in product liability defense costs and product liability payments.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have been, are, and may become involved in litigation that could divert management’s attention and harm our businesses.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acquisitions or business opportunities could involve unknown risks that could harm our business and adversely affect our financial condition and the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Capital Stock</w:t>
      </w:r>
    </w:p>
    <w:p>
      <w:pPr>
        <w:spacing w:after="0" w:line="229"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prices can be volatile, and this volatility may depress the price of our common stock.</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H Certificate of Designations contains restrictive covenants and terms that may make it difficult to procure additional financing and that may affect our financial condition and results of operations.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current plans to pay dividends on our common stock, and our investors may not receive funds without selling their stock.</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Nasdaq could result in a delisting of our common stock.</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analysts do not publish research or reports about our business, or if they publish negative evaluations, the price of our common stock could decline.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availed ourselves of scaled disclosure available to smaller reporting companies, we cannot be certain if such reduced disclosure will make our common stock less attractive to investors.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Risk Factors</w:t>
      </w:r>
    </w:p>
    <w:p>
      <w:pPr>
        <w:spacing w:after="0" w:line="229"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confidential information may be disclosed by other parties.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publicly announced financial guidance or other expectations about our business, which would cause our stock to decline in value.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Condition and Capital Requirements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consolidated financial statements have been prepared on a going concern basis; we must raise additional capital to fund our operations in order to continue as a going concern.</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on a going-concern basis. Historically, we have incurred operating losses and used cash in operating activities. As of December 31, 2025, we had cash and cash equivalents of approximately $2,716. Subsequent to year end, on February 24, 2026, we announced that we entered into a private placement of Series H Convertible Preferred Stock with accompanying warrants for expected gross proceeds of approximately $31,300 before fees and expenses. $9,000 of the proceeds was used to repurchase certain notes and redeem certain preferred stock and warrants, with the remainder available for working capital and general corporate purposes.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light of the Series H financing and our current operating plan, management has concluded that the conditions that previously raised substantial doubt about our ability to continue as a going concern have been alleviated as of the date these financial statements are issued. Nevertheless, we expect to continue investing in our business and may seek additional financing to fund operations and strategic initiatives. There can be no assurance that additional financing, if needed, will be available on acceptable terms or at all. If we are unable to obtain sufficient capital when required, we may be forced to delay, reduce, or eliminate certain activities, implement additional cost-saving measures, or pursue strategic alternatives, any of which could adversely affect our business, financial condition, and results of operations.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do not include any adjustments that might be necessary if we were unable to continue as a going concern.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Company’s estimated aggregate total NOLs were $150,926 for U.S. federal purposes, expiring 20 years from the respective tax years to which they relate, and $127,912 for U.S. federal purposes with an indefinite life due to new regulations in the TCJA. of 2017.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An IRC Section 382 Study has not yet been completed. The Coronavirus Aid, Relief, and Economic Security Act or "CARES Act" was enacted subsequent to the December 31, 2019 period, on March 27, 2020. The CARES act provided for favorable business provisions. However, the Company does not anticipate the income tax provision changes to materially benefit the Company.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market conditions may adversely affect our business, financial condition, and operating results.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business plan depends significantly on worldwide economic conditions and our success is dependent on consumer spending, which is sensitive to, among others, trade disputes, the imposition of tariffs, and other protectionist policies enacted by various governments, economic downturns, inflation and any associated rise in unemployment, declines in consumer confidence, adverse changes in exchange rates, increases in interest rates, the impact of high energy, fuel, food and healthcare costs, deflation, direct or indirect taxes, increases in consumer debt levels; fears of war or actual conflicts, such as the Russian invasion of Ukraine and the armed conflicts in the Middle East, civil unrest, terrorism or violence, and increased stock market volatility.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Increasing inflation could adversely affect our business, financial condition, results of operations or cash flows.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Inflation and some of the measures taken by or that may be taken by the governments in countries where we operate to curb inflation may have negative effects on the economies of those countries generally. If the United States or other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countries where we operate experience substantial inflation in the future, our business may be adversely affected. In addition, we may not be able to adjust the prices we charge for our products and services to offset the impact of inflation on our expenses, leading to an increase in our operating expenses and a reduction in our margins. This could have a material adverse impact on our business, financial condition, results of operations or cash flows.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requires substantial capital expenditures, and we may not have access to the capital required to maintain and grow our operations.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development of our new branding concept in the travel health and wellness space, as well as maintaining and expanding our operations in our existing and new locations, are all capital-intensive activities. Specifically, the construction, redesign, and maintenance of our locations in airport terminals where we operate, technology costs, and compliance with applicable laws and regulations require substantial capital expenditures. Moreover, the creation of a digital platform in the travel health and wellness space will take substantial capital resources. In connection with all the foregoing, we will require significant capital to fund our operations and respond to potential strategic opportunities, such as investments, acquisitions and expansions.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historically relied, and expect to continue to rely, on a combination of existing cash resources and external financing to fund our operations, growth initiatives, and capital expenditures. While we have accessed the equity markets in the past, we may need to raise additional capital in the future to support the continued development and expansion of our travel health and wellness concept and other strategic initiatives. We may not be able to obtain such financing on acceptable terms, or at all. The availability and terms of additional financing may be affected by a number of factors, including our operating results, capital requirements, market conditions, and the trading price of our common stock. Any future equity financing could be dilutive to existing stockholders, and we may also be constrained in our ability to raise capital due to our stock price or market volatility. If we are unable to raise additional funds when needed, we could be required to delay, reduce, or eliminate certain operating or growth plans, which could adversely affect our business and results of operations.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bio surveillance monitoring activities conducted by XpresTest are funded partially by government contract awards, which may not be available to us in the future, and such contract awards are subject to guidelines regulating certain aspects of our operations.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received and intend to continue to seek funding for the bio surveillance monitoring activities conducted by XpresTest under contract with Ginkgo Bioworks. However, funding by the CDC or other governmental agencies may be significantly reduced or eliminated in the future for several reasons. For example, some programs are subject to a yearly appropriations process overseen by the U.S. Congress. In addition, we may not receive full funding under current or future contracts because of the budgeting constraints of the CDC or the unsatisfactory performance of past contracts. Therefore, we cannot provide any assurance that we will receive any future funding under contracts from any government agencies, or, if received, we will realize the full value of the contract. Any such reductions failure to realize expected funds could delay the development of our business.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operations conducted under such federal contracts are subject to certain federal regulations regarding how we conduct our business, and we will be obligated to abide by the agreement terms relating to those contracts. Failure to follow the regulations and agreement terms could jeopardize our ability to realize the value of our government contracts and our ability to obtain future government contracts, which could have a material adverse effect on our results of operations and financial condition. In addition, any failure to comply with applicable laws or regulations affecting such contracts could harm our business and divert our management’s attention.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funding for our bio surveillance monitoring activities from the CDC may be impacted by possible reductions in federal spending.</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U.S. federal government agencies currently face potentially significant spending reductions. The U.S. federal budget remains in flux, however, which could, among other things, result in budget cuts to the CDC and otherwise affect federal spending on public health surveillance. Changing attitudes may lead to a decrease in funding available for bio surveillance monitoring activities. The full impact on our business and financial condition of any future budget cuts to the CDC or other programs is uncertain. In addition, we cannot predict any impact which the actions of President Trump’s administration and the U.S. Congress may have on the federal budget, which may in turn affect federal funding on public health surveillance, which may have a negative impact on our business and financial condition.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globally and changes in tax laws could adversely affect our results.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operate globally and changes in tax laws could adversely affect our results. We have international operations and generate substantial revenues and profits in foreign jurisdictions. The domestic and international tax environments continue to evolve because of tax changes in various jurisdictions in which we operate and changes in the tax laws in certain countries, including the United States, could impact our future operating results. A significant increase in the U.S. corporate tax rate could negatively impact our financial results. The OECD’s framework implements a global minimum corporate tax of 15% for companies with global revenues and profits above certain thresholds (referred to as “Pillar Two”). Certain jurisdictions in which the Company operates have enacted their respective tax laws to comply with Pillar Two. Starting in 2025, we have come within the scope of the Pillar Two rules. As of now, we do not expect Pillar Two to have a material impact on our effective tax rate or our consolidated results of operation, financial position, and cash flows. We will continue to monitor pending legislation and implementation by individual countries.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complex federal, state, local and foreign laws and regulations that apply to our businesses, we could suffer severe consequences that could materially and adversely affect our operating results and financial condition.</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XpresTest operations may be subject to extensive federal, state, local and foreign laws and regulations, all of which are subject to change. These laws and regulations currently include, among other things:</w:t>
      </w:r>
    </w:p>
    <w:p>
      <w:pPr>
        <w:spacing w:after="0" w:line="162"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CLIA, which requires that laboratories obtain certification from the federal government, and state licensure laws;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laws and regulations;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laws and regulations, including fraud and abuse laws such as the anti-kickback laws and false claims acts;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regulating genetic testing and protecting the privacy of genetic test results, as well as state laws protecting the privacy and security of personal data and mandating reporting of breaches to affected individuals and state regulators;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impose reporting and other compliance-related requirements;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apply to us in the countries in which we operate.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Our failure to comply could lead to civil or criminal penalties, exclusion from participation in state and federal healthcare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w:t>
      </w:r>
    </w:p>
    <w:p>
      <w:pPr>
        <w:spacing w:after="0" w:line="18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certain material weaknesses in our internal controls over financial reporting, which could impair our ability to produce accurate consolidated financial statements on a timely basis and result in material misstatements in our consolidated financial statements if not remediated. If we fail to maintain an effective system of internal control over financial reporting, we may not be able to accurately report our financial results and current and potential stockholders may lose confidence in our financial reporting</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Sarbanes-Oxley Act and the rules and regulations of Nasdaq. The Sarbanes-Oxley Act requires, among other things, that we maintain effective disclosure controls and procedures and internal control over financial reporting. As required by Section 404 of the Sarbanes-Oxley Act, we must perform system and process evaluation and testing of our internal control over financial reporting to allow management to report on the effectiveness of our internal control over financial reporting in our Form 10-K filing for each fiscal year. This requires us to incur substantial additional professional fees and internal costs to expand our accounting and finance functions and we expend significant management efforts.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the fiscal year ended December 31, 2025, our management evaluated, with the participation of our chief executive officer and chief financial officer, the effectiveness of our disclosure controls and procedures, pursuant to Rule 13a-15(b) under the Exchange Act.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Based upon that evaluation, our management concluded that our disclosure controls and procedures were not effective as of December 31, 2025, due to the following material weaknesses:</w:t>
      </w:r>
    </w:p>
    <w:p>
      <w:pPr>
        <w:spacing w:after="0" w:line="189" w:lineRule="exact"/>
        <w:rPr>
          <w:sz w:val="20"/>
          <w:szCs w:val="20"/>
          <w:color w:val="auto"/>
        </w:rPr>
      </w:pPr>
    </w:p>
    <w:p>
      <w:pPr>
        <w:ind w:left="700" w:right="79" w:hanging="326"/>
        <w:spacing w:after="0" w:line="28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properly design, implement, and consistently operate effective controls over the completeness and accuracy of its accounting for leases under ASC 842.</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properly design or maintain effective entity level monitoring controls over the financial close and reporting process.</w:t>
      </w:r>
    </w:p>
    <w:p>
      <w:pPr>
        <w:spacing w:after="0" w:line="161" w:lineRule="exact"/>
        <w:rPr>
          <w:rFonts w:ascii="Times New Roman" w:cs="Times New Roman" w:eastAsia="Times New Roman" w:hAnsi="Times New Roman"/>
          <w:sz w:val="18"/>
          <w:szCs w:val="18"/>
          <w:color w:val="auto"/>
        </w:rPr>
      </w:pPr>
    </w:p>
    <w:p>
      <w:pPr>
        <w:jc w:val="both"/>
        <w:ind w:left="700" w:right="79" w:hanging="326"/>
        <w:spacing w:after="0" w:line="261"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w:t>
      </w:r>
    </w:p>
    <w:p>
      <w:pPr>
        <w:spacing w:after="0" w:line="179"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w:t>
      </w:r>
    </w:p>
    <w:p>
      <w:pPr>
        <w:spacing w:after="0" w:line="17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implement, and consistently operate effective controls over its’ foreign subsidiaries.</w:t>
      </w:r>
    </w:p>
    <w:p>
      <w:pPr>
        <w:spacing w:after="0" w:line="200" w:lineRule="exact"/>
        <w:rPr>
          <w:sz w:val="20"/>
          <w:szCs w:val="20"/>
          <w:color w:val="auto"/>
        </w:rPr>
      </w:pPr>
    </w:p>
    <w:p>
      <w:pPr>
        <w:spacing w:after="0" w:line="24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is committed to the remediation of the material weaknesses described above,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because of these efforts. Management has commenced the following actions and will continue to assess additional opportunities for remediation on an ongoing basis:</w:t>
      </w:r>
    </w:p>
    <w:p>
      <w:pPr>
        <w:spacing w:after="0" w:line="192" w:lineRule="exact"/>
        <w:rPr>
          <w:sz w:val="20"/>
          <w:szCs w:val="20"/>
          <w:color w:val="auto"/>
        </w:rPr>
      </w:pPr>
    </w:p>
    <w:p>
      <w:pPr>
        <w:ind w:left="700" w:hanging="326"/>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turned on the multi-currency features related to its cloud-based accounting systems.</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assist with the valuation, accounting, and recording of key reporting areas such as leases, revenue recognition and stock compensation expense.</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contracted an independent consulting firm to assist with the preparation of the Financial Statements and U.S. GAAP accounting research.</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any of our remedial measures will be effective in resolving our material weaknesses.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or remediate our material weaknesses, we may not be able to produce timely and or accurate financial statements, which may lead to material misstatements in our financial statements. This could result in a restatement of our consolidated financial statements, cause us to fail to meet our reporting obligations, reduce our ability to obtain financing or cause investors to lose confidence in our reported financial information. If that were to happen, the market price of our common stock could decline and we could be subject to sanctions or investigations by Nasdaq, the SEC, or other regulatory authorities.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provide services critical to our XpresTest bio surveillance business, and we depend on them to comply with applicable laws and regulations. Additionally, any breaches of the information technology systems of third parties could have a material adverse effect on our operations.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depend on third parties to provide services critical to our XpresTest bio surveillance business, including supplies, research products, and people, among other services. Third parties that provide services to us are subject to similar risks related to security of customer-related information and compliance with U.S., state, local, or international environmental, health and safety, and privacy and security laws and regulations as those faced by us.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reputation may be materially impaired if we do not comply with privacy laws or information security policies.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 a data security breach, we may be subject to notification obligations, litigation and governmental investigation or sanctions, and may suffer reputational damage, which could have an adverse impact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are subject to laws and regulations regarding protecting the security and privacy of certain personal information, including state laws, including, among others, the California Consumer Privacy Act.</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IT systems are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because of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complex and overlapping laws protecting the privacy and security of personal data.</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must comply with all applicable privacy and data security laws to operate our business and may be required to expend significant capital and other resources to ensure ongoing compliance, to protect against security breaches and hackers or to alleviate problems caused by such breaches. Breaches of personal data may be extremely expensive to remediate, may prompt federal or state investigation, fines, civil and/or criminal sanctions, and significant reputational damage.</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capital expenditures in Naples Wax locations may not generate a positive return and we will incur significant additional costs.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Our capital expenditures may not generate a positive return. Significant capital expenditures will be required to construct Naples Wax centers to accommodate our proposed new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our competitive position could be harmed. </w:t>
      </w:r>
      <w:r>
        <w:rPr>
          <w:rFonts w:ascii="Times New Roman" w:cs="Times New Roman" w:eastAsia="Times New Roman" w:hAnsi="Times New Roman"/>
          <w:sz w:val="18"/>
          <w:szCs w:val="18"/>
          <w:color w:val="212529"/>
        </w:rPr>
        <w:t>These developments, and others that are difficult or impossible to predict,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materially impact our business, financial results, cash flows, and financial position.</w:t>
      </w:r>
    </w:p>
    <w:p>
      <w:pPr>
        <w:spacing w:after="0" w:line="18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international and domestic airplane travel, and the time that airline passengers spend in United States airports post-security. A decrease in the desire of customers to buy spa services and products, or decreased time spent in airports would negatively impact our operations.</w:t>
      </w:r>
    </w:p>
    <w:p>
      <w:pPr>
        <w:spacing w:after="0" w:line="175"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depend upon a large number of airplane travelers with the propensity for health and wellness, and in particular spa treatments and products, spending significant time post-security clearance check points at airports. The number of airline travelers at any given time is volatile and subject to change. If the time that these travelers spend post-security clearance at airports decreases, and/or if travelers’ ability or willingness to pay for our products and services diminishes, this could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have an adverse effect on our growth, business activities, cash flow, financial condition, and results of operations. Some reasons for these events could include:</w:t>
      </w:r>
    </w:p>
    <w:p>
      <w:pPr>
        <w:spacing w:after="0" w:line="162" w:lineRule="exact"/>
        <w:rPr>
          <w:sz w:val="20"/>
          <w:szCs w:val="20"/>
          <w:color w:val="auto"/>
        </w:rPr>
      </w:pPr>
    </w:p>
    <w:p>
      <w:pPr>
        <w:jc w:val="both"/>
        <w:ind w:left="720" w:right="79" w:hanging="319"/>
        <w:spacing w:after="0" w:line="25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activities (including cyber-attacks) impacting either domestic or international travel through airports where we operate, causing fear of flying, flight cancellations, or an economic downturn, fears of war or actual conflicts, such as the Russian invasion of Ukraine, the armed conflict in the Middle East, civil unrest, terrorism or violence or any other events of a similar nature, even if not directly affecting the airline industry, may lead to a significant reduction in the number of airline passengers;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business spending that impacts business travel, such as a recession;</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airfare prices that impacts the willingness of air travelers to fly, such as an increase in oil prices or heightened taxation from federal or other aviation authorities;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our spa business, scientific studies that malign the use of spa services or the products used in spa services, such as the impact of certain chemicals and procedures on health and wellness;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streamlined security screening checkpoints, which could decrease the wait time at checkpoints and therefore the time air travelers’ budget for spending time at the airport; or</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preferences for services in general at the airport could change as dwell times in US airports continue to go down and more airports are focusing available concession space on quicker service food and beverage concepts.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Further, any disruption to, or suspension of services provided by airlines and the travel industry because of financial difficulties, labor disputes, military activity, construction work, increased security, changes to regulations governing airlines, mergers and acquisitions in the airline industry, higher fuel prices and challenging economic conditions causing airlines to reduce flight schedules or increase the price of airline tickets could negatively affect the number of airline passengers.</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in United Arab Emirates can be negatively impacted by recent military conflict in the Middle East.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28, 2026, Israel and the United States initiated a coordinated military operation in Iran. In response, Iran launched missiles and unmanned aerial vehicles toward Israel and other countries in the region, including United Arab Emirates. We currently operate two XpresSpa locations in the Dubai International Airport in the United Arab Emirates, and one XpresSpa location in the Zayad International Airport in Abu Dhabi, United Arab Emirates. Both airports have sustained minor damages from drone and missile strikes, resulting in a fatality and injuries. As a result of the conflict, many airlines have also cancelled their flights to the region and certain airports, including airports in United Arab Emirates, have had temporarily suspended their operations, which have since resumed, but are subject to further delays and/or suspensions.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Continued hostilities in the Middle East involving the United Arab Emirates could negatively impact our operations. The closure of airports or airspace, a reduction in airline operations, or decreased travel to the region could result in reduced passenger traffic at the airports where we operate, which could in turn reduce demand for our services and materially decrease our revenues. In addition, further military activity, missile or drone attacks, or the threat of such attacks could disrupt airport operations, damage infrastructure, or result in additional security restrictions imposed by governmental authorities or airport operators.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Any escalation of the conflict or additional attacks affecting aviation infrastructure in the region could lead to prolonged airport disruptions, increased operating costs, reduced customer traffic, or temporary or permanent closures of our locations in the United Arab Emirates, which could materially and adversely affect our business, financial condition and results of operations.</w:t>
      </w:r>
    </w:p>
    <w:p>
      <w:pPr>
        <w:spacing w:after="0" w:line="176"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cause us to lose our concessions.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rely on a small number of suppliers for our products. As a result, these suppliers may have increased bargaining power, and we may be required to accept less favorable purchasing terms. In the event of a dispute with a supplier,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We have publicized our sale of certain brands of products in our stores – our failure to sell these brands may adversely affect our business.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(such as the Russian invasion of Ukraine and the armed conflict between Israel and Palestine), pandemics,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due to certain factors, some of which are beyond our control.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operating results may fluctuate from period to period significantly because of numerous factors, including:</w:t>
      </w:r>
    </w:p>
    <w:p>
      <w:pPr>
        <w:spacing w:after="0" w:line="225"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new unit openings, particularly the launch of new terminals;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passenger traffic and seasonality of air travel;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 and availability of supplies;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nationally, locally and internationally;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competitive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to new markets and new locations;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infrastructure costs, including those costs associated with the build-out of new concession locations and renovating existing concession locations.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operating results may fluctuate significantly because of the factors discussed above. Accordingly, results for any period are not necessarily indicative of results to be expected for any other period or for any year.</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new airports or off-airport locations may present increased risks due to unfamiliarity with those areas.</w:t>
      </w:r>
    </w:p>
    <w:p>
      <w:pPr>
        <w:spacing w:after="0" w:line="159"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8"/>
          <w:szCs w:val="18"/>
          <w:color w:val="auto"/>
        </w:rPr>
        <w:t>Our growth strategy depends upon developing our off-airport locations which will include travel health and wellness mini locations and the expansion of Naples Wax. Those markets and locations may have demographic characteristics, consumer tastes and discretionary spending patterns that are different from those in the markets where our existing spa and testing operations are located. As a result, new airport terminal and/or off-airport operations may be less successful than existing concession locations in current airport terminals. We may find it more difficult in new markets to hire, motivate and keep qualified employees who can project our vision, passion, and culture. We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we currently operate. Operations in new markets may also take longer to ramp up and reach expected sales and profit levels, and may never do so, thereby negatively affecting the 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is dependent in part on our ability to successfully identify and open new locations.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growth strategy is, among others, dependent in part on our ability to successfully identify and open new locations. We will need to assess and mitigate the risk of any new locations, to open the location on favorable terms and to successfully integrate their operations with ours. We may not be able to successfully identify opportunities that meet these criteria, or, if we do, we may not be able to successfully negotiate and open new locations on a timely basis. If we are unable to identify and open new locations in accordance with its operating plan, our revenue growth rate and financial performance may fall short of our expectations.</w:t>
      </w:r>
    </w:p>
    <w:p>
      <w:pPr>
        <w:spacing w:after="0" w:line="18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profitability relating to our operations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number of airline passengers that visit the terminals in which we have concessions is dependent in part on decisions made by airlines and airport authorities relating to flight arrivals and departures. A decrease in the number of flights and a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most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execute our growth strategy to expand and integrate new concessions, our recently acquired entity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Part of our growth strategy is to expand and remodel our existing facilities and to seek new concessions through tenders, direct negotiations, or other acquisition opportunities. In this regard, our future growth will depend upon several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New concessions and acquisitions, and in some cases future expansions and remodeling of existing concessions, could pose numerous risks to our operations, including that we may:</w:t>
      </w:r>
    </w:p>
    <w:p>
      <w:pPr>
        <w:spacing w:after="0" w:line="162"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difficulty integrating operations or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unanticipated integration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unexpected construction and development costs and project delays;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challenges identifying and engaging local business partners to meet ACDBE requirements in concession agreements;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construction materials or labor at acceptable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 engineering or environmental problems associated with our new and existing facilities;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key employees, particularly with respect to acquired or new operations;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difficulty retaining or developing acquired or new business customers;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existing business relationships with suppliers or other third parties as a result of acquisitions;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realize the potential cost savings or other financial benefits and/or the strategic benefits of acquisitions, new concessions, or remodeling;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liabilities from the acquired businesses and we may not be successful in seeking indemnification for such liabilities.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our market are inaccurate, our future growth rate may be impacted.</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uncertainty and are based on assumptions and estimates that may not prove to be accurate. The estimates and forecasts in this Annual Report on Form 10-K relating to the size and expected reemergence of the travel retail market may prove to be inaccurate. Even if the market in which we compete meets our size estimates and rate of return to normalized travel activity, our business could fail to reemerge or grow at similar rates, if at all. The principal assumptions relating to our market opportunity include projected reemergence and growth in the travel retail market and our share of the market. If these assumptions prove inaccurate, our business, financial condition and results of operations could be adversely affected.</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skilled, licensed labor force to provide our services, and the supply of this labor force is finite. If we cannot hire adequate staff for our locations, we will not be able to operate.</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31, 2025, we had approximately 175 full-time and 105 part-time employees. Excluding some dedicated retail staff, most of our employees in our locations are licensed to perform spa services, and hold such licenses as masseuses, nail technicians, and aestheticians. The demand for these licensed technicians has been increasing as more consumers gravitate to health and wellness treatments such as spa services. We compete not only with other airport-based spa companies but also with spa companies outside of the airport for this skilled labor force. In addition, all staff hired by us must pass the background checks and security clearances necessary to work in airport locations. If we are unable to attract and retain qualified staff to work in our airport locations, our ability to operate in such locations, and our business and financial condition will be impacted negatively.</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Netherlands, Turkey,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to comply with applicable standards. Compliance with such laws and regulations can be costly and can increase our exposure to litigation or governmental investigations or proceedings.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labor force could unionize, putting upward pressure on labor costs.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Major players in labor organizations could target our locations for its unionization efforts. In the event of the successful unionization of all our labor force, we would likely incur additional costs in the form of higher wages, more benefits such as vacation and sick leave, and potentially also higher health care insurance costs.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compete for new locations in airports and may not be able to secure new locations.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participate in the highly competitive and lucrative airport concessions industry, and as a result compete for retail leases with a variety of larger, better capitalized concessions companies as well as smaller, mid-tier and single unit operators. Frequently, an airport includes only one similar travel health and wellness concept per terminal within its retail offering and, in those instances, we compete primarily with these other concessionaires.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predict accurately or fulfill customer preferences or demands.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leases may be terminated, either for convenience by the landlord or because of a XpresSpa or Naples Wax default.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stores and kiosks in several airports and off airport locations in which the landlord, with prior written notice to us, can terminate our lease, including for convenience or as necessary for operations. If a landlord elects to terminate a lease, we may have to shut down one or more affected locations.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Additionally, our leases have numerous provisions governing the operation of our stores. Violation of one or more of these provisions, even unintentionally, may result in the landlord finding that we are in default of the lease. Violation of lease provisions may result in fines and, in some cases, termination of a lease.</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operate depends on the traffic patterns of the terminals in which we operate, and the cessation or disruption of air traveler traffic in these terminals would negatively impact XpresSpa’s and XpresTest’s addressable market.</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depend on a high volume of air travelers in its terminals. It is possible that a terminal in which we operate could become subject to a lower volume of air travelers, which would significantly impact traffic near and around our locations and therefore its total addressable market. Lower volume in a terminal could be caused by:</w:t>
      </w:r>
    </w:p>
    <w:p>
      <w:pPr>
        <w:spacing w:after="0" w:line="176" w:lineRule="exact"/>
        <w:rPr>
          <w:sz w:val="20"/>
          <w:szCs w:val="20"/>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 construction that results in the temporary or permanent closure of a unit, or adversely impacts the volume or pattern of traffic flows within an airport;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airline utilizing an airport in which we operate could abandon that airport or an individual terminal in favor of other airports or terminals, or because it is contracting operations; or</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could cause damage to the terminal or airport in which we operate, resulting in the temporary or permanent closure of a unit.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local partners.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local partners, including our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These concessions involve risks that are different from the risks involved in operating a concession independently, and include the possibility that our local partners:</w:t>
      </w:r>
    </w:p>
    <w:p>
      <w:pPr>
        <w:spacing w:after="0" w:line="162" w:lineRule="exact"/>
        <w:rPr>
          <w:sz w:val="20"/>
          <w:szCs w:val="20"/>
          <w:color w:val="auto"/>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a position to take action contrary to our instructions, our requests, our policies, our objectives or applicable laws;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actions that reduce our return on investment;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bankrupt or are otherwise unable to meet their capital contribution obligations;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economic or business interests or goals that are or become inconsistent with our business interests or goals; or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actions that harm our reputation or restrict our ability to run our business.</w:t>
      </w:r>
    </w:p>
    <w:p>
      <w:pPr>
        <w:spacing w:after="0" w:line="22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59"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Pursuant to ACDBE participation requirements, we are often required to meet, or use good faith efforts to meet, certain minimum ACDBE participation requirements when bidding on or submitting proposals for new concession contracts. If we are unable to find and/or partner with an appropriate ACDBE, we may lose opportunities to open new locations. In addition, several of our existing leases contain minimum ACDBE participation requirements which require the ACDBE to own a significant portion of the business being operated under those leases. The level of ACDBE participation requirements may affect our profitability and/or its ability to meet financial forecasts.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if we fail to comply with the minimum ACDBE participation requirements, we may be held responsible for a breach of contract, which could result in the termination of a lease and impairment of our ability to bid on or obtain future concession contracts. To the extent that our leases are terminated, and we are required to shut down one or more store locations, there could be a material adverse impact on our business and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Continued minimum wage increases could negatively impact our cost of labor.</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 increase in the minimum wage could increase our cost of labor and have an adverse impact on our business, financial condition, and results of operations.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9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also continually enhance or modify the technology used for our operations. We cannot be sure that any enhancements or other modifications we make to our operations will achieve the intended results or otherwise be of value to our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customers’ credit card data and other personal information, we could be exposed to data loss, litigation and liability, and our reputation could be significantly harmed.</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Privacy protection is increasingly demanding, and the use of electronic payment methods and collection of other personal information, including order history, travel history and other preferences, exposes us to increased risk of privacy and/or security breaches as well as other risks. Our sales are by credit or debit cards. Additionally, we collect and store personal information from individuals, including our customers and employees.</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the future, we may experience security breaches in which credit and debit card information or other personal information is stolen. Although we use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us. In addition, contractors, or third parties with whom we do business or to whom we outsource business operations may attempt to circumvent its security measures to misappropriate such information and may purposefully or inadvertently cause a breach involving such information. If a person can circumvent our security measures or those of third parties, he or she could destroy or steal valuable information or disrupt our operations. We may become subject to claims for purportedly fraudulent transactions arising out of the actual or alleged theft of credit or debit card information, and we may also be subject to lawsuits or other proceedings relating to these types of incidents. Any such claim or proceeding could cause us to incur significant unplanned expenses, which could have an adverse effect on its business or results of operations. Further, adverse publicity resulting from these allegations could significantly harm its reputation and may have a material adverse effect on it. Although we carry cyber liability insurance to protect against these risks, there can be no assurance that such insurance will provide adequate levels of coverage against all potential claims.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social media regarding XWELL, XpresSpa, XpresTest or Naples Wax Center could result in decreased revenues and impact our ability to recruit workers.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affinity among consumers is highly dependent on their positive feelings about our brands, our customer service and the range and quality of services and products that we offer. A negative customer experience that is posted to social media outlets and is distributed virally could tarnish each of the XpresSpa, XpresTest or Naples Wax Center brands and our customers may opt to no longer engage with that particular brand, or any of our brands.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employ people in multiple different jurisdictions, and the employment laws of those jurisdictions are subject to change. In addition, our services are regulated through government-issued operating licenses. Noncompliance with applicable laws could result in employee lawsuits or legal action taken by government authorities.</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must comply with a variety of employment and business practices laws across the United States, Netherlands, Turkey, and United Arab Emirates. We monitor the laws governing our activities, but in the event we do not become aware of a new regulation or fail to comply with a regulation, we could be subject to disciplinary action by governing bodies and potentially employee lawsuits.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source, develop, and sell products that may result in product liability defense costs and product liability payments.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products contain ingredients that are deemed to be safe by the FDA and the Federal Food, Drug and Cosmetics Act. However, there is no guarantee that these ingredients will not cause adverse health effects to some consumers given the wide range of ingredients and allergies amongst the general population. We may face substantial product liability exposure for products we sell to the public or that we use in our services. Product liability claims, regardless of their merits, could be costly and divert management’s attention, and adversely affect our reputation and the demand for our products and services. To date, we have not been named as a defendant in any product liability action.</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have been, are, and may again become involved in litigation that could divert management’s attention and harm our businesses.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Litigation is often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have the right to be indemnified against such costs, the indemnifying party may be unable to uphold its contractual obligations.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legislation, regulations or court rulings related to enforcing patents could harm our business and operating results.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way we conduct our business and negatively impact our business, prospects, financial condition, and results of operations.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or inability to protect the trademarks or other proprietary rights we use or claims of infringement by us of the rights of third parties, could adversely affect our competitive position or the value of our brands.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acquisitions or business opportunities could involve unknown risks that could harm our business and adversely affect our financial condition and the results of operations.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our due diligence investigations may not identify every matter that could have a material adverse effect on us. We may be unable to adequately address the financial, legal, and operational risks raised by such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international operations could result in additional costs and inefficiencies.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many of the risks we face in our U.S. operations, international operations present a unique set of risks and challenges, including local laws and customs, various and potentially complex international tax regulations and compliance requirements, U.S. laws applicable to foreign operations, and political and socio-economic conditions. Our ability to operate effectively and grow in international markets could be impacted by these risks resulting in legal liabilities, additional costs, and the distraction of management’s attention. Compliance with the Foreign Corrupt Practices Act and protection of intellectual property rights surrounding items such as trade names and trademarks in foreign jurisdictions can pose significant challenges.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our operations in international markets are conducted primarily in the local currency of those countries. Given that our Consolidated Financial Statements are denominated in U.S. dollars, amounts of assets, liabilities, net sales, and other revenues and expenses denominated in local currencies must be translated into U.S. dollars using exchange rates for the current period. As a result, foreign currency exchange rates and fluctuations in those rates may adversely impact our financial performance.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Capital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prices can be volatile, and this volatility may depress the price of our common stock.</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87"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key personnel, or our overall ability to retain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innovations by us or our competitors;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capital commitments, or new technologies;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regulatory pronouncements and changes in regulatory guidelines;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intellectual property rights generally;</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claims, and investigations that may be filed against us, and other events that may adversely affect our reputation;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introduce new products and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 and business plan and the effects that such financing may have on the value of the equity instruments held by our stockholders;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 skilled labor force and the costs associated;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retail locations, maintain existing ones, and ensure continued customer traffic at those locations;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significant suppliers;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trends in the health and wellness and travel industries and potential technology and service obsolescence;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quality, pricing, availability, and useful life of our products and/or services, as well as the mix of our products and services sold.</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current plans to pay dividends on our common stock, and our investors may not receive funds without selling their stock.</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nor do we expect to pay any cash dividends on our common stock for the foreseeable future. Additionally, so long as any shares of our Series H Preferred Stock are outstanding, as they are at this time, we are not able to, without the prior written consent of the Required Holders (as defined in the Series H Certificate of Designations), directly or indirectly, redeem, repurchase or declare or pay any cash dividend or distribution on any of our capital stock. Investors seeking cash dividends should not invest in our common stock for that purpose. We currently intend to retain any additional future earnings to finance our operations and growth and, therefore, we have no plans to pay cash dividends on our common stock currently.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Accordingly, our investors may have to sell some or all of their common stock to generate cash from their investment. You may not receive a gain on your investment when you sell our common stock and may lose the entire amount of your investment.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continued listing standards of Nasdaq provide, among other things, that a company may be delisted if the bid price of its stock drops below $1.00 for a period of 30 consecutive business days or if stockholders’ equity is less than $2,500,000. As of the date of this Annual Report on Form 10-K, we are now in compliance with the Minimum Bid Price Rule (as defined herein). In the past, we have failed to meet the continued listing requirements of Nasdaq. For example, on December 1, 2025, we received a letter from the Listing Qualifications Department of the Nasdaq Stock Market indicating that, based upon the closing bid price of our common stock for the 30 consecutive business days between October 17, 2025, to November 28, 2025, we did not meet the minimum bid price of $1.00 per share required for continued listing on the Nasdaq pursuant to Nasdaq Rule 5550(a)(2) (the “Minimum Bid Price Rule”). The letter also indicated that we will be provided with a compliance period of 180 days (until June 1, 2026) (the “Compliance Period”), in which to regain compliance pursuant to Nasdaq Listing Rule 5810(c)(3)(A). On March 11, 2026, we received a letter from the Listing Qualifications Department of Nasdaq stating that for the last 10 consecutive business days, from February 25, 2026, to March 10, 2026, the closing bid price of our common stock had been at or greater than $1.00 per share. Accordingly, we have regained compliance with the Minimum Bid Price Rule and per the Letter, the matter is now closed.</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in the future we seek to implement a reverse stock split to remain listed on Nasdaq, the announcement and/or implementation of a reverse stock split could significantly negatively affect the price of our common stock. We may be unable to regain compliance in the future if our stock price again falls below the minimum bid price. Additionally, if we fail to comply with any other continued listing standards of Nasdaq, our common stock would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The delisting of our common stock also would likely have a negative effect on the price of our common stock and would impair your ability to sell or purchase our common stock when you wish to do so. Further, if we were to be delisted from Nasdaq, our common stock would cease to be recognized as covered securities, and we would be subject to regulation in each state in which we offer our securities.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Should a delisting occur, an investor would likely find it significantly more difficult to dispose of, or to obtain accurate quotations as to the value of our shares, and our ability to raise future capital through the sale of our common stock could be severely limited.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The Series H Certificate of Designations contains restrictive covenants and terms that may make it difficult to procure additional financing and that may affect our financial condition and results of operations.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The Series H Certificate of Designations contains certain restrictive covenants including but not limited to, restrictions on directly or indirectly, redeeming, repurchasing or declaring or paying any cash dividend or distribution on any of our capital stock. Additionally, the Series H Preferred Stock also contains certain purchase rights (the “Purchase Rights”) permitting the holders of the Series H Preferred Stock to acquire upon the terms applicable to such Purchase Rights, the aggregate Purchase Rights which such holder could have acquired if such holder had held the number of shares of common stock acquirable upon complete conversion of all of its shares of Series H Preferred Stock. These restrictive covenants may may limit our flexibility in raising capital or incurring any indebtedness, which may have an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In connection with February 2026 Private Placement, we are subject to certain restrictive covenants that may make it difficult to procure additional financing.</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212529"/>
        </w:rPr>
        <w:t>The securities purchase agreement, dated as of February 24, 2026, by and between us and the investor named therein (the “February 2026 Purchase Agreement”), pursuant to which we issued in a private placement (the “February 2026 Private Placement”) the shares of Series H Preferred Stock, and warrants to purchase shares of common stock (the “February 2026 Warrants”), contains customary representations, warranties and agreements by the Company, customary conditions to closing and indemnification obligations of the Company, including for liabilities under the Securities Act and other obligations of the parties and termination provisions, including reservation requirements. In addition, pursuant to the placement agency agreement with Dominari Securities LLC (the “Placement Agent”), dated February 24, 2026, we agreed not to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in a Variable Rate Transaction (as defined therein) for period of six (6) month after the Closing of the February 2026 Private Placement.</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212529"/>
        </w:rPr>
        <w:t>If we require additional funding while these restrictive covenants remain in effect, we may be unable to effect a financing transaction on terms acceptable to us, or at all, while also remaining in compliance with the terms of the February 2026 Purchase Agreement, or we may be forced to seek a waiver from the investors party to the February 2026 Purchase Agreement and/or the Placement Agent, which such investors and/or the Placement Agent are not obligated to grant to us.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Substantial future sales or other issuances of our common stock could depress the market for our common stock.</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Sales of a substantial number of shares of our common stock and any future sales of a substantial number of shares of common stock in the public market, including the issuance of shares or any shares issuable upon conversion of the shares of Series H Preferred Stock or exercise of the February 2026 Warrants, among others,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In addition, as opportunities present themselves, we may enter into financing or similar arrangements in the future, including the issuance of debt securities, preferred stock or common stock, which could also depress the market for our common stock. We cannot predict the effect, if any, that market sales of those shares of common stock or the availability of those shares for sale will have on the market price of our common stock.</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You may experience future dilution as a result of future equity offerings and other issuances of our securities.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In order to raise additional capital, we may in the future offer additional shares of common stock or other securities convertible into or exchangeable for our common stock prices that may not be the same as the price per share paid by the investors in this offering.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stockholders. Our stockholders will incur dilution upon exercise of any outstanding stock options, warrants or other convertible securities or upon the issuance of shares of common stock under our stock incentive programs.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Future issuances of preferred stock may adversely affect the market price for our common stock.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212529"/>
        </w:rPr>
        <w:t>Additional issuances and sales of preferred stock, or the perception that such issuances and sales could occur, may cause prevailing market prices for common stock to decline and may adversely affect our ability to raise additional capital in the financial markets at times and prices favorable to 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Any additional capital raised through the sale of equity or equity-backed securities may dilute our stockholders’ ownership percentages and could also result in a decrease in the market value of our equity securities.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212529"/>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212529"/>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capital by offering shares of our common stock because we do not currently have enough authorized shares available for such a transaction.</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as amended (the “Charter”) we currently have only 1,896,776 authorized and unissued shares of common stock that would be available for offering in a capital-raising transaction. This number of shares would not be sufficient for raising a significant amount of capital by means of an offering of shares. In order to increase the number of authorized shares of common stock, our Charter would need to be amended, which may only be done by the vote of our stockholders. Calling a meeting of our stockholders involves a significant amount of time and expense and, in any event, should such a meeting be called for the purpose of increasing the number of authorized shares of common stock, there can be no assurance that our stockholders would vote in favor of such a proposal. The fact that we do not currently have enough authorized shares available for a capital-raising transaction may make us dependent on alternative means of raising capital in order to continue our operations, and there can be no assurance that such alternative means may be available to us on acceptable terms or at all.</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has historically traded in low volumes. We cannot predict whether an active trading market for our common stock will ever develop. Even if an active trading market develops, the market price of our common stock may be significantly volatile.</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Historically, our common stock has experienced a lack of consistent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75" w:lineRule="exact"/>
        <w:rPr>
          <w:sz w:val="20"/>
          <w:szCs w:val="20"/>
          <w:color w:val="auto"/>
        </w:rPr>
      </w:pPr>
    </w:p>
    <w:p>
      <w:pPr>
        <w:jc w:val="both"/>
        <w:ind w:left="60" w:right="59"/>
        <w:spacing w:after="0" w:line="243" w:lineRule="auto"/>
        <w:rPr>
          <w:sz w:val="20"/>
          <w:szCs w:val="20"/>
          <w:color w:val="auto"/>
        </w:rPr>
      </w:pPr>
      <w:r>
        <w:rPr>
          <w:rFonts w:ascii="Times New Roman" w:cs="Times New Roman" w:eastAsia="Times New Roman" w:hAnsi="Times New Roman"/>
          <w:sz w:val="18"/>
          <w:szCs w:val="18"/>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percent vote of our stockholders other than the “interested stockholder,” each as specifically provided in Section 203.</w:t>
      </w:r>
    </w:p>
    <w:p>
      <w:pPr>
        <w:spacing w:after="0" w:line="20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our bylaws, each as currently in effect, also contain certain provisions that may delay, discourage, or make it more difficult for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its purpose, the Section 382 Rights Plan could have the effect of making it uneconomical for a third party to acquire us on a hostile basis.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the price of our common stock could decline.</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availability of research and reports that third-party industry or financial analysts publish about us. There are many large, publicly traded companies active in the life sciences and biopharmaceutical industries, which may mean it will be less likely that we receive widespread analyst coverage. Furthermore, if one or more of the analysts who do cover our company (if any) downgrades our stock, our stock price would likely decline. If one or more of these analysts cease coverage of our company, we could lose visibility in the market, which in turn could cause our stock price to decline. Additionally, if securities analysts publish negative evaluations of competitors in the life sciences and biopharmaceutical industries, the comparative effect could cause our stock price to decline.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Section 12b-2 of the Exchange Act, a “smaller reporting company” is a company that is not an investment company, an asset-backed issuer, or a majority-owned subsidiary of a parent company that is not a smaller reporting company, and (i) has a public float of less than $250 million as measured on the last business day of our second fiscal quarter, or (ii) has annual revenues of less than $100 million during the most recently completed fiscal year and whose value of common stock held by non-affiliates is less than $700 million as measured on the last business day of the second fiscal quarter.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because of our having availed ourselves of scaled disclosure may make it harder for investors to analyze our results of operations and financial prospects.</w:t>
      </w:r>
    </w:p>
    <w:p>
      <w:pPr>
        <w:spacing w:after="0" w:line="190"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Furthermore, we are a non-accelerated filer as defined by Rule 12b-2 of the Exchange Act, and, as such, are not required to provide an auditor attestation of management’s assessment of internal control over financial reporting, which is generally required for SEC reporting companies under Section 404(b) of the Sarbanes-Oxley Act. Because we are not required to, and have not, had our auditor provide an attestation of our management’s assessment of internal control over financial reporting, a material weakness in internal controls may remain undetected for a longer period.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If some investors find our securities less attractive as a result, there may be a less active trading market for our securities and the price of our securities may be more volatile.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confidential information may be disclosed by other parties.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publicly announced financial guidance or other expectations about our business, which would cause our stock to decline in value.</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operate in the health and wellness sector, which faces various cybersecurity risks that could adversely impact our business, financial condition, and operations. These risks include, but are not limited to, potential attacks to steal intellectual property, commit fraud or extortion, harm employees or customers, violate privacy laws, or damage our reputation. Recognizing the importance of cybersecurity, we have measures in place to protect sensitive information and prevent data loss or other security breaches. Management is actively involved in continuously assessing and addressing privacy and compliance cybersecurity threats through prevention, detection, and response.</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current program was established in 2022 and is based on the NIST Cybersecurity Framework (“NIST CSF”), outlining governance, policies, procedures, and technologies to identify and manage cyber risks. Our Director of Data Privacy &amp; Security and the Privacy &amp; Compliance Committee (“Committee”) oversee day-to-day cybersecurity activities, supported by our managed service provider (“MSP”) partner. The Director of Data Privacy &amp; Security is a highly qualified cybersecurity governance practitioner with industry credentials such as Certified Information Systems Security Professional (CISSP), Certified Cloud Security Professional (CCSP), Project Management Professional (PMP), and Certified Secure Software Lifecycle Professional (CSSLP) amongst others. The Committee provides oversight and receives regular updates on program status, capabilities, objectives, and evolving threats. The Committee members include our Director of Data Privacy &amp; Security and Director of Technology Operations. In the event of a cybersecurity incident, the Committee would then be expanded to include our General Counsel. Data is collected and reviewed as needed and reviewed weekly by our Director of Technology Operations. The Committee reviews all potential incidents as well as all remediation and future mitigation measures. Formal updates regarding potential incidents and/or other cybersecurity initiatives are provided to our CEO on an as-needed basis, and our CEO communicates such incidents and/or cybersecurity initiatives to the Audit Committee of the Board of Directors (the “Audit Committee”). Depending on the materiality of a potential incident and/or cybersecurity initiatives, the Committee will present all information directly to the Audit Committee.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cybersecurity program implements a defense-in-depth strategy, ensuring comprehensive safeguards are in place across various security domains. These include Intrusion Detection Firewalls (IPS/IDS) with Advanced malware prevention (AMP), Azure Conditional Access Policies, Multi-Factor Authentication (MFA), Identity and Access Management (IAM), Vulnerability Management, Endpoint Detection and Response (EDR) using CrowdStrike Falcon Complete with Managed Detection and Response (MDR), Data Loss Prevention (DLP), Barracuda XDR for Security Information Event Management (SIEM) and ongoing Security Awareness and Phishing Simulation exercises via KnowBe4 aimed at mitigating the risk of social engineering attacks, and Mobile Device Security Management. A robust incident response system is in place via our MSP partner to handle all security incidents including email (malware, phishing, etc.), cloud, endpoint, data loss prevention alerts and incidents across the organization. Our information security governance is underpinned by standards and policies documents that are reviewed by the Committee and updated annually by the Director of Data Privacy &amp; Security.</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Selection of domain areas for monitoring was based on a risk-based approach aligned with the NIST CSF and accounted for the current threat landscape. Through risk assessments evaluating threats, vulnerabilities, and potential impacts, domains are prioritized by severity and likelihood. This allows us to focus our monitoring strategy and resources on the highest risk areas while adapting to the evolving cybersecurity environment.</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When a security threat is detected, we follow an established process of threat identification and validation: assessment of the severity based on affected assets and potential impacts; evaluation of overall risk as it relates to our risk tolerance; planning and executing a response plan with mitigating actions; continuous monitoring and adjustment of the response; and conducting a post-incident review to identify lessons learned from such event and preventative measures.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Key risks that have been deemed material include, but are not limited to, the potential for data exfiltration from unmanaged devices, insufficient staffing, and tools due to recent budgetary reductions, increased risk of managing of personal information, potentially ineffective cybersecurity governance due to singular reporting structure, and lack of visibility and protection for the remote workforce.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While no major incident has significantly impacted our business, operations or financial condition, a breach could damage our reputation, disrupt operations, and trigger legal or regulatory actions, among others. We currently have cyber insurance to help cover potential impacts. Our disclosure outlines program highlights while summarizing key risks and plans to continue maturing cybersecurity capabilities to safeguard the business.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oversight of risks from cybersecurity threats in conjunction with the Committee. The Audit Committee receives quarterly reports and updates from the Committee with respect to the management of risks from cybersecurity threats. Such reports cover our information technology security program, including its status, capabilities, objectives, and plans, as well as the evolving cybersecurity threat landscape. Additionally, the Audit Committee considers risks from cybersecurity threats as part of its oversight of our business strategy, risk management, and financial oversight by reviewing our incident and response matrix, as well as unmediated threats. In addition, The Committee will provide a mitigation and remediation roadmap based on threat criticality for review by the Audit Committee.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leverage the advice of our MSP partner to actively monitor our networks and software through their dedicated security operations center. We also have policies and procedures to oversee and identify the risks from cybersecurity threats associated with our use of third-party service providers.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 third-party risk management program was established in 2022, defining four vendor risk tiers based on data sensitivity, regulatory requirements, and service criticality. All vendors undergo risk assessments, with Tier 1 and 2 high-risk vendors facing more rigorous reviews during onboarding, offboarding, and annual recertifications. Vendors complete risk control surveys, with additional documentation like SOC reports requested from Tier 1 and 2 vendors depending on their risk profile. Each vendor is scored based on service type and data and their responses to the questionnaire. This risk-based approach ensures proper oversight of vendor relationships and informs decisions on both who and how we choose to partner.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besides our Global Support Center at 254 West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18"/>
          <w:szCs w:val="18"/>
          <w:color w:val="auto"/>
        </w:rPr>
        <w:t xml:space="preserve"> Street in New York City, XWELL had 35 spas and wellness centers in 31 airport and off-airport locations, in the United States, Netherlands, Turkey, and the United Arab Emirates. All of the locations as of that date were leased, typically with one or two renewal options after the initial term. Economic terms vary by type and location of store, and on average, the lease terms are 5-10 years with several locations operating on a month-to-month basis. We believe that our facility and our leases are adequate to accommodate our business needs.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of our outstanding legal matters include speculative claims for substantial or indeterminate amounts of damages. We regularly evaluate developments in our legal matters that could affect the amount of any potential liability and adjust as appropriate. Significant judgment is required to determine both the likelihood of there being any potential liability and the estimated amount of a loss related to our legal matters.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respect to our outstanding legal matters, based on our current knowledge, our management believes that the amount or range of a potential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 We evaluated the outstanding legal matters and assessed the probability and likelihood of the occurrence of liability. Based on management’s estimates, we did not record a liability for all outstanding legal matters as of December 31, 2025. Related legal fees are recorded in the period in which they are incurred.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November 2025 Employment Litigation</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November 10, 2025, a former employee filed a complaint in the Circuit Court of the Eleventh Judicial Circuit in and for Miami-Dade County, Florida, against XpresSpa Holdings, LLC. The action was subsequently removed to the United States District Court for the Southern District of Florida on January 15, 2026.</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complaint alleged claims for age discrimination and retaliation under the Age Discrimination in Employment Act and the Florida Civil Rights Act, disability discrimination under the Americans with Disabilities Act and the Florida Civil Rights Act, and retaliation under Title VII and the Florida Civil Rights Act. The plaintiff alleged, among other things, that they were subjected to age-based and disability-related harassment and that their employment was terminated on July 25, 2024, in retaliation for complaints of discrimination. The complaint sought compensatory and punitive damages, backpay, front pay or reinstatement, injunctive relief, and attorneys’ fees.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denied the allegations and any liability. In order to avoid the expense and uncertainty of further litigation, the parties entered into a confidential settlement agreement. Under the terms of the agreement, the Company agreed to pay a de minimis settlement amount, allocated among alleged lost wages, non-wage damages, and attorneys’ fees. In exchange, the plaintiff agreed to dismiss the action with prejudice and to provide a general release of claims against the Company and related parties. The agreement includes customary provisions regarding confidentiality, non-disparagement, and no admission of liability.</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does not expect this matter to have a material adverse effect on its financial condition, results of operations, or cash flows.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OTG Management PHL B v. XpresSpa Philadelphia Terminal B et al.</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failing to commence and maintain operations, refusing to pay rent and improperly purporting to terminate the lease (among other acts and omissions), XWELL breached the lease. On June 20, 2024, an Order to Settle, Discontinue and End with Prejudice was filed as to all claims.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CPC Pain &amp; Wellness SPV, LLC</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July 19, 2024, CPC Pain &amp; Wellness SPV, LLC (“CPC”), a recently formed special purpose vehicle that announced it had acquired a 9.42% stake in XWELL in June 2024, filed suit in the Court of Chancery of the State of Delaware against the Company, Chairman Bruce T. Bernstein, and directors Michael Lebowitz, Robert Weinstein, Gaëlle Wizenberg, and Scott R. Milford (the “Action”). In the Action, CPC alleged, in pertinent part, that the Board of Directors breached their fiduciary duties and that the Company and Board of Directors engaged in an unlawful, unenforceable, and inequitable application of the Company’s Third Amended and Restated Bylaws to reject CPC’s notice of intent to propose its own slate of directors for election at the 2024 annual meeting of stockholders. On August 2, 2024, the Court set the Action for trial on September 18-19, 2024. The Company has vigorously defended these claims. As a result of the Company’s efforts, on August 9, 2024, CPC dismissed all claims in the Action, agreed to irrevocably withdraw its nominations, and agreed not assert any claims related to the 2024 annual meeting.</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Settlement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August 5, 2024, the Company, XpresSpa Middle East B.V., and certain parties thereto (such parties, the “Settlor Parties” entered into a Settlement Agreement (the “Settlement Agreement”), pursuant to which the Company agreed to issue an aggregate of 416,000 shares of common stock (the “Settlement Shares”) which were issued on August 6, 2024,and have a fair market value of $2.26 per share to the Settlor Parties in consideration for their entry into the Settlement Agreement. The Settlement Shares were not registered under the Securities Act of 1933, as amended (the “Securities Act”),and were issued in reliance on one or more exemptions from registration under the Securities Act, including pursuant to Rule 903 of Regulation S under the Securities Act.</w:t>
      </w:r>
    </w:p>
    <w:p>
      <w:pPr>
        <w:spacing w:after="0" w:line="187"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XpresSpa Holdings, LLC (“XpresSpa”) v. Cordial Endeavor Concessions of Atlanta, LLC (“Cordial”), et al., Arbitration Case No. 2126399</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The Company’s subsidiary, XpressSpa Holdings, LLC, is party to an arbitration proceeding (the “Arbitration”) which was mandated by the City of Atlanta, Georgia related to the Operating Agreements by and between Cordial and XpresSpa for the operation of the XpresSpa locations in Hartsfield-Jackson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w:t>
      </w:r>
    </w:p>
    <w:p>
      <w:pPr>
        <w:spacing w:after="0" w:line="16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dispute arises out of the alleged breaches of varies contracts between the parties as well as other improper conduct relating to the Operating Agreements. The matter is currently in the closing stages of arbitration. The evidentiary proceedings have concluded, and while the arbitrator has not yet issued a decision, a final judgment remains pending.</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Arrangements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May 16, 2025, the Company entered into a sales and marketing agreement with a vendor that obligates the Company to make payments totaling $662 over the next three years.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event that an action is brought against the Company or one of its subsidiaries, the Company will investigate the allegation and vigorously defend itself.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event that an action is brought against the Company or one of its subsidiaries, the Company will investigate the allegation and vigorously defend itself.</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Market Information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25, 2022, the Company changed its name to XWELL, Inc. from XpresSpa Group, Inc. The Company’s common stock, par value $0.01 per share, which had previously been listed under the trading symbol “XSPA” on the Nasdaq Capital Market, now trades under the trading symbol “XWEL” since the opening of the trading market on October 25, 2022. The Company filed an amended and restated certificate of incorporation with the Delaware Secretary of State on October 24, 2022, reflecting the name change. Rebranding to XWELL aligned the Company’s corporate strategy to build a pure-play wellness services company, in both the airport and off-airport marketplaces.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March 26, 2026, we had 90 stockholders of record of the 7,926,766 outstanding shares of our common stock and 1 stockholder of record of the 31,333 outstanding shares of our Series H Preferred Stock. This does not reflect persons or entities that hold their stock in nominee or “street” name through various brokerage firms</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Dividend Policy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on our capital stock in the foreseeable future. Additionally, so long as any shares of our Series H Preferred Stock are outstanding, as they are at this time, we are not able to, without the prior written consent of the Required Holders (as defined in the Series H Certificate of Designations), directly or indirectly, redeem, repurchase or declare or pay any cash dividend or distribution on any of our capital stock (other than as required by the Series H Certificate of Designations).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Unregistered Sales of Equity Securities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sales of unregistered securities during the year ended December 31, 2025, were previously disclosed in a Quarterly Report on Form 10-Q or a Current Report on Form 8-K.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Unless otherwise stated, dollar amounts are provided in thousands, except share and per share data.</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 and Outlook</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that our company is well positioned to benefit from consumers’ growing interest and pent-up demand in travel health and wellness and increasing demand for health and wellness related services and products. Our go-forward plan includes the expansion and integration of products and services across our brands; the right-sizing of our existing airport portfolio to a leaner and more profitable business; the execution of an ‘off-airport’ strategy through acquisition to deliver more products and services, which will serve as a catalyst for our future growth; the implementation of an international expansion plan; and ensuring we can scale our growth in a responsible way that drives shareholder value. Through right sizing our existing business, optimizing our cost structure, and making acquisitions that further leverage the strength of our brand portfolio, XWELL is positioning itself for both financial and operational growth now and in the future. However, these plans are not finalized or fully within the Company’s control, and there is uncertainty regarding their execution and effectiveness. As noted previously in these financial statements, management has concluded that substantial doubt exists about the Company’s ability to continue as a going concern for at least one year from the date these financial statements are issued. The consolidated financial statements do not include any adjustments that might result from the outcome of this uncertainty.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January 2025 Private Placement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14, 2025, the Company entered into a securities purchase agreement with the investors named therein (the “January 2025 Investors”), pursuant to which the Company issued and sold on January 14, 2025, in a private placement (the “January 2025 Private Placement”), (i) an aggregate of 4,000 shares of the Company’s newly-designated Series G Convertible Preferred Stock, par value $0.01 per share and stated value of $1,000 per share (the “Stated Value”) (the “Series G Preferred Stock”), initially convertible into up to 2,673,797 shares of common stock at a conversion price of $1.496 per share (the “Series G Preferred Stock”), (ii) Series A warrants (the “Series A Warrants”) to acquire up to an aggregate of 2,673,797 shares of common stock at an exercise price of $1.496 per share, and (iii) Series B warrants (the “Series B Warrants” and collectively, with the Series A Warrants, the “Warrants”) to acquire up to an aggregate of 2,673,797 shares of common stock at an exercise price of $1.7952 per share. Each share of Series G Preferred Stock and accompanying Warrants were sold together at a combined offering price of $1,000. The January 2025 Private Placement closed on January 14,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May 2025 Warrant Amendment</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May 16, 2025, the Company entered into an omnibus amendment (the “Warrant Amendment”) with each of the holders of the Series A Warrants and Series B Warrants. The Warrant Amendment makes certain adjustments to the definition of a “Fundamental Transaction” in each of the Warrants, as described in the Warrant Amendment, including changing the scope of the definition applicable to tender or exchange offers that the Company makes, allows one or more Subject Entities (as defined in the Warrant Agreement) to make, or allows the Company to be subject to, to require such a tender or exchange offer to represent more than 50% of the outstanding voting power of the Company. Further, the Warrant Amendment modifies certain terms of the Warrants relating to the rights of the holders in the event of a Fundamental Transaction (as defined in each of the Series A Warrants and Series B Warrants, and as each amended by the Warrant Amendment) that is not within the Company’s control, including that upon a Fundamental Transaction not being approved by the Company’s Board of Directors, the holders of the Warrants shall only be entitled to receive from the Company or any successor entity the same type or form of consideration (and in the same proportion), at the Black Scholes Value (as defined in each of the Series A Warrants and Series B Warrants and as each amended by the Warrant Amendment, as described below) of the unexercised portion of such Warrants, that is being offered and paid to the holders of the Company’s Common Stock. In addition, the Amendment revises the definition of Black Scholes Value related to the volatility input which is now an expected volatility equal to the 30 day volatility obtained from the “HVT” function on Bloomberg (determined utilizing a 365 day annualization factor) as of the trading day immediately following the earliest to occur of (1) the public disclosure of the applicable Fundamental Transaction and (2) the date of a holder’s request.</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November 2025 Exchange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November 3, 2025, the Company entered into a Securities Exchange and Amendment Agreement (the “Exchange Agreement”) with the January 2025 Investors, pursuant to which, the Company exchanged a portion of the Company’s outstanding shares of Series G Preferred Stock, including all accrued and unpaid dividends thereon equal to $1,800 in aggregate Stated Value, held by the January 2025 Investors, for senior secured convertible notes (collectively, the “Notes”) in the aggregate principal amount of $3,387 (collectively, the “Exchange”). The Notes were convertible into shares of the Company’s Common Stock in accordance with their terms and were secured by a first priority security interest in the assets of the Company and its subsidiaries. The Exchange closed on November 10, 2025 (the “Closing Date”).</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the Exchange, the Company and the January 2025 Investors agreed to (A) amend certain terms of the Company’s Series G Preferred Stock as set forth in a Certificate of Amendment (the “Certificate of Amendment”) to the Certificate of Designations of the Series G Convertible Preferred Stock (the “Certificate of Designations”) as described below, and (B) amend and restate the January 2025 Investors’ (i) Series A warrants (the “Amended and Restated Series A Warrants”) and (ii) Series B Warrants (the “Amended and Restated Series B Warrants” and, collectively with the Amended and Restated Series A Warrants, the “Amended and Restated Warrants”) to (A) reduce the exercise price of the Warrants to $1.00, and (B) add certain anti-dilution provisions such that the exercise price of the Warrants will be subject to price-based adjustment in the event of any issuances of Common Stock, or securities convertible, exercisable or exchangeable for Common Stock, at a price below the then-applicable exercise price.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February 2026 Private Placement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24, 2026, the Company entered into the February 2026 Purchase Agreement with the a certain accredited investor (the “February 2026 Purchaser”) for the issuance and sale in a private placement of an aggregate of (i) 31,333 shares of the Company’s newly-designated Series H Convertible Preferred Stock, par value of $0.01 per share and a stated value of $1,000 per share (the “Series H Preferred Stock”), initially convertible into up to 66,665,957 shares of common stock, at an initial conversion price of $0.47 per share, subject to adjustment for certain customary adjustments, and (ii) the warrants (the “February 2026 Warrants”) to purchase up to 66,665,957 shares of common stock, at an initial exercise price of $0.345 per share, subject to adjustment for certain customary adjustments, for aggregate gross proceeds of approximately $31,300. The February 2026 Warrants expire three years from the date of issuance. The February 2026 Private Placement closed on February 27,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connection with the February 2026 Private Placement, pursuant to a placement agency agreement (the “Placement Agency Agreement”), dated as of February 24, 2026, by and between the Company and Dominari Securities LLC (the “Placement Agent”), the Company engaged the Placement Agent to act as an exclusive placement agent in connection with the February 2026 Private Placement and agreed to (i) pay to the Placement Agent (a) a cash fee equal to 8% of the gross proceeds of the February 2026 Private Placement and (b) reimbursements and payments of certain expenses, including non-accountable expense allowance equal to 1% of the gross proceeds raised in the February 2026 Private Placement and reasonable out-of-pocket expenses, not to exceed $250, and (ii) issue to the Placement Agent warrants (the “Placement Agent Warrants”) to purchase up to an aggregate number of shares of Common Stock equal to 8% of the aggregate number of shares of common stock underlying the securities issued in the February 2026 Private Placement, with terms identical to the February 2026 Warrants, except that the Placement Agent Warrants have a term of five (5) years from the date of issuance. The Placement Agency Agreement contains customary representations, warranties and agreements of the parties, and customary indemnification obligations of the Company.</w:t>
      </w:r>
    </w:p>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connection with the February 2026 Private Placement, the Company entered into a registration rights agreement (the “Registration Rights Agreement”) with the February 2026 Purchaser and the Placement Agent, pursuant to which the Company has agreed to prepare and file a registration statement with the SEC registering the resale of the shares of common stock underlying the Series H Preferred Stock and shares of common stock underlying the February 2026 Warrants and the Placement Agent Warrants no later than the earlier of (a) 50 days after the later of (1) the closing date of the February 2026 Private Placement or (2) the Escrow Release Date (as defined in the Registration Rights Agreement) and</w:t>
      </w:r>
    </w:p>
    <w:p>
      <w:pPr>
        <w:spacing w:after="0" w:line="5" w:lineRule="exact"/>
        <w:rPr>
          <w:sz w:val="20"/>
          <w:szCs w:val="20"/>
          <w:color w:val="auto"/>
        </w:rPr>
      </w:pPr>
    </w:p>
    <w:p>
      <w:pPr>
        <w:jc w:val="both"/>
        <w:ind w:left="60" w:right="59" w:hanging="10"/>
        <w:spacing w:after="0" w:line="253" w:lineRule="auto"/>
        <w:tabs>
          <w:tab w:leader="none" w:pos="33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trading day following the date on which the Company files its Annual Report on Form 10-K for the year ended December 31, 2025 (the “Filing Deadline”), and to use best efforts to have the registration statement declared effective as promptly as practical thereafter, and in any event no later than 60 days following the Filing Deadline (or 90 days following the Filing Deadline in the event of a “full review” by the SEC).</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used the net proceeds from the February 2026 Private Placement, in part, to repurchase certain outstanding indebtedness, redeem previously issued preferred equity and warrants in the Repurchase (see below February 2026 Omnibus Agreement).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February 2026 Omnibus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24, 2026, the Company entered into the Omnibus Agreement, by and between the Company and January 2025 Investors, pursuant to which, the Company agreed to (i) repurchase from the January 2025 Investors $5,673 of aggregate principal amount of the Notes, representing the entire outstanding principal amounts of the Notes and any accrued and unpaid interest thereon, (ii) redeem 196 shares of Series G Preferred Stock held by the January 2025 Investors, including $283 of accrued and unpaid dividends thereon, representing all outstanding shares of Series G Preferred Stock, and (iii) redeem all Amended and Restated Warrants held by the January 2025 Investors, representing all outstanding Series A Warrants and Series B Warrants, for an aggregate cash purchase price of $9,000 (collectively, the “Repurchase”). The Repurchase closed on March 2, 2026.</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March 4, 2026, the Company filed a Certificate of Elimination (the “Certificate of Elimination”) with respect to its Series G Preferred Stock, with the Delaware Secretary of State. The Certificate of Elimination (i) eliminates the previous designation of 4,000 shares of Series G Preferred Stock, none of which were outstanding at the time of filing, (ii) causes such shares of Series G Preferred Stock to resume the status of authorized but unissued shares of preferred stock of the Company and (iii) eliminates all reference to the Series G Preferred Stock from the Company’s Amended and Restated Certificate of Incorporation, as amended.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terms of the Preferred Stock are set forth in the respective Certificate of Designations. The shares of Series H Preferred Stock are convertible into the Conversion Shares at the election of the holders of the Series H Preferred Stock (the “Holders”) at any time at an initial conversion price of $0.47 per share (the “Conversion Price”). The Conversion Price is subject to customary adjustments for stock dividends, stock splits, reclassifications, stock combinations and the like.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Holder of the Series H Preferred Stock may not convert any portion of the Preferred Stock to the extent that the Holder, together with its affiliates, would beneficially own more than 4.99% of the Company’s outstanding shares of Common Stock immediately after conversion, except that upon at least 61 days’ prior notice from the Holder to the Company, the Holder may increase the beneficial ownership limitation to up to 9.99% of the number of shares of Common Stock outstanding immediately after giving effect to the conversion.</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Pursuant to the Certificate of Designations, so long as any shares of the Series H Preferred Stock are outstanding, the Company may not, directly or indirectly, redeem, or declare or pay any cash dividend or distribution on, any securities of the Company without the prior express written consent of the Required Holders (as defined in the Certificate of Designations). In the event that dividends are consented to by the Required Holders, the Holders of the Series H Preferred Stock shall be entitled to receive dividends on shares of the Series H Preferred Stock equal (on an as-if-converted-to-Common-Stock basis) to and in the same form as dividends actually paid on shares of the Common Stock when, as and if such dividends are paid on shares of the Common Stock. No other dividends may be paid on shares of the Series H Preferred Stock.</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Except as otherwise provided in the Certificate of Designations or as otherwise required by law, the Series H Preferred Stock will have no voting rights except as provided by law. However, as long as any shares of Preferred Stock are outstanding, the Company may not, without the affirmative vote at a meeting duly called for such purpose, or the written consent without a meeting, of the Required Holders, voting together as a single class, (a) amend or repeal any provision of, or add any provision to, its charter documents, including, without limitation, its Certificate of Incorporation or bylaws, the Certificate of Designation, or file any certificate of designations or articles of amendment of any series of shares of preferred stock, in each case, only if such action would adversely alter or change in any respect the preferences, rights, privileges or powers, or restrictions provided for the benefit, of the Series H Preferred Stock, regardless of whether any such action shall be by means of amendment to the Certificate of Incorporation or by merger, consolidation or otherwise;</w:t>
      </w:r>
    </w:p>
    <w:p>
      <w:pPr>
        <w:spacing w:after="0" w:line="6" w:lineRule="exact"/>
        <w:rPr>
          <w:sz w:val="20"/>
          <w:szCs w:val="20"/>
          <w:color w:val="auto"/>
        </w:rPr>
      </w:pPr>
    </w:p>
    <w:p>
      <w:pPr>
        <w:jc w:val="both"/>
        <w:ind w:left="60" w:right="59" w:hanging="10"/>
        <w:spacing w:after="0" w:line="253" w:lineRule="auto"/>
        <w:tabs>
          <w:tab w:leader="none" w:pos="3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(other than by conversion) the authorized number of shares of the Preferred Stock; (c) create or authorize (by reclassification or otherwise) any new class or series of shares that has a preference over the Preferred Stock with respect to dividends or the distribution of assets on the liquidation, dissolution or winding up of the Company; (d) pay dividends or make any other distribution on any shares of any capital stock of the Company junior in rank to the Preferred Stock; or (e) whether or not prohibited by the terms of the Preferred Stock, circumvent a right of the Preferred Stock.</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Preferred Stock and the Company does not intend to list the Series H Preferred Stock on any national securities exchange or nationally recognized trading system.</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exercise price of the Warrants is subject to customary adjustments for stock dividends, stock splits, reclassifications and the like. A holder of the Warrants may not exercise any portion of such holder’s Warrants to the extent that the holder, together with its affiliates, would beneficially own more than 4.99%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and the Company does not intend to list the Warrants on any national securities exchange or nationally recognized trading system.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 Forma Financial Statements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Private Placement and Repurchase (collectively, the “Restructuring”) represent a significant restructuring of the Company’s capital including a significant repayment of debt. The accompanying unaudited pro forma consolidated balance sheet as of December 31, 2025 is presented as if the Restructuring had occurred on December 31, 2025. The Restructuring is not expected to have an impact on the Company’s consolidated statements of operations and thus no pro forma consolidated statement of operations is presented.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These unaudited pro forma condensed consolidated financial statements have been prepared in accordance with Article 11 of Regulation S-X and do not include all of the information and note disclosures required by generally accepted accounting principles of the United States.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is subject to the assumptions and adjustments described in the accompanying notes. These assumptions and adjustments are based on information presently available. Actual adjustments may differ materially from the information presented. The unaudited pro forma consolidated financial statements are based on the historical financial statements of the Company for each period presented and in the opinion of the Company’s management, all adjustments and disclosures necessary for a fair presentation of the pro forma data have been made. These unaudited pro forma consolidated financial statements are presented for illustrative purposes only and are not necessarily indicative of the results of operations or financial condition that would have been achieved had events reflected been completed as of the dates indicated and may not be useful in predicting the impact of the reflected transactions on the future financial condition and results of operations of the Company due to a variety of factors.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pro forma adjustments are based upon available information and certain assumptions that we believe are reasonable. The unaudited pro forma consolidated financial statements are for illustrative and informational purposes only and do not purport to represent what our financial position or results of operations would have been if the proposed transactions had actually occurred as of the dates indicated, nor does it project our financial position at any future date or our results of operations or cash flows for any future period.</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adjustments in the unaudited pro forma consolidated financial information have been identified and presented to provide relevant information necessary for an illustrative understanding of XWELL, Inc. upon consummation of the Restructuring. The unaudited pro forma transaction accounting adjustments presented in the accompanying notes represent management’s estimates based on information available as of the date of these unaudited pro forma consolidated financial statements and are subject to change as additional information becomes available and analyses are performed.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CONSOLIDATED BALANCE SHEET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 Private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Adjustments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40" w:type="dxa"/>
            <w:vAlign w:val="bottom"/>
          </w:tcPr>
          <w:p>
            <w:pPr>
              <w:ind w:left="44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24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Placement</w:t>
            </w:r>
          </w:p>
        </w:tc>
        <w:tc>
          <w:tcPr>
            <w:tcW w:w="260" w:type="dxa"/>
            <w:vAlign w:val="bottom"/>
            <w:gridSpan w:val="2"/>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Repurchase</w:t>
            </w:r>
          </w:p>
        </w:tc>
        <w:tc>
          <w:tcPr>
            <w:tcW w:w="24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42"/>
        </w:trPr>
        <w:tc>
          <w:tcPr>
            <w:tcW w:w="4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assets: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28,047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88"/>
              </w:rPr>
              <w:t xml:space="preserve">(a) </w:t>
            </w:r>
            <w:r>
              <w:rPr>
                <w:rFonts w:ascii="Times New Roman" w:cs="Times New Roman" w:eastAsia="Times New Roman" w:hAnsi="Times New Roman"/>
                <w:sz w:val="13"/>
                <w:szCs w:val="13"/>
                <w:color w:val="auto"/>
                <w:w w:val="88"/>
              </w:rPr>
              <w:t>$</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w:t>
            </w:r>
            <w:r>
              <w:rPr>
                <w:rFonts w:ascii="Times New Roman" w:cs="Times New Roman" w:eastAsia="Times New Roman" w:hAnsi="Times New Roman"/>
                <w:sz w:val="13"/>
                <w:szCs w:val="13"/>
                <w:b w:val="1"/>
                <w:bCs w:val="1"/>
                <w:color w:val="auto"/>
              </w:rPr>
              <w:t>(b)</w:t>
            </w: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21,664</w:t>
            </w:r>
          </w:p>
        </w:tc>
        <w:tc>
          <w:tcPr>
            <w:tcW w:w="0" w:type="dxa"/>
            <w:vAlign w:val="bottom"/>
          </w:tcPr>
          <w:p>
            <w:pPr>
              <w:spacing w:after="0"/>
              <w:rPr>
                <w:sz w:val="1"/>
                <w:szCs w:val="1"/>
                <w:color w:val="auto"/>
              </w:rPr>
            </w:pPr>
          </w:p>
        </w:tc>
      </w:tr>
      <w:tr>
        <w:trPr>
          <w:trHeight w:val="148"/>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Marketable Securities</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0" w:type="dxa"/>
            <w:vAlign w:val="bottom"/>
          </w:tcPr>
          <w:p>
            <w:pPr>
              <w:spacing w:after="0"/>
              <w:rPr>
                <w:sz w:val="1"/>
                <w:szCs w:val="1"/>
                <w:color w:val="auto"/>
              </w:rPr>
            </w:pPr>
          </w:p>
        </w:tc>
      </w:tr>
      <w:tr>
        <w:trPr>
          <w:trHeight w:val="149"/>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Inventory</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current assets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0" w:type="dxa"/>
            <w:vAlign w:val="bottom"/>
          </w:tcPr>
          <w:p>
            <w:pPr>
              <w:spacing w:after="0"/>
              <w:rPr>
                <w:sz w:val="1"/>
                <w:szCs w:val="1"/>
                <w:color w:val="auto"/>
              </w:rPr>
            </w:pPr>
          </w:p>
        </w:tc>
      </w:tr>
      <w:tr>
        <w:trPr>
          <w:trHeight w:val="142"/>
        </w:trPr>
        <w:tc>
          <w:tcPr>
            <w:tcW w:w="4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current assets</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5,910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28,047</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24,957</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w:t>
            </w:r>
          </w:p>
        </w:tc>
        <w:tc>
          <w:tcPr>
            <w:tcW w:w="0" w:type="dxa"/>
            <w:vAlign w:val="bottom"/>
          </w:tcPr>
          <w:p>
            <w:pPr>
              <w:spacing w:after="0"/>
              <w:rPr>
                <w:sz w:val="1"/>
                <w:szCs w:val="1"/>
                <w:color w:val="auto"/>
              </w:rPr>
            </w:pPr>
          </w:p>
        </w:tc>
      </w:tr>
      <w:tr>
        <w:trPr>
          <w:trHeight w:val="148"/>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Intangible assets, net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lease right of use assets, net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0" w:type="dxa"/>
            <w:vAlign w:val="bottom"/>
          </w:tcPr>
          <w:p>
            <w:pPr>
              <w:spacing w:after="0"/>
              <w:rPr>
                <w:sz w:val="1"/>
                <w:szCs w:val="1"/>
                <w:color w:val="auto"/>
              </w:rPr>
            </w:pPr>
          </w:p>
        </w:tc>
      </w:tr>
      <w:tr>
        <w:trPr>
          <w:trHeight w:val="148"/>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1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Security deposits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2,127</w:t>
            </w:r>
          </w:p>
        </w:tc>
        <w:tc>
          <w:tcPr>
            <w:tcW w:w="0" w:type="dxa"/>
            <w:vAlign w:val="bottom"/>
          </w:tcPr>
          <w:p>
            <w:pPr>
              <w:spacing w:after="0"/>
              <w:rPr>
                <w:sz w:val="1"/>
                <w:szCs w:val="1"/>
                <w:color w:val="auto"/>
              </w:rPr>
            </w:pPr>
          </w:p>
        </w:tc>
      </w:tr>
      <w:tr>
        <w:trPr>
          <w:trHeight w:val="149"/>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42"/>
        </w:trPr>
        <w:tc>
          <w:tcPr>
            <w:tcW w:w="45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11,217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28,047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(9,000)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30,264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2,836</w:t>
            </w:r>
          </w:p>
        </w:tc>
        <w:tc>
          <w:tcPr>
            <w:tcW w:w="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2,836</w:t>
            </w:r>
          </w:p>
        </w:tc>
        <w:tc>
          <w:tcPr>
            <w:tcW w:w="0" w:type="dxa"/>
            <w:vAlign w:val="bottom"/>
          </w:tcPr>
          <w:p>
            <w:pPr>
              <w:spacing w:after="0"/>
              <w:rPr>
                <w:sz w:val="1"/>
                <w:szCs w:val="1"/>
                <w:color w:val="auto"/>
              </w:rPr>
            </w:pPr>
          </w:p>
        </w:tc>
      </w:tr>
      <w:tr>
        <w:trPr>
          <w:trHeight w:val="148"/>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right"/>
              <w:ind w:right="64"/>
              <w:spacing w:after="0"/>
              <w:rPr>
                <w:sz w:val="20"/>
                <w:szCs w:val="20"/>
                <w:color w:val="auto"/>
              </w:rPr>
            </w:pPr>
            <w:r>
              <w:rPr>
                <w:rFonts w:ascii="Times New Roman" w:cs="Times New Roman" w:eastAsia="Times New Roman" w:hAnsi="Times New Roman"/>
                <w:sz w:val="13"/>
                <w:szCs w:val="13"/>
                <w:color w:val="auto"/>
              </w:rPr>
              <w:t>(35)</w:t>
            </w:r>
            <w:r>
              <w:rPr>
                <w:rFonts w:ascii="Times New Roman" w:cs="Times New Roman" w:eastAsia="Times New Roman" w:hAnsi="Times New Roman"/>
                <w:sz w:val="13"/>
                <w:szCs w:val="13"/>
                <w:b w:val="1"/>
                <w:bCs w:val="1"/>
                <w:color w:val="auto"/>
              </w:rPr>
              <w:t>(b)</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2,905</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Series G Convertible Preferred payable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(538)</w:t>
            </w:r>
            <w:r>
              <w:rPr>
                <w:rFonts w:ascii="Times New Roman" w:cs="Times New Roman" w:eastAsia="Times New Roman" w:hAnsi="Times New Roman"/>
                <w:sz w:val="13"/>
                <w:szCs w:val="13"/>
                <w:b w:val="1"/>
                <w:bCs w:val="1"/>
                <w:color w:val="auto"/>
              </w:rPr>
              <w:t>(b)</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1,862</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revenue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w:t>
            </w:r>
          </w:p>
        </w:tc>
        <w:tc>
          <w:tcPr>
            <w:tcW w:w="0" w:type="dxa"/>
            <w:vAlign w:val="bottom"/>
          </w:tcPr>
          <w:p>
            <w:pPr>
              <w:spacing w:after="0"/>
              <w:rPr>
                <w:sz w:val="1"/>
                <w:szCs w:val="1"/>
                <w:color w:val="auto"/>
              </w:rPr>
            </w:pPr>
          </w:p>
        </w:tc>
      </w:tr>
      <w:tr>
        <w:trPr>
          <w:trHeight w:val="149"/>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Convertible senior secured note, net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right"/>
              <w:ind w:right="64"/>
              <w:spacing w:after="0"/>
              <w:rPr>
                <w:sz w:val="20"/>
                <w:szCs w:val="20"/>
                <w:color w:val="auto"/>
              </w:rPr>
            </w:pPr>
            <w:r>
              <w:rPr>
                <w:rFonts w:ascii="Times New Roman" w:cs="Times New Roman" w:eastAsia="Times New Roman" w:hAnsi="Times New Roman"/>
                <w:sz w:val="13"/>
                <w:szCs w:val="13"/>
                <w:color w:val="auto"/>
              </w:rPr>
              <w:t>(3,590)</w:t>
            </w:r>
            <w:r>
              <w:rPr>
                <w:rFonts w:ascii="Times New Roman" w:cs="Times New Roman" w:eastAsia="Times New Roman" w:hAnsi="Times New Roman"/>
                <w:sz w:val="13"/>
                <w:szCs w:val="13"/>
                <w:b w:val="1"/>
                <w:bCs w:val="1"/>
                <w:color w:val="auto"/>
              </w:rPr>
              <w:t>(b)</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4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current liabilities</w:t>
            </w: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12,892</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(4,163)</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8,729</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liabilities: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liability</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right"/>
              <w:ind w:right="64"/>
              <w:spacing w:after="0"/>
              <w:rPr>
                <w:sz w:val="20"/>
                <w:szCs w:val="20"/>
                <w:color w:val="auto"/>
              </w:rPr>
            </w:pPr>
            <w:r>
              <w:rPr>
                <w:rFonts w:ascii="Times New Roman" w:cs="Times New Roman" w:eastAsia="Times New Roman" w:hAnsi="Times New Roman"/>
                <w:sz w:val="13"/>
                <w:szCs w:val="13"/>
                <w:color w:val="auto"/>
              </w:rPr>
              <w:t>(3,870)</w:t>
            </w:r>
            <w:r>
              <w:rPr>
                <w:rFonts w:ascii="Times New Roman" w:cs="Times New Roman" w:eastAsia="Times New Roman" w:hAnsi="Times New Roman"/>
                <w:sz w:val="13"/>
                <w:szCs w:val="13"/>
                <w:b w:val="1"/>
                <w:bCs w:val="1"/>
                <w:color w:val="auto"/>
              </w:rPr>
              <w:t>(b)</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7,035</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liabilities</w:t>
            </w: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23,797</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(8,033)</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15,764</w:t>
            </w: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Temporary Equity</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5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Series G Convertible Preferred Stock, $0.01 par value per share and $1,000</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stated value per share, 4,000 shares authorized; 196 shares issued and</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4"/>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(224)</w:t>
            </w:r>
            <w:r>
              <w:rPr>
                <w:rFonts w:ascii="Times New Roman" w:cs="Times New Roman" w:eastAsia="Times New Roman" w:hAnsi="Times New Roman"/>
                <w:sz w:val="13"/>
                <w:szCs w:val="13"/>
                <w:b w:val="1"/>
                <w:bCs w:val="1"/>
                <w:color w:val="auto"/>
              </w:rPr>
              <w:t>(b)</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3"/>
        </w:trPr>
        <w:tc>
          <w:tcPr>
            <w:tcW w:w="4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as of December 31, 2025; Liquidation preference of $380 as of</w:t>
            </w: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gridSpan w:val="4"/>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45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2025</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5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Common Stock, $0.01 par value per share, 150,000,000 shares authorized;</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9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6,071,324 shares issued and outstanding as of December 31, 2025</w:t>
            </w: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5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Series H Convertible Preferred Stock, $0.01 par value per share and $1,000</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stated value per share, 35,000 shares authorized; 31,333 shares issued and</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w:t>
            </w: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3"/>
        </w:trPr>
        <w:tc>
          <w:tcPr>
            <w:tcW w:w="4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on a pro forma basis as of December 31, 2025; Liquidation</w:t>
            </w:r>
          </w:p>
        </w:tc>
        <w:tc>
          <w:tcPr>
            <w:tcW w:w="12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gridSpan w:val="3"/>
            <w:vMerge w:val="continue"/>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45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preference of $31,333 as of December 31, 2025.</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468,915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28,047</w:t>
            </w:r>
          </w:p>
        </w:tc>
        <w:tc>
          <w:tcPr>
            <w:tcW w:w="260" w:type="dxa"/>
            <w:vAlign w:val="bottom"/>
            <w:gridSpan w:val="2"/>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160" w:type="dxa"/>
            <w:vAlign w:val="bottom"/>
            <w:gridSpan w:val="4"/>
          </w:tcPr>
          <w:p>
            <w:pPr>
              <w:jc w:val="right"/>
              <w:ind w:right="64"/>
              <w:spacing w:after="0"/>
              <w:rPr>
                <w:sz w:val="20"/>
                <w:szCs w:val="20"/>
                <w:color w:val="auto"/>
              </w:rPr>
            </w:pPr>
            <w:r>
              <w:rPr>
                <w:rFonts w:ascii="Times New Roman" w:cs="Times New Roman" w:eastAsia="Times New Roman" w:hAnsi="Times New Roman"/>
                <w:sz w:val="13"/>
                <w:szCs w:val="13"/>
                <w:color w:val="auto"/>
              </w:rPr>
              <w:t>(743)</w:t>
            </w:r>
            <w:r>
              <w:rPr>
                <w:rFonts w:ascii="Times New Roman" w:cs="Times New Roman" w:eastAsia="Times New Roman" w:hAnsi="Times New Roman"/>
                <w:sz w:val="13"/>
                <w:szCs w:val="13"/>
                <w:b w:val="1"/>
                <w:bCs w:val="1"/>
                <w:color w:val="auto"/>
              </w:rPr>
              <w:t>(b)</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496,219</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(489,697)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(489,697)</w:t>
            </w: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2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0" w:type="dxa"/>
            <w:vAlign w:val="bottom"/>
          </w:tcPr>
          <w:p>
            <w:pPr>
              <w:spacing w:after="0"/>
              <w:rPr>
                <w:sz w:val="1"/>
                <w:szCs w:val="1"/>
                <w:color w:val="auto"/>
              </w:rPr>
            </w:pPr>
          </w:p>
        </w:tc>
      </w:tr>
      <w:tr>
        <w:trPr>
          <w:trHeight w:val="142"/>
        </w:trPr>
        <w:tc>
          <w:tcPr>
            <w:tcW w:w="4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deficit attributable to XWELL, Inc.</w:t>
            </w: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(22,262)</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28,047</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(743)</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5,042</w:t>
            </w:r>
          </w:p>
        </w:tc>
        <w:tc>
          <w:tcPr>
            <w:tcW w:w="0" w:type="dxa"/>
            <w:vAlign w:val="bottom"/>
          </w:tcPr>
          <w:p>
            <w:pPr>
              <w:spacing w:after="0"/>
              <w:rPr>
                <w:sz w:val="1"/>
                <w:szCs w:val="1"/>
                <w:color w:val="auto"/>
              </w:rPr>
            </w:pPr>
          </w:p>
        </w:tc>
      </w:tr>
      <w:tr>
        <w:trPr>
          <w:trHeight w:val="149"/>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9,458</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(12,804)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28,047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14,500</w:t>
            </w:r>
          </w:p>
        </w:tc>
        <w:tc>
          <w:tcPr>
            <w:tcW w:w="0" w:type="dxa"/>
            <w:vAlign w:val="bottom"/>
          </w:tcPr>
          <w:p>
            <w:pPr>
              <w:spacing w:after="0"/>
              <w:rPr>
                <w:sz w:val="1"/>
                <w:szCs w:val="1"/>
                <w:color w:val="auto"/>
              </w:rPr>
            </w:pPr>
          </w:p>
        </w:tc>
      </w:tr>
      <w:tr>
        <w:trPr>
          <w:trHeight w:val="142"/>
        </w:trPr>
        <w:tc>
          <w:tcPr>
            <w:tcW w:w="4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11,217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28,047</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30,264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UNAUDITED PRO FORMA CONSOLIDATED FINANCIAL STATEMENTS</w:t>
      </w:r>
    </w:p>
    <w:p>
      <w:pPr>
        <w:spacing w:after="0" w:line="229" w:lineRule="exact"/>
        <w:rPr>
          <w:sz w:val="20"/>
          <w:szCs w:val="20"/>
          <w:color w:val="auto"/>
        </w:rPr>
      </w:pPr>
    </w:p>
    <w:p>
      <w:pPr>
        <w:jc w:val="both"/>
        <w:ind w:left="380" w:right="79" w:hanging="330"/>
        <w:spacing w:after="0" w:line="258"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Private Placement Closing. The Company incurred an estimated $3,286 in cash transaction costs directly attributable to the Private Placement, resulting in total net proceeds of $28,047. The Preferred Stock, Warrants, and Placement Agent Warrants were determined to meet the criteria to be classified in equity pursuant to Accounting Standards Codification (“ASC”) Topic 815 – Derivatives and Hedging and ASC Topic 480 – Distinguishing Liabilities from Equity.</w:t>
      </w:r>
    </w:p>
    <w:p>
      <w:pPr>
        <w:spacing w:after="0" w:line="183"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Repurchase. The Repurchase represents an extinguishment of the Notes (including all accrued interest and the settlement of the bifurcated derivative liability) which were held by a related party and concurrent redemption of the Series G Preferred Shares (including the settlement of the bifurcated derivative liability) and Series Warrants. The excess of the $9,000 cash purchase price over the aggregate carrying value of the instruments is recognized as an equity distribution from additional paid-in capital.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Nasdaq Minimum Bid Price Requirement</w:t>
      </w:r>
    </w:p>
    <w:p>
      <w:pPr>
        <w:spacing w:after="0" w:line="229"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7"/>
          <w:szCs w:val="17"/>
          <w:color w:val="auto"/>
        </w:rPr>
        <w:t>On December 1, 2025, we received a letter (the “Letter”) from the Listing Qualifications Department of the Nasdaq Stock Market indicating that, based upon the closing bid price of our common stock for the 30 consecutive business days between October 17, 2025, to November 28, 2025, we did not meet the minimum bid price of $1.00 per share required for continued listing on the Nasdaq pursuant to Nasdaq Listing Rule 5550(a)(2) (the “Minimum Bid Price Rule”). The letter also indicated that we will be provided with a compliance period of 180 days (until June 1, 2026) (the “Compliance Period”), in which to regain compliance pursuant to Nasdaq Listing Rule 5810(c)(3)(A). On March 11, 2026, we received a letter from the Listing Qualifications Department of Nasdaq stating that for the last 10 consecutive business days, from February 25, 2026, to March 10, 2026, the closing bid price of our common stock had been at or greater than $1.00 per share. Accordingly, we have regained compliance with the Minimum Bid Price Rule and per the Letter, the matter is now closed.</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the year ended December 31, 2024</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3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10"/>
        </w:trPr>
        <w:tc>
          <w:tcPr>
            <w:tcW w:w="3560" w:type="dxa"/>
            <w:vAlign w:val="bottom"/>
          </w:tcPr>
          <w:p>
            <w:pPr>
              <w:spacing w:after="0"/>
              <w:rPr>
                <w:sz w:val="18"/>
                <w:szCs w:val="18"/>
                <w:color w:val="auto"/>
              </w:rPr>
            </w:pPr>
          </w:p>
        </w:tc>
        <w:tc>
          <w:tcPr>
            <w:tcW w:w="25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Inc/(Dec)</w:t>
            </w:r>
          </w:p>
        </w:tc>
      </w:tr>
      <w:tr>
        <w:trPr>
          <w:trHeight w:val="209"/>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net</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(4,687)</w:t>
            </w:r>
          </w:p>
        </w:tc>
      </w:tr>
      <w:tr>
        <w:trPr>
          <w:trHeight w:val="20"/>
        </w:trPr>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total revenues decreased $4,687, or 14%. The decrease was driven primarily by a decline in revenues within the XpresTest segment, reflecting reduced testing volumes. This decrease was partially offset by modest growth in service revenues from newly opened Naples Wax locations.</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3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10"/>
        </w:trPr>
        <w:tc>
          <w:tcPr>
            <w:tcW w:w="3560" w:type="dxa"/>
            <w:vAlign w:val="bottom"/>
          </w:tcPr>
          <w:p>
            <w:pPr>
              <w:spacing w:after="0"/>
              <w:rPr>
                <w:sz w:val="18"/>
                <w:szCs w:val="18"/>
                <w:color w:val="auto"/>
              </w:rPr>
            </w:pPr>
          </w:p>
        </w:tc>
        <w:tc>
          <w:tcPr>
            <w:tcW w:w="25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Inc/(Dec)</w:t>
            </w:r>
          </w:p>
        </w:tc>
      </w:tr>
      <w:tr>
        <w:trPr>
          <w:trHeight w:val="209"/>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(3,274)</w:t>
            </w:r>
          </w:p>
        </w:tc>
      </w:tr>
      <w:tr>
        <w:trPr>
          <w:trHeight w:val="20"/>
        </w:trPr>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total cost of sales decreased $3,274, or 13%. The decrease in total cost of sales was primarily driven by the closure of the Treat business and 3 XpresSpa locations that were under performing. The largest components in the cost of sales for that segment are labor costs at the location-level. Total cost of sales also includes rent and related occupancy costs, which primarily includes rent based on percentage of sales, as well as other product costs directly associated with the procurement of retail inventory, and other operating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45"/>
        </w:trPr>
        <w:tc>
          <w:tcPr>
            <w:tcW w:w="4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20" w:type="dxa"/>
            <w:vAlign w:val="bottom"/>
            <w:tcBorders>
              <w:bottom w:val="single" w:sz="8" w:color="auto"/>
            </w:tcBorders>
          </w:tcPr>
          <w:p>
            <w:pPr>
              <w:spacing w:after="0"/>
              <w:rPr>
                <w:sz w:val="24"/>
                <w:szCs w:val="24"/>
                <w:color w:val="auto"/>
              </w:rPr>
            </w:pPr>
          </w:p>
        </w:tc>
      </w:tr>
      <w:tr>
        <w:trPr>
          <w:trHeight w:val="209"/>
        </w:trPr>
        <w:tc>
          <w:tcPr>
            <w:tcW w:w="4060" w:type="dxa"/>
            <w:vAlign w:val="bottom"/>
          </w:tcPr>
          <w:p>
            <w:pPr>
              <w:spacing w:after="0"/>
              <w:rPr>
                <w:sz w:val="18"/>
                <w:szCs w:val="18"/>
                <w:color w:val="auto"/>
              </w:rPr>
            </w:pPr>
          </w:p>
        </w:tc>
        <w:tc>
          <w:tcPr>
            <w:tcW w:w="20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Inc/(Dec)</w:t>
            </w:r>
          </w:p>
        </w:tc>
      </w:tr>
      <w:tr>
        <w:trPr>
          <w:trHeight w:val="21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depreciation and amortization expense decreased $76, or 8%, compared to the depreciation and amortization expense recorded during the year ended December 31, 2024. The decrease was primarily due to fewer long-lived assets available for depreciation and amortization in 2025 as compared to 2024 due the impairment of long-lived assets which occurred in the latter half of fiscal year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disposal of assets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impairment charges for the years ended December 31, 2025 and 2024, recorded on the consolidated statement of operations and comprehensive loss: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4680" w:type="dxa"/>
            <w:vAlign w:val="bottom"/>
          </w:tcPr>
          <w:p>
            <w:pPr>
              <w:spacing w:after="0"/>
              <w:rPr>
                <w:sz w:val="18"/>
                <w:szCs w:val="18"/>
                <w:color w:val="auto"/>
              </w:rPr>
            </w:pPr>
          </w:p>
        </w:tc>
        <w:tc>
          <w:tcPr>
            <w:tcW w:w="1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Inc/(Dec)</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operating lease right-of-use assets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bl>
    <w:p>
      <w:pPr>
        <w:spacing w:after="0" w:line="19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identified triggering events and completed an assessment of the Company’s property and equipment, intangible assets and right of use lease assets for impairment as of December 31, 2025 and 2024. As of December 31, 2025, the Company recorded an impairment of property and equipment, intangible assets, and right of use lease assets of approximately $2,529, $620 and $1,736, respectively, as compared to December 31, 2024 of approximately $1,706, $5, and $2,805 impairment of property and equipment, intangible assets, and right of use lease assets, respectively.</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after recording ASC 360 long-lived asset impairments, the Company evaluated goodwill for impairment under ASC 350 using a qualitative assessment. In the absence of a contemporaneous quantitative valuation, and considering persistent losses, negative projected cash flows, and other adverse indicators, management concluded it was more-likely-than-not that the reporting unit’s fair value did not exceed it’s carrying amount. The Company therefore recorded a full impairment as of December 31, 2025, related to the Goodwill associated with the Naples Wax business, and as a result recognized an impairment charge of $1,389.</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No impairment for goodwill was recognized as of December 31, 2024.</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5"/>
        </w:trPr>
        <w:tc>
          <w:tcPr>
            <w:tcW w:w="5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10"/>
        </w:trPr>
        <w:tc>
          <w:tcPr>
            <w:tcW w:w="5460" w:type="dxa"/>
            <w:vAlign w:val="bottom"/>
          </w:tcPr>
          <w:p>
            <w:pPr>
              <w:spacing w:after="0"/>
              <w:rPr>
                <w:sz w:val="18"/>
                <w:szCs w:val="18"/>
                <w:color w:val="auto"/>
              </w:rPr>
            </w:pPr>
          </w:p>
        </w:tc>
        <w:tc>
          <w:tcPr>
            <w:tcW w:w="6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Inc/(Dec)</w:t>
            </w:r>
          </w:p>
        </w:tc>
      </w:tr>
      <w:tr>
        <w:trPr>
          <w:trHeight w:val="21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(4,082)</w:t>
            </w:r>
          </w:p>
        </w:tc>
      </w:tr>
      <w:tr>
        <w:trPr>
          <w:trHeight w:val="20"/>
        </w:trPr>
        <w:tc>
          <w:tcPr>
            <w:tcW w:w="5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general and administrative expenses decreased by $4,082 or 20%, which was primarily due to rightsizing our existing business and optimizing our cost structure. We have significantly reduced operating and overhead expenses while we continue to focus on returning to overall profitability.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investments, realized and unrealized</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5"/>
        </w:trPr>
        <w:tc>
          <w:tcPr>
            <w:tcW w:w="4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60" w:type="dxa"/>
            <w:vAlign w:val="bottom"/>
            <w:tcBorders>
              <w:bottom w:val="single" w:sz="8" w:color="auto"/>
            </w:tcBorders>
          </w:tcPr>
          <w:p>
            <w:pPr>
              <w:spacing w:after="0"/>
              <w:rPr>
                <w:sz w:val="24"/>
                <w:szCs w:val="24"/>
                <w:color w:val="auto"/>
              </w:rPr>
            </w:pPr>
          </w:p>
        </w:tc>
      </w:tr>
      <w:tr>
        <w:trPr>
          <w:trHeight w:val="209"/>
        </w:trPr>
        <w:tc>
          <w:tcPr>
            <w:tcW w:w="4580" w:type="dxa"/>
            <w:vAlign w:val="bottom"/>
          </w:tcPr>
          <w:p>
            <w:pPr>
              <w:spacing w:after="0"/>
              <w:rPr>
                <w:sz w:val="18"/>
                <w:szCs w:val="18"/>
                <w:color w:val="auto"/>
              </w:rPr>
            </w:pPr>
          </w:p>
        </w:tc>
        <w:tc>
          <w:tcPr>
            <w:tcW w:w="15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Inc/(Dec)</w:t>
            </w:r>
          </w:p>
        </w:tc>
      </w:tr>
      <w:tr>
        <w:trPr>
          <w:trHeight w:val="21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investments, realized and unrealized</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4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the decrease is primarily driven by the decrease in marketable securities balance in 2025 as compared to 2024. Gain on investments is affected by the adjustments to the fair value of our equity investments, which could fluctuate materially from period to period. The fair value of these instruments depends on a variety of assumptions.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expenses, net</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4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4220" w:type="dxa"/>
            <w:vAlign w:val="bottom"/>
          </w:tcPr>
          <w:p>
            <w:pPr>
              <w:spacing w:after="0"/>
              <w:rPr>
                <w:sz w:val="18"/>
                <w:szCs w:val="18"/>
                <w:color w:val="auto"/>
              </w:rPr>
            </w:pPr>
          </w:p>
        </w:tc>
        <w:tc>
          <w:tcPr>
            <w:tcW w:w="1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8"/>
                <w:szCs w:val="18"/>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Inc/(Dec)</w:t>
            </w: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1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100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(395)</w:t>
            </w:r>
          </w:p>
        </w:tc>
      </w:tr>
      <w:tr>
        <w:trPr>
          <w:trHeight w:val="216"/>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4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increase in foreign exchange loss of $395 was primarily due to the fluctuation of the foreign exchange rate in Turkey, creating a remeasurement loss on our lease liability. The decrease in other non-operating expense of $44, net was primarily driven by a decrease in finance expenses related to bank fees and charges.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the transactions included in other non-operating expenses, net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80" w:type="dxa"/>
            <w:vAlign w:val="bottom"/>
            <w:vMerge w:val="restart"/>
          </w:tcPr>
          <w:p>
            <w:pPr>
              <w:ind w:left="64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fees and financing charges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fair value of warrants and derivatives</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5"/>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30"/>
        </w:trPr>
        <w:tc>
          <w:tcPr>
            <w:tcW w:w="6580" w:type="dxa"/>
            <w:vAlign w:val="bottom"/>
            <w:vMerge w:val="restart"/>
          </w:tcPr>
          <w:p>
            <w:pPr>
              <w:ind w:left="64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issuance of Series G Preferred Stock</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change in fair value of derivatives and warrant liabilities during the year ended December 31, 2025 primarily reflects changes in the Company’s stock price and the impact of amendments to certain outstanding warrant agreements entered into in November 2025 in connection with the Securities Exchange and Amendment Agreement with holders of the Company’s Series G Convertible Preferred Stock. As part of this transaction, certain warrants were amended and restated and a portion of the outstanding Series G Convertible Preferred Stock was exchanged for senior secured convertible notes. These modifications affected the valuation assumptions used in measuring the related derivative and warrant liabilities at fair value. The loss on issuance is due to the initial fair value of the Series G Preferred Stock exceeding the fair value of the proceeds received.</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 net</w:t>
            </w: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45"/>
        </w:trPr>
        <w:tc>
          <w:tcPr>
            <w:tcW w:w="3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20" w:type="dxa"/>
            <w:vAlign w:val="bottom"/>
            <w:tcBorders>
              <w:bottom w:val="single" w:sz="8" w:color="auto"/>
            </w:tcBorders>
          </w:tcPr>
          <w:p>
            <w:pPr>
              <w:spacing w:after="0"/>
              <w:rPr>
                <w:sz w:val="24"/>
                <w:szCs w:val="24"/>
                <w:color w:val="auto"/>
              </w:rPr>
            </w:pPr>
          </w:p>
        </w:tc>
      </w:tr>
      <w:tr>
        <w:trPr>
          <w:trHeight w:val="210"/>
        </w:trPr>
        <w:tc>
          <w:tcPr>
            <w:tcW w:w="3700" w:type="dxa"/>
            <w:vAlign w:val="bottom"/>
          </w:tcPr>
          <w:p>
            <w:pPr>
              <w:spacing w:after="0"/>
              <w:rPr>
                <w:sz w:val="18"/>
                <w:szCs w:val="18"/>
                <w:color w:val="auto"/>
              </w:rPr>
            </w:pPr>
          </w:p>
        </w:tc>
        <w:tc>
          <w:tcPr>
            <w:tcW w:w="2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Inc/(Dec)</w:t>
            </w:r>
          </w:p>
        </w:tc>
      </w:tr>
      <w:tr>
        <w:trPr>
          <w:trHeight w:val="209"/>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3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increase of $281 was primarily driven by the recognition of $473 in interest income associated with the employee retention credit, partially offset by lower interest earned on cash balances during the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Company’s estimated aggregate total NOLs were $150,926 for U.S. federal purposes, expiring 20 years from the respective tax years to which they relate, and $127,912 for U.S. federal purposes with an indefinite life due to new regulations in the TCJA. of 2017.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An IRC Section 382 Study has not yet been completed.</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did not have any material unrecognized tax benefits as of December 31, 2025. We do not expect to record any additional material provisions for unrecognized tax benefits within the next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Liquidity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approximately $2,617, marketable securities of $7, total current assets of $5,910, total current liabilities of $12,892, and long term operating lease liabilities of $7,035. The Company’s working capital was in a deficit position at December 31, 2025, compared with a working capital surplus of $6,113 at December 31, 2024. These conditions, together with historical operating losses and negative cash flows from operations, previously raised substantial doubt about the Company’s ability to continue as a going concern within one year after the issuance of these financial statements.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February 24, 2026, the Company announced it had entered into a securities purchase agreement for a private placement of Series H Convertible Preferred Stock and accompanying warrants, which is expected to result in gross proceeds of approximately $31,300 before fees and expenses. The private placement was priced at-the-market under Nasdaq rules and closed on February 26, 2026. As described in the announcement, the Company intends to use a portion of the proceeds to repurchase certain outstanding notes, redeem the Company’s Series G Preferred Stock and certain warrants, with the remainder used for general corporate purposes and working capital needs.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Management evaluated the impact of this financing, together with the Company’s current operating plan, on the Company’s liquidity and capital resources for the twelve months following the issuance of these financial statements. The expected net proceeds from the Series H transaction are anticipated to eliminate the Company’s working capital deficit and provide sufficient liquidity to fund operations for at least the next twelve months. On this basis, management has concluded that the conditions that previously raised substantial doubt about the Company’s ability to continue as a going concern have been alleviated as of the date these financial statements are issued.</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as a going concern and do not include any adjustments that might result if the Company were unable to continue as a going concern.</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5"/>
        </w:trPr>
        <w:tc>
          <w:tcPr>
            <w:tcW w:w="4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43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net cash used in operating activities was $8,713 compared to net cash used in operating activities during the year ended December 31, 2024 of $11,005. The decrease in net cash used in operating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activities was primarily due the Company’s reduction of operating and overhead expenses such as lower occupancy costs in 2025 as compared to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investing activities was $4,332, compared to net cash provided by investing activities during the year ended December 31, 2024 of $5,895. Cash provided in 2025 came primarily from the sale of marketable securities of approximately $7,391, partially offset by the purchase of $2,964 of property and equipment. Cash provided in 2024 came primarily from the sale of marketable securities of approximately $7,986, partially offset by the purchase of 1,783 of property and equipment.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financing activities increased by $583, primarily reflecting $4,000 of net proceeds from the January 2025 Private Placement, partially offset by financing cash outflows. During the year ended December 31, 2024, net cash provided by financing activities increased by $1,359 primarily due to the net proceeds received from the August 2024 Registered Direct Offering (as defined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August 2024 Registered Direct Offering</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6, 2024, we entered into a securities purchase agreement with certain institutional and accredited investors, pursuant to which we agreed to sell and issue in a registered direct offering (the “August 2024 Registered Direct Offering”), an aggregate of 652,705 shares (the “August 2024 Shares”) of our common stock. The gross proceeds to us from the August 2024 Registered Direct Offering, prior to deducting estimated fees and expenses of $100, were approximately $1,400. The August 2024 Registered Direct Offering closed on August 8,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August 2024 Shares were offered and sold pursuant to a shelf registration statement on Form S-3 (File No. 333-273726), previously filed with the SEC on August 4, 2023, and declared effective by the SEC on September 29, 2023, and the base prospectus included therein.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January 2025 Private Placement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January 14, 2025, we entered into a January 2025 Purchase Agreement with the January 2025 Investors, pursuant to which we sold to the January 2025 Investors: (i) an aggregate of 4,000 shares of Series G Preferred Stock, initially convertible into up to 2,673,797 shares of the Company’s common stock at a conversion price of $1.496 per share, (ii) Series A Warrants to acquire up to an aggregate of 2,673,797 shares of common stock at an exercise price of $1.496 per share, and (iii) Series B Warrants to acquire up to an aggregate of 2,673,797 shares of common stock at an exercise price of $1.7952 per share.</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closing of the Private Placement occurred on January 14, 2025 (the “Closing Date”). The aggregate gross proceeds from the Private Placement were $4,000.</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February 2026 Private Placement of Preferred Shares and Warrants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February 24, 2026, the Company entered into the February 2026 Purchase Agreement with the February 2026 Purchaser for the issuance and sale in a private placement of an aggregate of (i) 31,333 shares of the Company’s newly-designated Series H Convertible Preferred Stock, with a par value of $0.01 per share and a stated value of $1,000 per share, initially convertible into up to 66,665,957 shares of Common Stock, at an initial conversion price of $0.47 per share, subject to adjustment for certain customary adjustments, and (ii) the February 2026 Warrants to purchase up to 66,665,957 shares of Common Stock, at an initial exercise price of $0.345 per share, subject to adjustment for certain customary adjustments. The February 2026 Warrants expire three years from the date of issuance. The February 2026 Private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Placement closed on February 27, 2026. Gross proceeds from the issuance are expected to be approximately $31,300 before fees and expenses.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Nasdaq Minimum Bid Price Requirement</w:t>
      </w:r>
    </w:p>
    <w:p>
      <w:pPr>
        <w:spacing w:after="0" w:line="22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December 1, 2025, we received the Letter from the Listing Qualifications Department of the Nasdaq Stock Market indicating that, based upon the closing bid price of our common stock for the 30 consecutive business days between October 17, 2025, to November 28, 2025, we did not meet the minimum bid price of $1.00 per share required for continued listing on the Nasdaq pursuant to the Minimum Bid Price Rule. The letter also indicated that we will be provided with a compliance period of 180 days (until June 1, 2026), in which to regain compliance pursuant to Nasdaq Listing Rule 5810(c)(3)(A). On March 11, 2026, we received a letter from the Listing Qualifications Department of Nasdaq stating that for the last 10 consecutive business days, from February 25, 2026, to March 10, 2026, the closing bid price of our common stock had been at or greater than $1.00 per share. Accordingly, we have regained compliance with the Minimum Bid Price Rule and per the Letter, the matter is now closed.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 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financial statements that require estimation but are not deemed critical, as defined above.</w:t>
      </w:r>
    </w:p>
    <w:p>
      <w:pPr>
        <w:spacing w:after="0" w:line="19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believe the following accounting estimates to be the most critical estimates we used in preparing our consolidated financial statements for the year ended December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measures the fair value of financial assets and liabilities in accordance with GAAP, which defines fair value, establishes a framework for measuring fair value, and requires certain disclosures about fair value measurements. The Company does not use derivative financial instruments to hedge exposures to cash-flow, market or foreign-currency risks. However, the Company has entered into certain financial instruments and contracts, such as debt financing arrangements and the issuance of preferred stock with detachable common stock warrants features that are either i) not afforded equity classification, ii) embody risks not clearly and closely related to host contracts, or iii) may be net-cash settled by the counterparty. These instruments are required to be recognized as derivative liabilities, at fair value. The fair value of the bifurcated embedded derivative related to the convertible preferred stock was estimated using a Monte Carlo simulation model, which uses as inputs the fair value of the Company’s common stock and estimates for the equity volatility of the Company’s common stock, the time to maturity of the convertible preferred stock, the risk-free interest rate for a period that approximates the time to maturity, dividend rate, a penalty dividend rate, and our probability of default. The fair value of the bifurcated embedded derivative related to the convertible notes was also estimated using a Monte Carlo simulation model, which uses as inputs the fair value of the Company’s common stock and estimates for the equity volatility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Company’s common stock, the time to maturity of the convertible notes, the risk-free interest rate for a period that approximates the time to maturity, the stated interest rate, and our probability of default.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Intangible assets include customer relationships, trade names, and technology, which were primarily acquired as part of the acquisition of XpresSpa in December 2016 and Naples Wax Center in 2023 and were recorded based on the estimated fair value in purchase price allocation. The intangible assets are amortized over their estimated useful lives, which are periodically evaluated for reasonableness.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the magnitude of any such charge. Fair value estimates are made at a specific point in time, based on relevant information. During the year ended December 31, 2025, the Company recorded $620 of intangible impairment loss. During the year ended December 31, 2024, the Company recorded $5 of intangible impairment loss.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Please refer Note 2 to Consolidated Financial Statements in Item 8 of this Annual Report on Form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Known Trends, Events and Uncertainties</w:t>
      </w:r>
    </w:p>
    <w:p>
      <w:pPr>
        <w:spacing w:after="0" w:line="229"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7"/>
          <w:szCs w:val="17"/>
          <w:color w:val="auto"/>
        </w:rPr>
        <w:t>Ongoing conflicts in Russia, Ukraine, and the Middle East, including related sanctions and countermeasures and involvement of the United States and other countries, are difficult to predict, and could adversely impact geopolitical and macroeconomic conditions, the global economy, and contribute to increased market volatility, which may in turn adversely affect our business and operations. We may not be able to raise sufficient additional capital and may tailor our business and operations based on the amount of funding we are able to raise in the future. Nevertheless, there is no assurance that these initiatives will be successful. Additionally, our ability to operate depends upon a large number of airplane travelers with the propensity for health and wellness, and in particular spa treatments and products, spending significant time post-security clearance check points at airports. The number of airline travelers at any given time is volatile and subject to change based on various conditions, including but not limited to market and other conditions, prices of travel fare, and oil and gas prices.</w:t>
      </w:r>
    </w:p>
    <w:p>
      <w:pPr>
        <w:spacing w:after="0" w:line="17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than as discussed above and elsewhere in this report, we are not aware of any trends, events or uncertainties that are likely to have a material effect on our financial condition.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required as we are a smaller reporting company.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required by this Item are set forth in Item 15 beginning on page F-1 of this Annual Report on Form 10-K.</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the design and operation of our “disclosure controls and procedures,” as such term is defined in Rule 13a-15(e) or Rule 15d-15(e) promulgated under the Exchange Act as of the end of the period covered by this report. Based upon that evaluation, our Chief Executive Officer and Chief Financial Officer have concluded that our disclosure controls and procedures were not effective as of the end of the period covered by this Report to provide reasonable assurance that material information required to be disclosed by us in reports that we file or submit under the Exchange Act is recorded, processed, summarized and reported within the time periods specified in SEC rules and forms due to the material weaknesses described below.</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Exchange Act Rules 13a-15(f) and 15d-15(f). Internal control over financial reporting is a process designed by, or under the supervision of, our principal executive officer and principal financial officer, or persons performing similar functions, and effected by our board of directors to provide reasonable assurance regarding the reliability of financial reporting and the preparation of financial statements in accordance with generally accepted accounting principles. Our management evaluated, with the participation of our chief executive officer and chief financial officer (our “Certifying Officers”), the effectiveness of our disclosure controls and procedures as of December 31, 2025, pursuant to Rule 13a-15(b) under the Exchange Act. Based upon that evaluation, management, including our Chief Executive Officer and Chief Financial Officer, our Certifying Officers concluded that, as of December 31, 2025, the evaluation date, our disclosure controls and procedures were not effective due to the following material weaknesses:</w:t>
      </w:r>
    </w:p>
    <w:p>
      <w:pPr>
        <w:spacing w:after="0" w:line="194" w:lineRule="exact"/>
        <w:rPr>
          <w:sz w:val="20"/>
          <w:szCs w:val="20"/>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properly design, implement, and consistently operate effective controls over the completeness and accuracy of its accounting for leases under ASC 842.</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properly design or maintain effective entity level monitoring controls over the financial close and reporting process.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implement, and consistently operate effective controls over its’ foreign subsidiaries.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Remediation Plan for Material Weaknesses in Internal Control over Financial Reporting</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is committed to the remediation of the material weaknesses described above,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remediation efforts below will be successful or that our internal control over financial reporting will be effective because of these efforts. Management has commenced the following actions and will continue to assess additional opportunities for remediation on an ongoing basis:</w:t>
      </w:r>
    </w:p>
    <w:p>
      <w:pPr>
        <w:spacing w:after="0" w:line="192"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turned on the multi-currency features related to its cloud-based accounting systems.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assist with the valuation, accounting, and recording of key reporting areas such as leases, revenue recognition and stock compensation expense.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contracted an independent consulting firm to assist with the preparation of the Financial Statements and U.S. GAAP accounting research.</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Other than as set forth in the foregoing paragraph, there have been no changes in our internal control over financial reporting that occurred during the year ended December 31, 2025, that has materially affected, or is reasonably likely to materially affect, our internal control over financial reporting. Notwithstanding the material weaknesses in our internal control over financial reporting, our management has determined that the consolidated financial statements for the periods covered by and included in this Annual Report fairly present, in all material respects, our financial position, results of operations and cash flows for the periods presented in conformity with U.S. GAAP.</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called for by this Item will be included in an amendment to this Annual Report on Form 10-K to be filed with the SEC and is incorporated by reference in this Item 10.</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called for by this Item will be included in an amendment to this Annual Report on Form 10-K to be filed with the SEC and is incorporated by reference in this Item 11.</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39"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called for by this Item will be included in an amendment to this Annual Report on Form 10-K to be filed with the SEC and is incorporated by reference in this Item 12.</w:t>
      </w:r>
    </w:p>
    <w:p>
      <w:pPr>
        <w:spacing w:after="0" w:line="158"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called for by this Item will be included in an amendment to this Annual Report on Form 10-K to be filed with the SEC and is incorporated by reference in this Item 13.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called for by this Item will be included in an amendment to this Annual Report on Form 10-K to be filed with the SEC and is incorporated by reference in this Item 14.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7"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For the financial statements included in this Annual Report on Form 10-K, see “Index to the Financial Statements” on page F-1.</w:t>
      </w:r>
    </w:p>
    <w:p>
      <w:pPr>
        <w:spacing w:after="0" w:line="158"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i w:val="1"/>
          <w:iCs w:val="1"/>
          <w:color w:val="auto"/>
        </w:rPr>
        <w:t>Consolidated Financial Statement Schedules.</w:t>
      </w:r>
      <w:r>
        <w:rPr>
          <w:rFonts w:ascii="Times New Roman" w:cs="Times New Roman" w:eastAsia="Times New Roman" w:hAnsi="Times New Roman"/>
          <w:sz w:val="18"/>
          <w:szCs w:val="18"/>
          <w:color w:val="auto"/>
        </w:rPr>
        <w:t xml:space="preserve"> All schedules are omitted because they are not applicable or because the required information is included in the financial statements or notes thereto.</w:t>
      </w:r>
    </w:p>
    <w:p>
      <w:pPr>
        <w:spacing w:after="0" w:line="158"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The following exhibits are filed as part of, or incorporated by reference into, this Annual Report on Form 10-K.</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Exhibits Index</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980" w:type="dxa"/>
            <w:vAlign w:val="bottom"/>
            <w:tcBorders>
              <w:bottom w:val="single" w:sz="8" w:color="auto"/>
            </w:tcBorders>
            <w:gridSpan w:val="4"/>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38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Agreement and Plan of Merger by and among FORM Holdings Corp., FHXMS, LLC, XpresSpa Holdings,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LLC, the unitholders of XpresSpa who are parties thereto and Mistral XH Representative, LLC, as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representative of the unitholders, dated as of August 8, 2016 (incorporated by reference to Exhibit 2.1 to our</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8"/>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Current Report on Form 8-K filed with the SEC on August 8, 2016)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Amendment No. 1 to Agreement and Plan of Merger by and among FORM Holdings Corp., FHXMS, LLC,</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XpresSpa Holdings, LLC and Mistral XH Representative, LLC, as representative of the unitholders, dated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September 8, 2016 (incorporated by reference to Exhibit 2.1 to our Current Report on Form 8-K filed with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SEC on September 9, 2016)</w:t>
              </w:r>
            </w:hyperlink>
          </w:p>
        </w:tc>
        <w:tc>
          <w:tcPr>
            <w:tcW w:w="59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Amendment No. 2 to Agreement and Plan of Merger by and among FORM Holdings Corp., FHXMS, LLC,</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XpresSpa Holdings, LLC and Mistral XH Representative, LLC, as representative of the unitholders, dated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October 25, 2016 (incorporated by reference to Exhibit 2.1 to our Current Report on Form 8-K filed with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SEC on October 25, 2016)</w:t>
              </w:r>
            </w:hyperlink>
          </w:p>
        </w:tc>
        <w:tc>
          <w:tcPr>
            <w:tcW w:w="60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Amendment No. 3 to Agreement and Plan of Merger, dated October 1, 2019, by and between the Company,</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XpresSpa Holdings, LLC, and Mistral XH Representative LLC (incorporated by reference to Exhibit 10.1 to</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the Current Report on Form 8-K filed with the SEC on October 3, 2019).</w:t>
              </w:r>
            </w:hyperlink>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Certificate of Elimination of Series A Convertible Preferred Stock, Series D Convertible Preferred Stock,</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Series E Convertible Preferred Stock and Series F Convertible Preferred Stock, as filed with Secretary of State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of Delaware, effective on October 24, 2022 (incorporated by reference to Exhibit 3.1 to our Current Report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8"/>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8-K filed with the SEC on October 24, 2022).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Amended and Restated Certificate of Incorporation of XWELL, Inc., effective on October 25, 2022</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(incorporated by reference to Exhibit 3.2 to our Current Report on Form 8-K filed with the SEC on October</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ind w:left="60"/>
              <w:spacing w:after="0" w:line="196" w:lineRule="exact"/>
              <w:rPr>
                <w:rFonts w:ascii="Times New Roman" w:cs="Times New Roman" w:eastAsia="Times New Roman" w:hAnsi="Times New Roman"/>
                <w:sz w:val="18"/>
                <w:szCs w:val="18"/>
                <w:color w:val="0000EE"/>
                <w:w w:val="97"/>
              </w:rPr>
            </w:pPr>
            <w:hyperlink r:id="rId70">
              <w:r>
                <w:rPr>
                  <w:rFonts w:ascii="Times New Roman" w:cs="Times New Roman" w:eastAsia="Times New Roman" w:hAnsi="Times New Roman"/>
                  <w:sz w:val="18"/>
                  <w:szCs w:val="18"/>
                  <w:color w:val="0000EE"/>
                  <w:w w:val="97"/>
                </w:rPr>
                <w:t>24, 2022.</w:t>
              </w:r>
            </w:hyperlink>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Third Amended and Restated Bylaws of XWELL, Inc., (incorporated by reference to Exhibit 3.1 to our</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8"/>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Current Report on Form 8-K filed with the SEC on May 21, 2024).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Certificate of Amendment to the Amended and Restated Certificate of Incorporation, effective as of September</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27, 2023 (incorporated by reference to Exhibit 3.1 to our Current Report on Form 8-K filed with the SEC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September 27, 2023).</w:t>
              </w:r>
            </w:hyperlink>
          </w:p>
        </w:tc>
        <w:tc>
          <w:tcPr>
            <w:tcW w:w="64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gridSpan w:val="11"/>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38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Certificate of Designation of Series A Junior Participating Preferred Stock, filed with the Secretary of State of</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the State of Delaware on August 16, 2024 (incorporated by reference to Exhibit 3.1 to our Current Report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8-K filed with the SEC on August 16, 2024).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Certificate of Designations of Series G Convertible Preferred Stock (incorporated by reference to Exhibit 3.1</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to our Current Report on Form 8-K filed with the SEC on January 15,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First Amendment to Third Amended and Restated Bylaws of XWELL, Inc. (incorporated by reference to</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Exhibit 99.1 to the Company’s Current Report on Form 8-K filed with the SEC on July 25,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Certificate of Amendment of Certificate of Designations of Series G Convertible Preferred Stock (incorporated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by reference to Exhibit 3.1 to the Company’s Current Report on Form 8-K filed with the SEC on November 4,</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ind w:left="60"/>
              <w:spacing w:after="0" w:line="196" w:lineRule="exact"/>
              <w:rPr>
                <w:rFonts w:ascii="Times New Roman" w:cs="Times New Roman" w:eastAsia="Times New Roman" w:hAnsi="Times New Roman"/>
                <w:sz w:val="18"/>
                <w:szCs w:val="18"/>
                <w:color w:val="0000EE"/>
                <w:w w:val="94"/>
              </w:rPr>
            </w:pPr>
            <w:hyperlink r:id="rId77">
              <w:r>
                <w:rPr>
                  <w:rFonts w:ascii="Times New Roman" w:cs="Times New Roman" w:eastAsia="Times New Roman" w:hAnsi="Times New Roman"/>
                  <w:sz w:val="18"/>
                  <w:szCs w:val="18"/>
                  <w:color w:val="0000EE"/>
                  <w:w w:val="94"/>
                </w:rPr>
                <w:t>2025).</w:t>
              </w:r>
            </w:hyperlink>
          </w:p>
        </w:tc>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Designations of Series H Convertible Preferred Stock (incorporated by reference to Exhibit 3.1</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to the Company’s Current Report on Form 8-K filed with the SEC on March 4, 2026).</w:t>
              </w:r>
            </w:hyperlink>
          </w:p>
        </w:tc>
        <w:tc>
          <w:tcPr>
            <w:tcW w:w="1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Certificate of Elimination of Series G Convertible Preferred Stock (incorporated by reference to Exhibit 3.2 to</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the Company’s Current Report on Form 8-K filed with the SEC on March 4, 2026).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Description of the Registrant’s Securities (incorporated by reference from Exhibit 4.22 to our Annual Report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on Form 10-K filed with the SEC on April 20, 2020)</w:t>
              </w:r>
            </w:hyperlink>
          </w:p>
        </w:tc>
        <w:tc>
          <w:tcPr>
            <w:tcW w:w="4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Tax Benefits Preservation Plan, dated as of August 16, 2024, between XWELL, Inc. and Equiniti Trust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Company, LLC, as Rights Agent (incorporated by reference to Exhibit 4.1 to our Current Report on Form 8-K</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filed with the SEC on August 16, 2024).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Series A Warrant issued on January 14, 2025 (incorporated by reference to Exhibit 4.1 to our Current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Report on Form 8-K filed with the SEC on January 15,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Series B Warrant issued on January 14, 2025 (incorporated by reference to Exhibit 4.2 to our Current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Report on Form 8-K filed with the SEC on January 15,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Senior Secured Convertible Note (incorporated by reference to Exhibit 4.1 to the Company’s Current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Report on Form 8-K filed with the SEC on November 4, 2025).</w:t>
              </w:r>
            </w:hyperlink>
          </w:p>
        </w:tc>
        <w:tc>
          <w:tcPr>
            <w:tcW w:w="3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Amended and Restated Series A Warrant (incorporated by reference to Exhibit 4.2 to the Company’s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Current Report on Form 8-K filed with the SEC on November 4,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Amended and Restated Series B Warrant (incorporated by reference to Exhibit 4.3 to the Company’s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Current Report on Form 8-K filed with the SEC on November 4,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of Warrant (incorporated by reference to Exhibit 4.1 to the Company’s Current Report on Form 8-K filed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with the SEC on February 25, 2026).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Placement Agent Warrant (incorporated by reference to Exhibit 4.2 to the Company’s Current Report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on Form 8-K filed with the SEC on February 25, 2026).</w:t>
              </w:r>
            </w:hyperlink>
          </w:p>
        </w:tc>
        <w:tc>
          <w:tcPr>
            <w:tcW w:w="39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Management Option Agreement (incorporated by reference from our Registration Statement on Form</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S-1 filed on March 29, 2010)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8"/>
          </w:tcPr>
          <w:p>
            <w:pPr>
              <w:ind w:left="1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38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Stock Option Agreement (incorporated by reference from our Registration Statement on Form S-8</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filed on July 26, 2012)</w:t>
              </w:r>
            </w:hyperlink>
          </w:p>
        </w:tc>
        <w:tc>
          <w:tcPr>
            <w:tcW w:w="6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Restricted Stock Unit Agreement (incorporated by reference from our Registration Statement on Form</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S-8 filed on July 26, 2012)</w:t>
              </w:r>
            </w:hyperlink>
          </w:p>
        </w:tc>
        <w:tc>
          <w:tcPr>
            <w:tcW w:w="60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Indemnification Agreement, dated January 31, 2013, by and between Vringo, Inc. and each of its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Directors and Executive Officer (incorporated by reference from our Annual Report on Form 10-K for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gridSpan w:val="16"/>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period ended December 31, 2012, filed on March 21, 2013)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Stock Option Grant under the XpresSpa Group Inc. 2020 Equity Incentive Plan (incorporated by reference to</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Exhibit 10.35 to the Company’s Annual Report on Form 10-K filed with the SEC on March 31, 2021)</w:t>
              </w:r>
            </w:hyperlink>
          </w:p>
        </w:tc>
        <w:tc>
          <w:tcPr>
            <w:tcW w:w="6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Notice of Restricted Stock Unit Award under the XpresSpa Group Inc. 2020 Equity Incentive Plan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(incorporated by reference to Exhibit 10.36 to the Company’s Annual Report on Form 10-K filed with the SEC</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on March 31, 2021)</w:t>
              </w:r>
            </w:hyperlink>
          </w:p>
        </w:tc>
        <w:tc>
          <w:tcPr>
            <w:tcW w:w="65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XpresTest, Inc. 2020 Equity Incentive Plan (incorporated by reference to Exhibit 10.1 to the Company’s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gridSpan w:val="1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Current Report on Form 8-K filed with the SEC on September 28, 2020)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XpresSpa Group, Inc. 2020 Equity Incentive Plan (incorporated by reference to Exhibit 10.1 to the Company’s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Current Report on Form 8-K filed with the SEC on October 30, 2020)</w:t>
              </w:r>
            </w:hyperlink>
          </w:p>
        </w:tc>
        <w:tc>
          <w:tcPr>
            <w:tcW w:w="29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XpresTest, Inc. Restricted Stock Award Agreement (incorporated by reference to Exhibit 10.45 to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Company’s Amendment No. 1 to Annual Report on Form 10-K/A filed with the SEC on April 30, 2021)</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Executive Employment Agreement dated January 9, 2022, between the Company and Ezra T. Ernst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(incorporated by reference from Exhibit 10.2 to our Quarterly Report on Form 10-Q filed with the SEC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99">
              <w:r>
                <w:rPr>
                  <w:rFonts w:ascii="Times New Roman" w:cs="Times New Roman" w:eastAsia="Times New Roman" w:hAnsi="Times New Roman"/>
                  <w:sz w:val="18"/>
                  <w:szCs w:val="18"/>
                  <w:color w:val="0000EE"/>
                  <w:w w:val="98"/>
                </w:rPr>
                <w:t>November 14, 2022)</w:t>
              </w:r>
            </w:hyperlink>
          </w:p>
        </w:tc>
        <w:tc>
          <w:tcPr>
            <w:tcW w:w="6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Stock Option Agreement between XpresSpa Group, Inc. and Ezra Ernst dated January 14, 2022 (incorporated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by reference from Exhibit 10.1 to our Registration Statement on Form S-8 filed on March 31, 2022).</w:t>
              </w:r>
            </w:hyperlink>
          </w:p>
        </w:tc>
        <w:tc>
          <w:tcPr>
            <w:tcW w:w="7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Executive Employment Agreement dated March 28, 2022, between the Company and Scott Milford.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(incorporated by reference from Exhibit 10.48 to our Annual Report on Form 10-K filed with the SEC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gridSpan w:val="16"/>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March 31, 2022)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XWELL, Inc. (formerly known as XpresSpa Group, Inc.) 2020 Equity Incentive Plan, as amended October 4,</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2022 (incorporated by reference to Exhibit 10.1 to our Registration Statement on Form S-8 filed with the SEC</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gridSpan w:val="1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on October 25, 2022).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Offer letter dated June 26, 2023, between the Company and Suzanne A. Scrabis (incorporated by reference to</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Exhibit 10.1 to our Current Report on Form 8-K filed with the SEC on June 28, 2023).</w:t>
              </w:r>
            </w:hyperlink>
          </w:p>
        </w:tc>
        <w:tc>
          <w:tcPr>
            <w:tcW w:w="17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Executive Employment Agreement by and between XWELL, Inc. and Ezra T. Ernst, effective as of September</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4, 2024 (incorporated by reference to Exhibit 10.1 to our Current Report on Form 8-K filed with the SEC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gridSpan w:val="16"/>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September 5,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Transition and Severance Agreement, by and between XWELL, Inc. and Scott R. Milford, effective as of</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September 4, 2024 (incorporated by reference to Exhibit 10.2 to our Current Report on Form 8-K filed with</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gridSpan w:val="16"/>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the SEC on September 5,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6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38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Resignation, Separation Agreement and Release with Suzanne A. Scrabis, effective as of January 8, 2025</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(incorporated by reference to Exhibit 10.1 our Current Report on Form 8-K filed with the SEC on January 7,</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ind w:left="60"/>
              <w:spacing w:after="0" w:line="196" w:lineRule="exact"/>
              <w:rPr>
                <w:rFonts w:ascii="Times New Roman" w:cs="Times New Roman" w:eastAsia="Times New Roman" w:hAnsi="Times New Roman"/>
                <w:sz w:val="18"/>
                <w:szCs w:val="18"/>
                <w:color w:val="0000EE"/>
                <w:w w:val="95"/>
              </w:rPr>
            </w:pPr>
            <w:hyperlink r:id="rId107">
              <w:r>
                <w:rPr>
                  <w:rFonts w:ascii="Times New Roman" w:cs="Times New Roman" w:eastAsia="Times New Roman" w:hAnsi="Times New Roman"/>
                  <w:sz w:val="18"/>
                  <w:szCs w:val="18"/>
                  <w:color w:val="0000EE"/>
                  <w:w w:val="95"/>
                </w:rPr>
                <w:t>2025)</w:t>
              </w:r>
            </w:hyperlink>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Executive Employment Agreement with Thomas Ian Brown, effective as of January 6, 2025 (incorporated by</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reference to Exhibit 10.2 our Current Report on Form 8-K filed with the SEC on January 7,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Securities Purchase Agreement, dated as of August 6, 2024, by and among the Company and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purchasers signatory thereto (incorporated by reference to Exhibit 10.1 our Current Report on Form 8-K filed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with the SEC on August 7, 2024).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Securities Purchase Agreement, dated as of January 14, 2025, by and among the Company and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purchasers signatory thereto (incorporated by reference to Exhibit 10.1 to our Current Report on Form 8-K</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filed with the SEC on January 15,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of Registration Rights Agreement dated as of January 14, 2025, by and among the Company and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investors signatory thereto (incorporated by reference to Exhibit 10.2 to our Current Report on Form 8-K filed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with the SEC on January 15, 2025).</w:t>
              </w:r>
            </w:hyperlink>
          </w:p>
        </w:tc>
        <w:tc>
          <w:tcPr>
            <w:tcW w:w="5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Amendment to the XWELL, Inc. 2020 Equity Incentive Plan, effective as of February 13, 2025 (incorporated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by reference to Exhibit 10.1 to the Company’s Current Report on Form 8-K filed with the SEC on April 11,</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4"/>
          </w:tcPr>
          <w:p>
            <w:pPr>
              <w:ind w:left="60"/>
              <w:spacing w:after="0" w:line="196" w:lineRule="exact"/>
              <w:rPr>
                <w:rFonts w:ascii="Times New Roman" w:cs="Times New Roman" w:eastAsia="Times New Roman" w:hAnsi="Times New Roman"/>
                <w:sz w:val="18"/>
                <w:szCs w:val="18"/>
                <w:color w:val="0000EE"/>
                <w:w w:val="94"/>
              </w:rPr>
            </w:pPr>
            <w:hyperlink r:id="rId112">
              <w:r>
                <w:rPr>
                  <w:rFonts w:ascii="Times New Roman" w:cs="Times New Roman" w:eastAsia="Times New Roman" w:hAnsi="Times New Roman"/>
                  <w:sz w:val="18"/>
                  <w:szCs w:val="18"/>
                  <w:color w:val="0000EE"/>
                  <w:w w:val="94"/>
                </w:rPr>
                <w:t>2025).</w:t>
              </w:r>
            </w:hyperlink>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Omnibus Amendment, by and among XWELL, Inc. and the investor listed on the signature page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thereto (incorporated by reference from Exhibit 10.4 to our Quarterly Report on Form 10-Q filed with the SEC</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13">
              <w:r>
                <w:rPr>
                  <w:rFonts w:ascii="Times New Roman" w:cs="Times New Roman" w:eastAsia="Times New Roman" w:hAnsi="Times New Roman"/>
                  <w:sz w:val="18"/>
                  <w:szCs w:val="18"/>
                  <w:color w:val="0000EE"/>
                  <w:w w:val="97"/>
                </w:rPr>
                <w:t>on May 20, 2025).</w:t>
              </w:r>
            </w:hyperlink>
          </w:p>
        </w:tc>
        <w:tc>
          <w:tcPr>
            <w:tcW w:w="6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Securities Exchange and Amendment Agreement, dated as of November 3, 2025, by and among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Company and the investors signatory thereto (incorporated by reference to Exhibit 10.1 to the Company’s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Current Report on Form 8-K filed with the SEC on November 4,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Securities Purchase Agreement, dated February 24, 2026, by and among the Company and the investor</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signatory thereto (incorporated by reference to Exhibit 10.1 to the Company’s Current Report on Form 8-K</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filed with the SEC on February 25, 2026).</w:t>
              </w:r>
            </w:hyperlink>
          </w:p>
        </w:tc>
        <w:tc>
          <w:tcPr>
            <w:tcW w:w="49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of Registration Rights Agreement (incorporated by reference to Exhibit 10.2 to the Company’s Current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Report on Form 8-K filed with the SEC on February 25, 2026).</w:t>
              </w:r>
            </w:hyperlink>
          </w:p>
        </w:tc>
        <w:tc>
          <w:tcPr>
            <w:tcW w:w="3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Placement Agency Agreement, dated February 24, 2026, by and between the Company and Dominari</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Securities LLC (incorporated by reference to Exhibit 10.3 to the Company’s Current Report on Form 8-K filed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with the SEC on February 25, 2026).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Lock-Up Agreement (incorporated by reference to Exhibit 10.4 to the Company’s Current Report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Form 8-K filed with the SEC on February 25, 2026).</w:t>
              </w:r>
            </w:hyperlink>
          </w:p>
        </w:tc>
        <w:tc>
          <w:tcPr>
            <w:tcW w:w="4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Omnibus Agreement, dated February 24, 2026, by and among the Company and the investors signatory thereto</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(incorporated by reference to Exhibit 10.5 to the Company’s Current Report on Form 8-K filed with the SEC</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19">
              <w:r>
                <w:rPr>
                  <w:rFonts w:ascii="Times New Roman" w:cs="Times New Roman" w:eastAsia="Times New Roman" w:hAnsi="Times New Roman"/>
                  <w:sz w:val="18"/>
                  <w:szCs w:val="18"/>
                  <w:color w:val="0000EE"/>
                  <w:w w:val="97"/>
                </w:rPr>
                <w:t>on February 25, 2026).</w:t>
              </w:r>
            </w:hyperlink>
          </w:p>
        </w:tc>
        <w:tc>
          <w:tcPr>
            <w:tcW w:w="6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Insider Trading Policy of XWELL, Inc. (incorporated by reference to Exhibit 19.1 to the Company’s Annual</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Report on Form 10-K filed with the SEC on April 15, 2025).</w:t>
              </w:r>
            </w:hyperlink>
          </w:p>
        </w:tc>
        <w:tc>
          <w:tcPr>
            <w:tcW w:w="36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00" w:type="dxa"/>
            <w:vAlign w:val="bottom"/>
            <w:tcBorders>
              <w:bottom w:val="single" w:sz="8" w:color="auto"/>
            </w:tcBorders>
          </w:tcPr>
          <w:p>
            <w:pPr>
              <w:ind w:left="3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0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List of Subsidiaries of XWELL, Inc. (incorporated by reference to Exhibit 21.1 to the Company's Annual</w:t>
              </w:r>
            </w:hyperlink>
          </w:p>
        </w:tc>
      </w:tr>
      <w:tr>
        <w:trPr>
          <w:trHeight w:val="196"/>
        </w:trPr>
        <w:tc>
          <w:tcPr>
            <w:tcW w:w="880" w:type="dxa"/>
            <w:vAlign w:val="bottom"/>
          </w:tcPr>
          <w:p>
            <w:pPr>
              <w:spacing w:after="0"/>
              <w:rPr>
                <w:sz w:val="17"/>
                <w:szCs w:val="17"/>
                <w:color w:val="auto"/>
              </w:rPr>
            </w:pPr>
          </w:p>
        </w:tc>
        <w:tc>
          <w:tcPr>
            <w:tcW w:w="8000" w:type="dxa"/>
            <w:vAlign w:val="bottom"/>
            <w:gridSpan w:val="6"/>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Report on Form 10 - K filed with the SEC on April 16, 2024).</w:t>
              </w:r>
            </w:hyperlink>
          </w:p>
        </w:tc>
      </w:tr>
      <w:tr>
        <w:trPr>
          <w:trHeight w:val="20"/>
        </w:trPr>
        <w:tc>
          <w:tcPr>
            <w:tcW w:w="88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CBIZ CPAs P.C., independent registered public accounting firm</w:t>
            </w:r>
          </w:p>
        </w:tc>
        <w:tc>
          <w:tcPr>
            <w:tcW w:w="2560" w:type="dxa"/>
            <w:vAlign w:val="bottom"/>
            <w:gridSpan w:val="2"/>
          </w:tcPr>
          <w:p>
            <w:pPr>
              <w:spacing w:after="0"/>
              <w:rPr>
                <w:sz w:val="24"/>
                <w:szCs w:val="24"/>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Marcum LLP, independent registered public accounting firm</w:t>
            </w:r>
          </w:p>
        </w:tc>
        <w:tc>
          <w:tcPr>
            <w:tcW w:w="2800" w:type="dxa"/>
            <w:vAlign w:val="bottom"/>
            <w:gridSpan w:val="3"/>
          </w:tcPr>
          <w:p>
            <w:pPr>
              <w:spacing w:after="0"/>
              <w:rPr>
                <w:sz w:val="24"/>
                <w:szCs w:val="24"/>
                <w:color w:val="auto"/>
              </w:rPr>
            </w:pPr>
          </w:p>
        </w:tc>
      </w:tr>
      <w:tr>
        <w:trPr>
          <w:trHeight w:val="5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Power of Attorney (attached to the signature page hereto).</w:t>
            </w:r>
          </w:p>
        </w:tc>
      </w:tr>
      <w:tr>
        <w:trPr>
          <w:trHeight w:val="4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Exchange Act, Rules 13a – 14(a) and 15d – 14(a), as</w:t>
            </w:r>
          </w:p>
        </w:tc>
      </w:tr>
      <w:tr>
        <w:trPr>
          <w:trHeight w:val="196"/>
        </w:trPr>
        <w:tc>
          <w:tcPr>
            <w:tcW w:w="880" w:type="dxa"/>
            <w:vAlign w:val="bottom"/>
          </w:tcPr>
          <w:p>
            <w:pPr>
              <w:spacing w:after="0"/>
              <w:rPr>
                <w:sz w:val="17"/>
                <w:szCs w:val="17"/>
                <w:color w:val="auto"/>
              </w:rPr>
            </w:pPr>
          </w:p>
        </w:tc>
        <w:tc>
          <w:tcPr>
            <w:tcW w:w="4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3120" w:type="dxa"/>
            <w:vAlign w:val="bottom"/>
            <w:gridSpan w:val="4"/>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0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Exchange Act, Rules 13a – 14(a) and 15d – 14(a), as</w:t>
            </w:r>
          </w:p>
        </w:tc>
      </w:tr>
      <w:tr>
        <w:trPr>
          <w:trHeight w:val="196"/>
        </w:trPr>
        <w:tc>
          <w:tcPr>
            <w:tcW w:w="880" w:type="dxa"/>
            <w:vAlign w:val="bottom"/>
          </w:tcPr>
          <w:p>
            <w:pPr>
              <w:spacing w:after="0"/>
              <w:rPr>
                <w:sz w:val="17"/>
                <w:szCs w:val="17"/>
                <w:color w:val="auto"/>
              </w:rPr>
            </w:pPr>
          </w:p>
        </w:tc>
        <w:tc>
          <w:tcPr>
            <w:tcW w:w="4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3120" w:type="dxa"/>
            <w:vAlign w:val="bottom"/>
            <w:gridSpan w:val="4"/>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0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Certifications of Principal Executive Officer and Principal Financial Officer Pursuant to 18 U.S.C. Section</w:t>
            </w:r>
          </w:p>
        </w:tc>
      </w:tr>
      <w:tr>
        <w:trPr>
          <w:trHeight w:val="196"/>
        </w:trPr>
        <w:tc>
          <w:tcPr>
            <w:tcW w:w="880" w:type="dxa"/>
            <w:vAlign w:val="bottom"/>
          </w:tcPr>
          <w:p>
            <w:pPr>
              <w:spacing w:after="0"/>
              <w:rPr>
                <w:sz w:val="17"/>
                <w:szCs w:val="17"/>
                <w:color w:val="auto"/>
              </w:rPr>
            </w:pPr>
          </w:p>
        </w:tc>
        <w:tc>
          <w:tcPr>
            <w:tcW w:w="8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1350, as adopted pursuant to Section 906 of the Sarbanes-Oxley Act of 2002</w:t>
            </w:r>
          </w:p>
        </w:tc>
      </w:tr>
      <w:tr>
        <w:trPr>
          <w:trHeight w:val="20"/>
        </w:trPr>
        <w:tc>
          <w:tcPr>
            <w:tcW w:w="88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25" w:lineRule="exact"/>
        <w:rPr>
          <w:sz w:val="20"/>
          <w:szCs w:val="20"/>
          <w:color w:val="auto"/>
        </w:rPr>
      </w:pPr>
    </w:p>
    <w:p>
      <w:pPr>
        <w:ind w:left="940" w:right="79" w:hanging="890"/>
        <w:spacing w:after="0" w:line="282" w:lineRule="auto"/>
        <w:tabs>
          <w:tab w:leader="none" w:pos="940" w:val="left"/>
        </w:tabs>
        <w:numPr>
          <w:ilvl w:val="0"/>
          <w:numId w:val="29"/>
        </w:numPr>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XWELL, INC Incentive Compensation Recovery Policy (incorporated by reference to Exhibit 97 to the</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Company’s Annual Report on Form 10 - K filed with the SEC on April 16, 2024).</w:t>
        </w:r>
      </w:hyperlink>
    </w:p>
    <w:p>
      <w:pPr>
        <w:spacing w:after="0" w:line="162" w:lineRule="exact"/>
        <w:rPr>
          <w:rFonts w:ascii="Times New Roman" w:cs="Times New Roman" w:eastAsia="Times New Roman" w:hAnsi="Times New Roman"/>
          <w:sz w:val="18"/>
          <w:szCs w:val="18"/>
          <w:color w:val="auto"/>
        </w:rPr>
      </w:pPr>
    </w:p>
    <w:tbl>
      <w:tblPr>
        <w:tblLayout w:type="fixed"/>
        <w:tblInd w:w="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documents)</w:t>
            </w: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4" w:lineRule="exact"/>
        <w:rPr>
          <w:rFonts w:ascii="Times New Roman" w:cs="Times New Roman" w:eastAsia="Times New Roman" w:hAnsi="Times New Roman"/>
          <w:sz w:val="18"/>
          <w:szCs w:val="18"/>
          <w:color w:val="auto"/>
        </w:rPr>
      </w:pPr>
    </w:p>
    <w:p>
      <w:pPr>
        <w:ind w:left="460" w:hanging="410"/>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ind w:left="460" w:hanging="410"/>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hanging="410"/>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ind w:left="60" w:right="79" w:hanging="10"/>
        <w:spacing w:after="0" w:line="282" w:lineRule="auto"/>
        <w:tabs>
          <w:tab w:leader="none" w:pos="5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have been omitted pursuant to a confidential treatment request. Omitted information has been filed separately with the SEC.</w:t>
      </w:r>
    </w:p>
    <w:p>
      <w:pPr>
        <w:spacing w:after="0" w:line="162" w:lineRule="exact"/>
        <w:rPr>
          <w:sz w:val="20"/>
          <w:szCs w:val="20"/>
          <w:color w:val="auto"/>
        </w:rPr>
      </w:pPr>
    </w:p>
    <w:p>
      <w:pPr>
        <w:jc w:val="both"/>
        <w:ind w:left="60" w:right="59" w:hanging="10"/>
        <w:spacing w:after="0" w:line="261" w:lineRule="auto"/>
        <w:tabs>
          <w:tab w:leader="none" w:pos="40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(and similar attachments) to this exhibit have been omitted in accordance with Item 601(a)(5) of Regulation S-K under the Securities Act because they do not contain information material to an investment or voting decision and that information is not otherwise disclosed in the exhibit or the disclosure document. The registrant hereby agrees to furnish a copy of all omitted schedules (or similar attachments) to the SEC upon its request.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40" w:type="dxa"/>
            <w:vAlign w:val="bottom"/>
            <w:gridSpan w:val="4"/>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4"/>
                <w:szCs w:val="24"/>
                <w:color w:val="auto"/>
              </w:rPr>
            </w:pPr>
          </w:p>
        </w:tc>
        <w:tc>
          <w:tcPr>
            <w:tcW w:w="6220" w:type="dxa"/>
            <w:vAlign w:val="bottom"/>
            <w:gridSpan w:val="5"/>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(CBIZ CPAs P.C. PCAOB ID #199)</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6"/>
        </w:trPr>
        <w:tc>
          <w:tcPr>
            <w:tcW w:w="830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(Marcum LLP PCAOB ID #688)</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4"/>
        </w:trPr>
        <w:tc>
          <w:tcPr>
            <w:tcW w:w="208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8"/>
              </w:rPr>
              <w:t>Consolidated Balance Sheets</w:t>
            </w:r>
          </w:p>
        </w:tc>
        <w:tc>
          <w:tcPr>
            <w:tcW w:w="6220" w:type="dxa"/>
            <w:vAlign w:val="bottom"/>
            <w:gridSpan w:val="5"/>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8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8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46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540" w:type="dxa"/>
            <w:vAlign w:val="bottom"/>
            <w:tcBorders>
              <w:top w:val="single" w:sz="8" w:color="0000EE"/>
            </w:tcBorders>
          </w:tcPr>
          <w:p>
            <w:pPr>
              <w:spacing w:after="0"/>
              <w:rPr>
                <w:sz w:val="17"/>
                <w:szCs w:val="17"/>
                <w:color w:val="auto"/>
              </w:rPr>
            </w:pPr>
          </w:p>
        </w:tc>
        <w:tc>
          <w:tcPr>
            <w:tcW w:w="49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96"/>
        </w:trPr>
        <w:tc>
          <w:tcPr>
            <w:tcW w:w="8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8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F-10</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XWELL, Inc.</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XWELL, Inc. (the “Company”) as of December 31, 2025, the related consolidated statements of operations and comprehensive loss, changes in temporary equity and stockholders’ deficit and cash flows for the year ended December 31, 2025, and the related notes (collectively referred to as the “financial statements”). In our opinion, based on our audit,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41" w:lineRule="exact"/>
        <w:rPr>
          <w:sz w:val="20"/>
          <w:szCs w:val="20"/>
          <w:color w:val="auto"/>
        </w:rPr>
      </w:pPr>
    </w:p>
    <w:p>
      <w:pPr>
        <w:jc w:val="right"/>
        <w:ind w:left="280" w:right="17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Critical Audit Matter  </w:t>
      </w:r>
      <w:r>
        <w:rPr>
          <w:rFonts w:ascii="Times New Roman" w:cs="Times New Roman" w:eastAsia="Times New Roman" w:hAnsi="Times New Roman"/>
          <w:sz w:val="18"/>
          <w:szCs w:val="18"/>
          <w:color w:val="auto"/>
        </w:rPr>
        <w:t>As described in Notes 2, 9, 10 and 11 to the financial statements, the Company records certain</w:t>
      </w:r>
      <w:r>
        <w:rPr>
          <w:rFonts w:ascii="Times New Roman" w:cs="Times New Roman" w:eastAsia="Times New Roman" w:hAnsi="Times New Roman"/>
          <w:sz w:val="18"/>
          <w:szCs w:val="18"/>
          <w:i w:val="1"/>
          <w:iCs w:val="1"/>
          <w:color w:val="auto"/>
        </w:rPr>
        <w:t xml:space="preserve"> Description  </w:t>
      </w:r>
      <w:r>
        <w:rPr>
          <w:rFonts w:ascii="Times New Roman" w:cs="Times New Roman" w:eastAsia="Times New Roman" w:hAnsi="Times New Roman"/>
          <w:sz w:val="18"/>
          <w:szCs w:val="18"/>
          <w:color w:val="auto"/>
        </w:rPr>
        <w:t>financial instruments at fair value on a recurring basis, including derivative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Series G convertible preferred stock and convertible debt, as well as convertible debt insutruments on a non-recurring basis, which are classified as level 3 as they contain one or more inputs to valuation which are unobservable and significant to their fair</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value measurement.</w:t>
      </w:r>
    </w:p>
    <w:p>
      <w:pPr>
        <w:spacing w:after="0" w:line="207" w:lineRule="exact"/>
        <w:rPr>
          <w:sz w:val="20"/>
          <w:szCs w:val="20"/>
          <w:color w:val="auto"/>
        </w:rPr>
      </w:pPr>
    </w:p>
    <w:p>
      <w:pPr>
        <w:jc w:val="both"/>
        <w:ind w:left="2020" w:right="179"/>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fair value of certain level 3 financial instruments is a critical audit matter are (i) the significant judgment and estimation by management and their third party valuation experts in determining the inputs to estimate fair value, which in turn led to a high degree of auditor judgment, subjectivity, and effort in performing procedures and in evaluating audit evidence obtained related to the fair value of these financial instruments, and (ii) the audit effort involved the use of professionals with specialized skill and knowledge.</w:t>
      </w:r>
    </w:p>
    <w:p>
      <w:pPr>
        <w:spacing w:after="0" w:line="187" w:lineRule="exact"/>
        <w:rPr>
          <w:sz w:val="20"/>
          <w:szCs w:val="20"/>
          <w:color w:val="auto"/>
        </w:rPr>
      </w:pPr>
    </w:p>
    <w:p>
      <w:pPr>
        <w:jc w:val="right"/>
        <w:ind w:left="160" w:right="1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How We Addressed the  </w:t>
      </w:r>
      <w:r>
        <w:rPr>
          <w:rFonts w:ascii="Times New Roman" w:cs="Times New Roman" w:eastAsia="Times New Roman" w:hAnsi="Times New Roman"/>
          <w:sz w:val="18"/>
          <w:szCs w:val="18"/>
          <w:color w:val="auto"/>
        </w:rPr>
        <w:t>Addressing this matter involved performing procedures and evaluating audit evidence in</w:t>
      </w:r>
      <w:r>
        <w:rPr>
          <w:rFonts w:ascii="Times New Roman" w:cs="Times New Roman" w:eastAsia="Times New Roman" w:hAnsi="Times New Roman"/>
          <w:sz w:val="18"/>
          <w:szCs w:val="18"/>
          <w:i w:val="1"/>
          <w:iCs w:val="1"/>
          <w:color w:val="auto"/>
        </w:rPr>
        <w:t xml:space="preserve"> Matter in Our Audit  </w:t>
      </w:r>
      <w:r>
        <w:rPr>
          <w:rFonts w:ascii="Times New Roman" w:cs="Times New Roman" w:eastAsia="Times New Roman" w:hAnsi="Times New Roman"/>
          <w:sz w:val="18"/>
          <w:szCs w:val="18"/>
          <w:color w:val="auto"/>
        </w:rPr>
        <w:t>connection with forming our overall opinion on the financial statements. These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reviewing the terms of the underlying agreements that gave rise to the financial instruments. These procedures also included, among others, the involvement of professionals with specialized skill and knowledge to assist in the testing and evaluation of the valuation models prepared by management’s third-party valuation experts. This included assessing the appropriateness of the methodologies used in the valuation process and developing an independent  estimate  of  fair  value  for  these  financial  instruments  and  comparing management’s estimate to the independently developed estimate of fair value. Developing the independent estimate involved testing the completeness, accuracy, and relevance of underlying data used in the models, and testing the reasonableness of significant assumptions, including expected dividend yield, expected volume volatility, probability of default, probability and date of a change in control, equity volatility, discount rate, market interest rate, recovery rate,</w:t>
      </w:r>
    </w:p>
    <w:p>
      <w:pPr>
        <w:spacing w:after="0" w:line="200" w:lineRule="exact"/>
        <w:rPr>
          <w:sz w:val="20"/>
          <w:szCs w:val="20"/>
          <w:color w:val="auto"/>
        </w:rPr>
      </w:pPr>
    </w:p>
    <w:p>
      <w:pPr>
        <w:spacing w:after="0" w:line="22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risk-free rate, as applicable.</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CBIZ CPA</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P.C.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CBIZ CPAs P.C.</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We have served as the Company’s auditor since 2020 (such date takes into account the acquisition of the attest business of Marcum LLP by CBIZ CPAs P.C. effective November 1, 2024).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Morristown, New Jersey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XWELL, Inc.</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XWELL, Inc. (the “Company”) as of December 31, 2024 the related consolidated statements of operations and comprehensive loss, changes in equity and cash flows for the year ended December 31, 2024, and the related notes (collectively referred to as the “financial statements”). In our opinion, based on our audits,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Marcum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from 2020 to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Morristown, New Jersey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5,910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 of use assets, net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Security deposits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11,217</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2,836</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Series G Convertible Preferred payable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Convertible senior secured note, net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3,590</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12,892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7,035</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23,797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17,610</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Commitments and contingencies (see Note 17)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Temporary equity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Series G Convertible Preferred Stock, $0.01 par value per share and $1,000 stated value per share, 4,000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shares authorized; 196 and 0 shares issued and outstanding as of December 31, 2025 and 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7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1"/>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2024, respectively; Liquidation preference of $380 as of December 31, 2025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per share, 150,000,000 shares authorized; 6,071,324 and 5,261,024 shares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issued and outstanding as of December 31, 2025 and December 31, 2024, respectively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468,915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473,824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(489,697)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(472,706)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deficit attributable to XWELL, Inc.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(22,262)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9,458</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equity (deficit)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(12,804)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 (deficit)</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11,217</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25,352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300" w:type="dxa"/>
            <w:vAlign w:val="bottom"/>
            <w:gridSpan w:val="2"/>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 net</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Services</w:t>
            </w:r>
          </w:p>
        </w:tc>
        <w:tc>
          <w:tcPr>
            <w:tcW w:w="13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26,268</w:t>
            </w: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Products</w:t>
            </w:r>
          </w:p>
        </w:tc>
        <w:tc>
          <w:tcPr>
            <w:tcW w:w="10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1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Labor</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Occupancy</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Products and other operating costs</w:t>
            </w:r>
          </w:p>
        </w:tc>
        <w:tc>
          <w:tcPr>
            <w:tcW w:w="10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cost of sales</w:t>
            </w:r>
          </w:p>
        </w:tc>
        <w:tc>
          <w:tcPr>
            <w:tcW w:w="1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21,704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Goodwill impairment</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Loss on disposal of assets, net</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 of operating lease right-of-use assets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Loss on issuance of Series G Preferred Stock</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income, net</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Foreign exchange loss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 on investments, realized and unrealized</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1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Income tax expense</w:t>
            </w:r>
          </w:p>
        </w:tc>
        <w:tc>
          <w:tcPr>
            <w:tcW w:w="1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XWELL, Inc.</w:t>
            </w:r>
          </w:p>
        </w:tc>
        <w:tc>
          <w:tcPr>
            <w:tcW w:w="10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(16,991)</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comprehensive income (loss) from operations</w:t>
            </w:r>
          </w:p>
        </w:tc>
        <w:tc>
          <w:tcPr>
            <w:tcW w:w="10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20" w:type="dxa"/>
            <w:vAlign w:val="bottom"/>
          </w:tcPr>
          <w:p>
            <w:pPr>
              <w:spacing w:after="0"/>
              <w:rPr>
                <w:sz w:val="20"/>
                <w:szCs w:val="20"/>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(15,639)</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Loss per share</w:t>
            </w:r>
          </w:p>
        </w:tc>
        <w:tc>
          <w:tcPr>
            <w:tcW w:w="10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Preferred stock accretion</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Deemed dividend on warrant exchange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Deemed dividend on Exchange of Series G Preferred Stock</w:t>
            </w:r>
          </w:p>
        </w:tc>
        <w:tc>
          <w:tcPr>
            <w:tcW w:w="10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XWELL, Inc. common stockholders</w:t>
            </w:r>
          </w:p>
        </w:tc>
        <w:tc>
          <w:tcPr>
            <w:tcW w:w="1020" w:type="dxa"/>
            <w:vAlign w:val="bottom"/>
          </w:tcPr>
          <w:p>
            <w:pPr>
              <w:spacing w:after="0"/>
              <w:rPr>
                <w:sz w:val="20"/>
                <w:szCs w:val="20"/>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(28,233)</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Weighted-average number of shares outstanding</w:t>
            </w: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0"/>
        </w:trPr>
        <w:tc>
          <w:tcPr>
            <w:tcW w:w="504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10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5,560,015</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4,610,940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5,560,015</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4,610,940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TEMPORARY EQUITY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spacing w:after="0"/>
              <w:rPr>
                <w:sz w:val="12"/>
                <w:szCs w:val="12"/>
                <w:color w:val="auto"/>
              </w:rPr>
            </w:pPr>
          </w:p>
        </w:tc>
        <w:tc>
          <w:tcPr>
            <w:tcW w:w="28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tcPr>
          <w:p>
            <w:pPr>
              <w:spacing w:after="0"/>
              <w:rPr>
                <w:sz w:val="12"/>
                <w:szCs w:val="12"/>
                <w:color w:val="auto"/>
              </w:rPr>
            </w:pP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w:t>
            </w:r>
          </w:p>
        </w:tc>
        <w:tc>
          <w:tcPr>
            <w:tcW w:w="14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paid-</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4"/>
              </w:rPr>
              <w:t>Accumulated</w:t>
            </w: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Company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25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40" w:type="dxa"/>
            <w:vAlign w:val="bottom"/>
          </w:tcPr>
          <w:p>
            <w:pPr>
              <w:jc w:val="right"/>
              <w:ind w:right="9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8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20" w:type="dxa"/>
            <w:vAlign w:val="bottom"/>
          </w:tcPr>
          <w:p>
            <w:pPr>
              <w:spacing w:after="0"/>
              <w:rPr>
                <w:sz w:val="11"/>
                <w:szCs w:val="11"/>
                <w:color w:val="auto"/>
              </w:rPr>
            </w:pPr>
          </w:p>
        </w:tc>
        <w:tc>
          <w:tcPr>
            <w:tcW w:w="24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2"/>
                <w:szCs w:val="12"/>
                <w:b w:val="1"/>
                <w:bCs w:val="1"/>
                <w:color w:val="auto"/>
                <w:w w:val="96"/>
              </w:rPr>
              <w:t>in capital</w:t>
            </w:r>
          </w:p>
        </w:tc>
        <w:tc>
          <w:tcPr>
            <w:tcW w:w="80" w:type="dxa"/>
            <w:vAlign w:val="bottom"/>
          </w:tcPr>
          <w:p>
            <w:pPr>
              <w:spacing w:after="0"/>
              <w:rPr>
                <w:sz w:val="11"/>
                <w:szCs w:val="11"/>
                <w:color w:val="auto"/>
              </w:rPr>
            </w:pPr>
          </w:p>
        </w:tc>
        <w:tc>
          <w:tcPr>
            <w:tcW w:w="860" w:type="dxa"/>
            <w:vAlign w:val="bottom"/>
            <w:gridSpan w:val="2"/>
          </w:tcPr>
          <w:p>
            <w:pPr>
              <w:jc w:val="right"/>
              <w:ind w:right="380"/>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1"/>
                <w:szCs w:val="11"/>
                <w:color w:val="auto"/>
              </w:rPr>
            </w:pPr>
          </w:p>
        </w:tc>
        <w:tc>
          <w:tcPr>
            <w:tcW w:w="6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2"/>
                <w:szCs w:val="12"/>
                <w:b w:val="1"/>
                <w:bCs w:val="1"/>
                <w:color w:val="auto"/>
                <w:w w:val="96"/>
              </w:rPr>
              <w:t>loss</w:t>
            </w:r>
          </w:p>
        </w:tc>
        <w:tc>
          <w:tcPr>
            <w:tcW w:w="20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2"/>
                <w:szCs w:val="12"/>
                <w:b w:val="1"/>
                <w:bCs w:val="1"/>
                <w:color w:val="auto"/>
                <w:w w:val="93"/>
              </w:rPr>
              <w:t>equity</w:t>
            </w: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center"/>
              <w:ind w:right="31"/>
              <w:spacing w:after="0" w:line="129" w:lineRule="exact"/>
              <w:rPr>
                <w:sz w:val="20"/>
                <w:szCs w:val="20"/>
                <w:color w:val="auto"/>
              </w:rPr>
            </w:pPr>
            <w:r>
              <w:rPr>
                <w:rFonts w:ascii="Times New Roman" w:cs="Times New Roman" w:eastAsia="Times New Roman" w:hAnsi="Times New Roman"/>
                <w:sz w:val="12"/>
                <w:szCs w:val="12"/>
                <w:b w:val="1"/>
                <w:bCs w:val="1"/>
                <w:color w:val="auto"/>
                <w:w w:val="96"/>
              </w:rPr>
              <w:t>interests</w:t>
            </w:r>
          </w:p>
        </w:tc>
        <w:tc>
          <w:tcPr>
            <w:tcW w:w="280" w:type="dxa"/>
            <w:vAlign w:val="bottom"/>
            <w:gridSpan w:val="2"/>
          </w:tcPr>
          <w:p>
            <w:pPr>
              <w:jc w:val="right"/>
              <w:ind w:right="83"/>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Pr>
          <w:p>
            <w:pPr>
              <w:jc w:val="right"/>
              <w:ind w:right="150"/>
              <w:spacing w:after="0" w:line="129"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5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4,179,631</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470,737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(455,853)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5"/>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7,969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20,971</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4,688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issued related to legal settlement</w:t>
            </w:r>
          </w:p>
        </w:tc>
        <w:tc>
          <w:tcPr>
            <w:tcW w:w="1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416,000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registered offering</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652,705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the Company</w:t>
            </w:r>
          </w:p>
        </w:tc>
        <w:tc>
          <w:tcPr>
            <w:tcW w:w="5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(16,853)</w:t>
            </w:r>
          </w:p>
        </w:tc>
        <w:tc>
          <w:tcPr>
            <w:tcW w:w="1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(16,853)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(16,490)</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5,261,024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53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473,824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(472,706)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5"/>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7,742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3">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TEMPORARY EQUITY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 Accumulated</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6"/>
          </w:tcPr>
          <w:p>
            <w:pPr>
              <w:jc w:val="right"/>
              <w:ind w:right="202"/>
              <w:spacing w:after="0" w:line="135" w:lineRule="exact"/>
              <w:rPr>
                <w:sz w:val="20"/>
                <w:szCs w:val="20"/>
                <w:color w:val="auto"/>
              </w:rPr>
            </w:pPr>
            <w:r>
              <w:rPr>
                <w:rFonts w:ascii="Times New Roman" w:cs="Times New Roman" w:eastAsia="Times New Roman" w:hAnsi="Times New Roman"/>
                <w:sz w:val="12"/>
                <w:szCs w:val="12"/>
                <w:b w:val="1"/>
                <w:bCs w:val="1"/>
                <w:color w:val="auto"/>
              </w:rPr>
              <w:t>Series G Convertible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Company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2"/>
                <w:szCs w:val="12"/>
                <w:b w:val="1"/>
                <w:bCs w:val="1"/>
                <w:color w:val="auto"/>
                <w:w w:val="94"/>
              </w:rPr>
              <w:t>Non-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bottom w:val="single" w:sz="8" w:color="auto"/>
            </w:tcBorders>
            <w:gridSpan w:val="5"/>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bottom w:val="single" w:sz="8" w:color="auto"/>
            </w:tcBorders>
            <w:gridSpan w:val="4"/>
          </w:tcPr>
          <w:p>
            <w:pPr>
              <w:jc w:val="right"/>
              <w:ind w:right="24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7"/>
              </w:rPr>
              <w:t>paid-</w:t>
            </w:r>
          </w:p>
        </w:tc>
        <w:tc>
          <w:tcPr>
            <w:tcW w:w="10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86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86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w w:val="98"/>
              </w:rPr>
              <w:t>equity (deficit)</w:t>
            </w:r>
          </w:p>
        </w:tc>
        <w:tc>
          <w:tcPr>
            <w:tcW w:w="8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4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68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 ​​​ Shares</w:t>
            </w:r>
          </w:p>
        </w:tc>
        <w:tc>
          <w:tcPr>
            <w:tcW w:w="220" w:type="dxa"/>
            <w:vAlign w:val="bottom"/>
            <w:gridSpan w:val="2"/>
          </w:tcPr>
          <w:p>
            <w:pPr>
              <w:jc w:val="right"/>
              <w:ind w:right="43"/>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Pr>
          <w:p>
            <w:pPr>
              <w:jc w:val="right"/>
              <w:ind w:right="89"/>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1"/>
                <w:szCs w:val="11"/>
                <w:color w:val="auto"/>
              </w:rPr>
            </w:pPr>
          </w:p>
        </w:tc>
        <w:tc>
          <w:tcPr>
            <w:tcW w:w="640" w:type="dxa"/>
            <w:vAlign w:val="bottom"/>
          </w:tcPr>
          <w:p>
            <w:pPr>
              <w:jc w:val="right"/>
              <w:ind w:right="9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ind w:right="49"/>
              <w:spacing w:after="0" w:line="129"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100" w:type="dxa"/>
            <w:vAlign w:val="bottom"/>
          </w:tcPr>
          <w:p>
            <w:pPr>
              <w:spacing w:after="0"/>
              <w:rPr>
                <w:sz w:val="11"/>
                <w:szCs w:val="11"/>
                <w:color w:val="auto"/>
              </w:rPr>
            </w:pPr>
          </w:p>
        </w:tc>
        <w:tc>
          <w:tcPr>
            <w:tcW w:w="660" w:type="dxa"/>
            <w:vAlign w:val="bottom"/>
            <w:gridSpan w:val="2"/>
          </w:tcPr>
          <w:p>
            <w:pPr>
              <w:jc w:val="center"/>
              <w:ind w:right="20"/>
              <w:spacing w:after="0" w:line="129" w:lineRule="exact"/>
              <w:rPr>
                <w:sz w:val="20"/>
                <w:szCs w:val="20"/>
                <w:color w:val="auto"/>
              </w:rPr>
            </w:pPr>
            <w:r>
              <w:rPr>
                <w:rFonts w:ascii="Times New Roman" w:cs="Times New Roman" w:eastAsia="Times New Roman" w:hAnsi="Times New Roman"/>
                <w:sz w:val="12"/>
                <w:szCs w:val="12"/>
                <w:b w:val="1"/>
                <w:bCs w:val="1"/>
                <w:color w:val="auto"/>
              </w:rPr>
              <w:t>in capital</w:t>
            </w:r>
          </w:p>
        </w:tc>
        <w:tc>
          <w:tcPr>
            <w:tcW w:w="80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   deficit</w:t>
            </w:r>
          </w:p>
        </w:tc>
        <w:tc>
          <w:tcPr>
            <w:tcW w:w="2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2"/>
                <w:szCs w:val="12"/>
                <w:b w:val="1"/>
                <w:bCs w:val="1"/>
                <w:color w:val="auto"/>
                <w:w w:val="96"/>
              </w:rPr>
              <w:t>loss</w:t>
            </w:r>
          </w:p>
        </w:tc>
        <w:tc>
          <w:tcPr>
            <w:tcW w:w="2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center"/>
              <w:ind w:right="10"/>
              <w:spacing w:after="0" w:line="129" w:lineRule="exact"/>
              <w:rPr>
                <w:sz w:val="20"/>
                <w:szCs w:val="20"/>
                <w:color w:val="auto"/>
              </w:rPr>
            </w:pPr>
            <w:r>
              <w:rPr>
                <w:rFonts w:ascii="Times New Roman" w:cs="Times New Roman" w:eastAsia="Times New Roman" w:hAnsi="Times New Roman"/>
                <w:sz w:val="12"/>
                <w:szCs w:val="12"/>
                <w:b w:val="1"/>
                <w:bCs w:val="1"/>
                <w:color w:val="auto"/>
                <w:w w:val="96"/>
              </w:rPr>
              <w:t>interests</w:t>
            </w:r>
          </w:p>
        </w:tc>
        <w:tc>
          <w:tcPr>
            <w:tcW w:w="90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2"/>
                <w:szCs w:val="12"/>
                <w:b w:val="1"/>
                <w:bCs w:val="1"/>
                <w:color w:val="auto"/>
              </w:rPr>
              <w:t>​​​ equity (deficit)</w:t>
            </w:r>
          </w:p>
        </w:tc>
        <w:tc>
          <w:tcPr>
            <w:tcW w:w="0" w:type="dxa"/>
            <w:vAlign w:val="bottom"/>
          </w:tcPr>
          <w:p>
            <w:pPr>
              <w:spacing w:after="0"/>
              <w:rPr>
                <w:sz w:val="1"/>
                <w:szCs w:val="1"/>
                <w:color w:val="auto"/>
              </w:rPr>
            </w:pPr>
          </w:p>
        </w:tc>
      </w:tr>
      <w:tr>
        <w:trPr>
          <w:trHeight w:val="142"/>
        </w:trPr>
        <w:tc>
          <w:tcPr>
            <w:tcW w:w="21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2025</w:t>
            </w: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5,261,024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$ 473,824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(472,706)</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(1,959)</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(788)</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8,530</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7,742</w:t>
            </w: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2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505,679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126"/>
        </w:trPr>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 Series</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 preferred stock installment</w:t>
            </w:r>
          </w:p>
        </w:tc>
        <w:tc>
          <w:tcPr>
            <w:tcW w:w="22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304,621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redemption</w:t>
            </w:r>
          </w:p>
        </w:tc>
        <w:tc>
          <w:tcPr>
            <w:tcW w:w="2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G Preferred Stock</w:t>
            </w: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 private placement, net of</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costs</w:t>
            </w: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G Preferred Stock accretion</w:t>
            </w:r>
          </w:p>
        </w:tc>
        <w:tc>
          <w:tcPr>
            <w:tcW w:w="2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Series G Preferred Stock dividends</w:t>
            </w: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26"/>
        </w:trPr>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Accrual of Series G Preferred Stock</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4"/>
                <w:szCs w:val="14"/>
                <w:color w:val="auto"/>
              </w:rPr>
              <w:t>(2,359)</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and dividend redemption</w:t>
            </w:r>
          </w:p>
        </w:tc>
        <w:tc>
          <w:tcPr>
            <w:tcW w:w="6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Exchange of Series G Preferred</w:t>
            </w: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for Senior Secured Convertible</w:t>
            </w: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4"/>
                <w:szCs w:val="14"/>
                <w:color w:val="auto"/>
              </w:rPr>
              <w:t>(1,684)</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w:t>
            </w:r>
          </w:p>
        </w:tc>
        <w:tc>
          <w:tcPr>
            <w:tcW w:w="6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Deemed dividends on Preferred</w:t>
            </w:r>
          </w:p>
        </w:tc>
        <w:tc>
          <w:tcPr>
            <w:tcW w:w="220" w:type="dxa"/>
            <w:vAlign w:val="bottom"/>
          </w:tcPr>
          <w:p>
            <w:pPr>
              <w:spacing w:after="0"/>
              <w:rPr>
                <w:sz w:val="10"/>
                <w:szCs w:val="10"/>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(4,399)</w:t>
            </w:r>
          </w:p>
        </w:tc>
        <w:tc>
          <w:tcPr>
            <w:tcW w:w="10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(4,399)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(4,399)</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Stock and Warrant exchange</w:t>
            </w:r>
          </w:p>
        </w:tc>
        <w:tc>
          <w:tcPr>
            <w:tcW w:w="2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 of warrant liability upon</w:t>
            </w:r>
          </w:p>
        </w:tc>
        <w:tc>
          <w:tcPr>
            <w:tcW w:w="22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modification</w:t>
            </w:r>
          </w:p>
        </w:tc>
        <w:tc>
          <w:tcPr>
            <w:tcW w:w="22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Distributions to noncontrolling</w:t>
            </w:r>
          </w:p>
        </w:tc>
        <w:tc>
          <w:tcPr>
            <w:tcW w:w="220" w:type="dxa"/>
            <w:vAlign w:val="bottom"/>
          </w:tcPr>
          <w:p>
            <w:pPr>
              <w:spacing w:after="0"/>
              <w:rPr>
                <w:sz w:val="10"/>
                <w:szCs w:val="10"/>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2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net</w:t>
            </w:r>
          </w:p>
        </w:tc>
        <w:tc>
          <w:tcPr>
            <w:tcW w:w="2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the Company</w:t>
            </w: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(16,991)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(16,991)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90"/>
              <w:spacing w:after="0" w:line="149" w:lineRule="exact"/>
              <w:rPr>
                <w:sz w:val="20"/>
                <w:szCs w:val="20"/>
                <w:color w:val="auto"/>
              </w:rPr>
            </w:pPr>
            <w:r>
              <w:rPr>
                <w:rFonts w:ascii="Times New Roman" w:cs="Times New Roman" w:eastAsia="Times New Roman" w:hAnsi="Times New Roman"/>
                <w:sz w:val="14"/>
                <w:szCs w:val="14"/>
                <w:color w:val="auto"/>
              </w:rPr>
              <w:t>885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(16,106)</w:t>
            </w:r>
          </w:p>
        </w:tc>
        <w:tc>
          <w:tcPr>
            <w:tcW w:w="0" w:type="dxa"/>
            <w:vAlign w:val="bottom"/>
          </w:tcPr>
          <w:p>
            <w:pPr>
              <w:spacing w:after="0"/>
              <w:rPr>
                <w:sz w:val="1"/>
                <w:szCs w:val="1"/>
                <w:color w:val="auto"/>
              </w:rPr>
            </w:pPr>
          </w:p>
        </w:tc>
      </w:tr>
      <w:tr>
        <w:trPr>
          <w:trHeight w:val="142"/>
        </w:trPr>
        <w:tc>
          <w:tcPr>
            <w:tcW w:w="21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6,071,324</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$ 468,915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(489,697)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(22,262)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9,458</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(12,804)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2418080</wp:posOffset>
            </wp:positionH>
            <wp:positionV relativeFrom="paragraph">
              <wp:posOffset>-2845435</wp:posOffset>
            </wp:positionV>
            <wp:extent cx="8890" cy="2828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4">
                      <a:extLst>
                        <a:ext uri="{28A0092B-C50C-407E-A947-70E740481C1C}"/>
                      </a:extLst>
                    </a:blip>
                    <a:srcRect/>
                    <a:stretch>
                      <a:fillRect/>
                    </a:stretch>
                  </pic:blipFill>
                  <pic:spPr bwMode="auto">
                    <a:xfrm>
                      <a:off x="0" y="0"/>
                      <a:ext cx="8890" cy="282892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5">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5940" w:type="dxa"/>
            <w:vAlign w:val="bottom"/>
          </w:tcPr>
          <w:p>
            <w:pPr>
              <w:spacing w:after="0"/>
              <w:rPr>
                <w:sz w:val="14"/>
                <w:szCs w:val="14"/>
                <w:color w:val="auto"/>
              </w:rPr>
            </w:pPr>
          </w:p>
        </w:tc>
        <w:tc>
          <w:tcPr>
            <w:tcW w:w="660" w:type="dxa"/>
            <w:vAlign w:val="bottom"/>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2100" w:type="dxa"/>
            <w:vAlign w:val="bottom"/>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(16,106)</w:t>
            </w:r>
          </w:p>
        </w:tc>
        <w:tc>
          <w:tcPr>
            <w:tcW w:w="440" w:type="dxa"/>
            <w:vAlign w:val="bottom"/>
            <w:gridSpan w:val="3"/>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Impairment of goodwill</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Impairment of intangible assets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Impairment of operating lease right-of-use assets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Foreign currency remeasurement loss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lease termination</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on disposal of assets, net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Amortization of operating lease right of use asset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(Gain) on equity investment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 in fair value of derivative liability</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 in fair value of warrant liability</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on issuance of Series G Preferred Stock</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Changes in assets and liabilities: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(Increase) decrease in inventory</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decrease in accounts receivable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(Decrease) increase in deferred revenue</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in other assets, current and non-current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(Decrease) in other liabilities, current and non-current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Increase in accounts payable</w:t>
            </w: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6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(8,713)</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Acquisition of property and equipment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 in marketable securities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Sale of marketable securities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Acquisition of intangibles</w:t>
            </w: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investing activities</w:t>
            </w:r>
          </w:p>
        </w:tc>
        <w:tc>
          <w:tcPr>
            <w:tcW w:w="6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4,332</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5,895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 option exercised</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registered offering, net of offering costs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proceeds from stock sale</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Redemption of preferred 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6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1,942</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6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Decrease in cash, cash equivalents and restricted cash</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(2,433)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the year</w:t>
            </w:r>
          </w:p>
        </w:tc>
        <w:tc>
          <w:tcPr>
            <w:tcW w:w="6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5,301</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color w:val="auto"/>
              </w:rPr>
              <w:t>Cash, cash equivalents, and restricted cash at end of the period</w:t>
            </w:r>
          </w:p>
        </w:tc>
        <w:tc>
          <w:tcPr>
            <w:tcW w:w="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2,868</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5,301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paid for</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taxes</w:t>
            </w:r>
          </w:p>
        </w:tc>
        <w:tc>
          <w:tcPr>
            <w:tcW w:w="880" w:type="dxa"/>
            <w:vAlign w:val="bottom"/>
            <w:gridSpan w:val="2"/>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440" w:type="dxa"/>
            <w:vAlign w:val="bottom"/>
            <w:gridSpan w:val="3"/>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transactions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shares of Common Stock for legal settlement</w:t>
            </w:r>
          </w:p>
        </w:tc>
        <w:tc>
          <w:tcPr>
            <w:tcW w:w="880" w:type="dxa"/>
            <w:vAlign w:val="bottom"/>
            <w:gridSpan w:val="2"/>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Capital expenditures included in Accounts payable, accrued expenses and other current liabilities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Accrual of Series convertible preferred stock dividends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Accretion of Series G convertible preferred stock to redemption value</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Initial fair value of warrant liability</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Initial fair value of derivative liability</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Accrued Series G convertible preferred stock redemption payable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Noncash conversion of Series G convertible preferred stock</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Deemed dividend on Exchange of Series G Preferred 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Deemed dividend on warrant exchange</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Initial fair value of derivative liability on convertible debt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Extinguishment of convertible preferred stock with bifurcated embedded derivative</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Fair value of convertible note on exchange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Reclass of warrant liability upon modification</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Lease liability remeasurement due to modification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Right-of-use asset and lease liability recognized for new operating lease</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XWELL, Inc. and Subsidiaries NOTES TO CONSOLIDATED FINANCIAL STATEMENTS (In thousands, except for share and per share data)</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General and Liquidity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XWELL (“XWELL” or the “Company”) is a global wellness organization dedicated to delivering restorative and healthfocused services to travelers through its three reportable operating segments: XpresSpa®, XpresTest®, and Naples Wax Center®. XpresSpa operates spa service locations in major airports, offering massage, skincare, and travel products. XpresTest transitioned from providing COVID-19 testing to supporting public health efforts through bio-surveillance programs at international airports. XWELL’s former subsidiary, gcg Connect, LLC, operating as HyperPointe, provided direct to business marketing support across a number of health and health-related channels and ceased operations during 2025. Naples Wax Center provides upscale hair removal and skincare services through its branded locations.</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Analysis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continue as a going concern. As of December 31, 2025, the Company had cash and cash equivalents of approximately $2,617, marketable securities of $7, total current assets of $5,910, total current liabilities of $12,892, and long term operating lease liabilities of $7,035. The Company’s working capital was in a deficit position at December 31, 2025, compared with a working capital surplus of $6,113 at December 31, 2024. In light of these conditions and the Company’s historical operating losses, management evaluated whether substantial doubt existed about the Company’s ability to continue as a going concern within one year after the date these consolidated financial statements are issued.</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Subsequent to year end, on February 24, 2026, the Company announced it had entered into a private placement of Series H Convertible Preferred Stock with accompanying warrants for expected gross proceeds of approximately $31,300 before fees and expenses, which closed on February 26, 2026. The Company used $9,000 of the proceeds to repurchase certain notes, redeem the Company’s Series G Preferred Stock and certain warrants, with the remainder for general corporate purposes and working capital needs.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Management considered the expected net cash proceeds from the Series H transaction, the planned uses of proceeds, and the Company’s current operating plan in assessing liquidity for the twelve-month period following the issuance of these financial statements. Based on this evaluation, management concluded that the conditions that previously raised substantial doubt have been alleviated as of the issuance date of these consolidated financial statements. Accordingly, the consolidated financial statements have been prepared on a going-concern basis and do not include any adjustments that might result if the Company were unable to continue as a going concern.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and Reporting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The consolidated financial statements include the accounts of the Company, all entities that are wholly owned by the Company, and all entities in which the Company has a controlling financial interest. All significant intercompany balances and transactions have been eliminated in consolidation.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Certain balances in the consolidated financial statements for the year ended December 31, 2024 have been reclassified to conform to the presentation in the consolidated financial statements for the year ended December 31, 2025. In the prior year, the Company separately disclosed salaries and benefits and in the current year the Company has reclassified these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costs on the consolidated statement of operations within general and administrative expenses. In addition, security deposits previously included within other assets have been reclassified and presented separately on the consolidated balance sheets. These reclassifications had no effect on the Company’s previously reported results of operations, changes in temporary and stockholders’ equity, or cash flows.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warrant liabilities, derivative liabilities, deferred tax assets and liabilities, income tax uncertainties, and other contingencies.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maintains cash in checking and money market accounts with financial institutions. The Company has established guidelines relating to the diversification and maturities of its investments in order to minimize credit risk and maintain high liquidity of funds. The Company considers all highly liquid investments purchased with an original maturity of three months or less from the time they are acquired to be cash equivalents. The Company had $7 and $11 of such investments as of December 31, 2025 and 2024,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Accounts receivables are reported at their outstanding unpaid principal balances, net of allowances for credit loss. The Company periodically assesses its accounts and other receivables for collectability on a specific identification basis. The Company provides for an allowance for credit loss based on management’s estimate of uncollectible amounts considering age, collection history, and any other factors considered appropriate. Payments are generally due within 30 days of invoice. The Company writes off accounts receivable against the allowance for credit loss when a balance is determined to be uncollectible. During the years ended December 31, 2025 and 2024, write-offs and recoveries of accounts receivable were de minimis. The allowance for credit losses on accounts receivable was also de minimis as of December 31, 2025 and 2024.</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estimates its allowance for credit losses using a historical loss rate approach, adjusted for current economic conditions and forward-looking information when relevant. The methodology considers the aging of receivables, the creditworthiness of customers, and macroeconomic trends. There were no significant changes to estimation techniques or assumptions during the periods presented.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inventory, which are all finished goods, is valued at the lower of cost or net realizable value. Cost is determined using a weighted-average cost method.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Intangible assets include customer relationships, trade names, and technology, which were primarily acquired as part of the acquisition of XpresSpa in December 2016 and Naples Wax Center in 2023 and were recorded based on the estimated fair value in purchase price allocation.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the magnitude of any such charge. Fair value estimates are made at a specific point in time, based on relevant information. During the years ended December 31, 2025 and 2024, the Company recognized impairment of intangible assets of $620 and $5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the Company’s assets are capitalized over the lesser of the extension period or life of the improvement.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Long-lived assets are tested for impairment at the lowest level at which there are identifiable operating cash flows, which is at the individual airport location for the XpresSpa, XpresTest and Naples Wax businesses. The Company’s long-lived assets consist primarily of leasehold improvements and the right to use lease assets for each of its airport locations and off-airport Naples Wax locations (considered the asset groups). The Company reviews its long-lived assets for recoverability when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 was calculated based on forecasts over the estimated remaining useful life of the asset group, which for each of the Company’s locations is the remaining term of the operating lease.</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identified triggering events and completed an assessment of long-lived assets for impairment. Based upon the results of the impairment test, the Company recorded an impairment expense related to property and equipment and right of use lease assets during the year ended December 31, 2025 of $2,529, and $1,736 respectively, which is recorded in Impairment of long-lived assets and Impairment of operating lease right-of-use assets, respectively, on the consolidated statements of operations and comprehensive loss related to the Company’s Naples Wax and Spa locations.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recorded impairment expense related to property and equipment and intangibles of $1,711 during the year ended December 31, 2024. Additionally, the Company recorded an impairment expense related to operating lease right of use assets of $2,805 during the year ended December 31, 2024. The impairment charges are recorded in Impairment of long-lived assets and Impairment of operating lease right-of-use assets, respectively, on the consolidated statements of operations and comprehensive loss. The expense was primarily related to the impairment of leasehold improvements made to the Company’s Treat and Spa locations and its operating lease right of use assets where management determined that the locations discounted future cash flows were not sufficient to recover the carrying value of these assets over the remaining lease term.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right of use asset (“ROU”) on the Company’s consolidated balance sheets represents a lessee’s right to use an asset over the life of a lease. Operating lease ROU assets and lease liabilities are recognized at commencement date based on the present value of lease payments over the lease term, plus any lease payments made to the lessor before the lease commencement date, plus any initial direct costs incurred, minus any lease incentives received. The amortization period for the right of use asset is from the lease commencement date to the earlier of the end of the lease term or the end of the useful life of the asset. Our lease terms may include options to extend or terminate the lease when it is reasonably certain that we will exercise that option. Lease expense for lease payments is recognized on a straight-line basis over the lease term. The Company has elected to exclude all short-term leases (i.e. leases with terms of 12 months or less) from recognition on the balance sheet.</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lease liabilities are determined by calculating the present value of all future lease payments using the rate implicit in the lease if it can be readily determined, or the lessee’s incremental borrowing rate. The Company uses its incremental borrowing rate at the inception of the lease to determine the present value of future lease payments as the rate implicit in its leases cannot be readily determined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Certain leases provide for contingent rents that are not measurable at inception. These contingent rents are primarily based on a percentage of sales that are in excess of a predetermined level, an increase based on a change in the consumer price index or fair market value. These amounts are excluded from the calculation of the right of use asset and lease liability under ASC 842. Minimum rent under these leases is included in the determination of rent expense when it is probable that the expense has been incurred and the amount can be reasonably estimated.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Restricted cash, which is listed as a separate line item in the consolidated balance sheets, represents balances at financial institutions to secure bonds and letters of credit as required by the Company’s various lease agreements.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Equity investments are carried at fair value with the changes in fair value recorded in the consolidated statement of operations and other comprehensive loss in accordance with ASU 2016-01. The Company performs a qualitative assessment on an annual basis and recognizes impairment if there are sufficient indicators that the fair value of the investment is less than the carrying value. As of the year ended December 31, 2025 and 2024, there were no indicators of impairment.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XpresSpa and Naples Wax Center</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recognizes revenue from the sale of products and services when the services are rendered at XpresSpa and Naples Wax Centers locations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The Company recognizes revenue from Priority Pass services when an invoice is generated to Priority Pass detailing the number of services performed multiplied by the agreed upon price.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XpresTest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XpresTest began conducting bio surveillance monitoring in 2021 in collaboration with the Centers for Disease Control and Prevention (“CDC”) and Concentric by Ginkgo Bioworks Holdings, Inc. (“Ginkgo Bioworks”). The program was renewed through August 2024. Revenue recognized from such one-year extension totaled approximately $7,044. In January 2024, the program funding and scope were expanded, resulting in an additional $4,000 of revenue, including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In February 2025, the program was extended through a three-year contract with a total base value of $22,200 over three years, and a maximum ceiling value of $24,800 within the same timeframe, which represents the amount of consideration that we are entitled. The Company recognizes revenue ratably (straight line basis) over the term of the contract (three years).</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recorded $6,984 and $11,123, in revenue for the years ended December 31, 2025 and 2024, respectively, related to sample collection performance obligations because the Company’s efforts towards satisfying each of the performance obligations are expended evenly throughout the period of performance. As of December 31, 2025, the Company had $289 of revenue billed in advance related to XpresTest services, which was recorded as deferred revenue on the Company’s consolidated balance sheets.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HyperPointe</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HyperPointe business provided a broad range of services and support options for HyperPointe’s customers, including technical support services and advanced services. Technical support services represent the majority of these offerings which are distinct performance obligations that are satisfied over time. The Company applied the right-to-invoice practical expedient and recognizes revenue in the amount it is entitled to invoice when that amount corresponds directly with the value of the performance to date. Advanced services are distinct performance obligations that are satisfied over time with revenue recognized as services are delivered. Revenue billed in advance are treated as deferred revenue which was $0 and $181 as of December 31, 2025 and 2024, respectively. As of December 31, 2025, the HyperPointe unit was no longer operating. The Company excludes all sales taxes assessed to our customers from revenue. Sales taxes assessed on revenues are included in Accrued expenses and other current liabilities on the Company’s consolidated balance sheets until remitted to state agencies.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Gift cards, customer rewards and prepaid packages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 offers no-fee, non-expiring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the reduction in the value of unused card balances.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XWELL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In 2023, the Company adopted a formal expiration policy whereby any loyalty members with inactivity for an 18-month period will forfeit any unused loyalty rewards.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costs associated with gift cards and reward points are accrued as the rewards are earned by the cardholder and are included in Accrued expenses and other current liabilities in the consolidated balance sheets until used.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Naples Wax Center offers prepaid wax packages that are either unlimited for one year or a set number of services. When the packages are purchased, the sales are recorded as deferred revenue. As services related to prepaid packages are used, revenue is recognized as income. The deferred revenue was $837 and $956 for the year ended December 31, 2025 and 2024,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 maker (“CODM”) is the Chief Executive Officer, who reviews the financial performance and the results of operations of the segments prepared in accordance with U.S. GAAP when making decisions about allocating resources and assessing performance of the Company. The Company currently has three reportable operating segments: XpresSpa. XpresTest and Naples Wax Center. See Note 13. Segment Information.</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are currently no intersegment revenues. Asset information by operating segment is presented below Note 13 since the chief operating decision maker reviews this information by segment. The reporting segments follow the same accounting policies used in the preparation of the Company’s audited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Pre-opening and start-up activity costs, which include rent and occupancy, supplies, advertising, and other direct expenses incurred prior to the opening of a new store, are expensed in the period in which they are incurred.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Cost of sales consists of location operating costs. These costs include all costs that are directly attributable to the location’s operations and include:</w:t>
      </w:r>
    </w:p>
    <w:p>
      <w:pPr>
        <w:spacing w:after="0" w:line="162"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related benefits for the location’s operations and management;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percentage rent and occupancy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merchandise and testing supplies;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shipping and handling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shortage and valuation adjustments;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sourcing operations.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Black-Scholes-Merton (“Black-Scholes”) option-pricing model. The fair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of Restricted Stock Units (“RSUs”) is calculated as of the date of grant using the grant date closing share price multiplied by the number of RSUs granted. The expense is recognized on a straight-line basis, over the requisite service period. The Company uses the simplified method to estimate the expected term of options due to insufficient history and high turnover in the past. Expected volatility is estimated based on a weighted average historical volatility of the Company. The risk-free rate for the expected term of the option is based on the United States Treasury yield curve as of the date of grant. The Company recognizes forfeitures as they occur. The Company issues new stock to deliver shares under its Equity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records shares of convertible preferred stock at their respective fair values on the dates of issuance, net of issuance costs. The Company concluded that the Company’s Series G Convertible Preferred Stock, par value $0.01 per share (“Series G Preferred Stock”), is more akin to a debt-type instrument than an equity-type instrument, therefore certain embedded features were deemed to not be clearly and closely related to the debt host instrument and were bifurcated as a derivative under ASC 815. The Company has applied the guidance in ASC 480-10-S99-3A, SEC Staff Announcement: Classification and Measurement of Redeemable Securities and has therefore classified the Series G convertible preferred stock as mezzanine equity as it redeemable in quarterly installments. The Company adjusts the carrying values of the convertible preferred stock by accreting the discount and accruing dividends to state the convertible preferred stock at redemption value each reporting period.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Modifications and Exchanges of Preferred Stock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Changes to the terms of the Company’s convertible preferred stock or exchanges of shares of the Company’s convertible preferred stock are assessed to determine whether the changes or exchange should be accounted for as a modification or an extinguishment. This assessment can be done either qualitatively or quantitatively based upon the significance of the change.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the assessment results in an extinguishment, then the difference between the fair value of the new or modified preferred stock and other consideration exchanged and the carrying value of the original preferred stock is recognized in equity as a deemed dividend. The difference is also recognized as an adjustment to earnings available to common stockholders for purposes of calculating earnings per share.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accounts for convertible debt in accordance with ASC 470-20, Debt - Debt with Conversion and Other Options (“ASC 470-20”). Convertible debt instruments are evaluated at issuance to determine whether they contain embedded features that require bifurcation as derivatives or equity components. If an embedded feature meets the criteria for derivative accounting under ASC 815 it is bifurcated and recorded separately at fair value, with subsequent changes in fair value recognized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815, Derivatives and Hedging (“ASC 815”). For derivative financial instruments that are accounted for as assets or liabilities, the derivative instrument is initially recorded at its fair value on the grant date and is then re-valued at each reporting date, with changes in the fair value reported in the consolidated statements of operations. The classification of derivative instruments, including whether such instruments should be recorded as assets, liabilities or as equity, is evaluated at the end of each reporting period. Derivative liabilities are classified in the consolidated balance sheets as current or non-current based on whether or not net-cash settlement or conversion of the instrument could be required within 12 months of the consolidated balance sheet date.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The Company accounts for warrants as either equity-classified or liability-classified instruments based on an assessment of the warrant’s specific terms and applicable authoritative guidance in ASC 480, Distinguishing Liabilities from Equity (“ASC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warrants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applies the guidance in ASC 815-40 to account for warrants that are liability classified that are subsequently modified resulting in a reclassification to equity. The warrants are remeasured at fair value on the modification date, the change in fair value is recognized as a non-cash gain or loss on the consolidated statements of operations, and the warrants are reclassified to additional paid-in capital.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computes basic and diluted net loss per share under the two-class method required for participating securities. The two-class method of computing earnings per share is an earnings allocation formula that determines earnings per share for common stock and any participating securities according to dividends declared (whether paid or unpaid) and participation rights in undistributed earnings. Basic and diluted net loss for common stock equivalents is computed by dividing the dividing net loss attributable to common stockholders by the weighted average number of shares of common stock outstanding for the period. Diluted net loss per share includes potentially dilutive securities outstanding for the period. Because the impact of these items is anti-dilutive during periods of net loss, there was no difference between the Company’s basic and diluted net loss per stock of Common Stock for the years ended December 31, 2025 and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Distinguishing Liabilities from Equity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relies on the guidance provided by FASB ASC Topic 480, Distinguishing Liabilities from Equity (“ASC 480”), to classify certain redeemable and/or convertible instruments. The Company first determines whether a financial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instrument should be classified as a liability. The Company will determine the liability classification if the financial instrument is mandatorily redeemable, or if the financial instrument, other than outstanding shares, embodies a conditional obligation that the Company must or may settle by issuing a variable number of its equity shares.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Once the Company determines that a financial instrument should not be classified as a liability, the Company determines whether the financial instrument should be presented between the liability section and the equity section of the consolidated balance sheet. The Company will determine temporary equity classification if the redemption of the financial instrument is outside the control of the Company (i.e. at the option of the holder). Otherwise, the Company accounts for the financial instrument as permanent equity.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Translation into United States dollars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conducts certain transactions in foreign currencies, such as the Euro, Turkish Lira and United Arab Emirates Dirham, which are recorded at the exchange rate as of the transaction date. All exchange gains and losses occurring from the remeasurement of monetary balance sheet items denominated in non-dollar currencies are deemed non-operating income in the consolidated statements of operations and comprehensive loss. During the years ended December 31, 2025 and 2024, the Company recorded $654 and $259 respectively, in exchange losses occurring from the remeasurement of monetary balance sheet items denominated in non-dollar currencies.</w:t>
      </w:r>
    </w:p>
    <w:p>
      <w:pPr>
        <w:spacing w:after="0" w:line="18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Accounts of the foreign subsidiaries of XpresSpa are translated into United States dollars. Assets and liabilities have been translated primarily at year end exchange rates and revenues and expenses have been translated at average monthly rates for the year. The translation adjustments arising from the use of different exchange rates are included as foreign currency translation within the consolidated statements of operations and comprehensive loss and consolidated statements of changes in stockholders’ equity.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as well as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If actual results differ from these estimates in future periods, the Company will be required to adjust the valuation allowance.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that is greater than 50% of being realized. Changes in recognition or measurement are reflected in the period in which the change in judgment occurs. The Company had no uncertain tax positions as of December 31, 2025 and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on the income tax expense line in the accompanying consolidated statement of operations. As of December 31, 2025 and 2024, no accrued interest or penalties are included on the related tax liability line in the consolidated balance sheets.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Noncontrolling interests represent the noncontrolling holders’ percentage share of earnings or losses from; i) the subsidiaries, in which the Company holds a majority, but less than 100%, ownership interest, ii) Variable Interest Entities, where the Company is a primary beneficiary and the results of which are included in the Company’s consolidated statements of operations and comprehensive loss. Net loss attributable to noncontrolling interests represents the proportionate share of the noncontrolling holders’ ownership in certain subsidiaries of XpresSpa and of XpresTest.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Certain conditions may exist as of the date the financial statements are issued, which may result in a loss to the Company, but which will only be resolved when one or more future events occur or fail to occur.</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 Legal costs expected to be incurred in connection with a loss contingency are expensed as incurred.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$1,389 of goodwill impairment loss. During the year ended December 31, 2024, the Company did not record any goodwill impairment loss.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amounted to approximately $707 and $550 for the years ended December 31,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measures fair value in accordance with ASC 820-10, Fair Value Measurements and Disclosures.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 accessible to the reporting entity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date.</w:t>
      </w:r>
    </w:p>
    <w:p>
      <w:pPr>
        <w:spacing w:after="0" w:line="15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Other than quoted prices included in Level 1 inputs that are observable for the asset or liability, either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for substantially the full term of the asset or liability.</w:t>
      </w:r>
    </w:p>
    <w:p>
      <w:pPr>
        <w:spacing w:after="0" w:line="15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for the asset or liability used to measure fair value to the extent that observable inputs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thereby allowing for situations in which there is little, if any, market activity for the asset or liability at measurement date.</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No. 2023-09, Income Taxes (Topic 740): Improvements to Income Tax Disclosures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adopted ASU 2023-09 for the year ended December 31, 2025 on a prospective basis; adoption did not affect the amounts recognized in the consolidated financial statements, and the Company has updated its income tax disclosures to reflect the new requirements, including expanded effective tax rate reconciliation categories and disaggregation of income taxes paid by jurisdiction.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2024-03, Income Statement-Reporting Comprehensive Income-Expense Disaggregation Disclosures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public business entities to disclose, on an annual and interim basis, disaggregated information about certain income statement expense line items in the notes to the financial statements. Public business entities are required to apply the guidance prospectively and may elect to apply it retrospectively. This ASU is effective for fiscal years beginning after December 15, 2026, and interim periods within fiscal years beginning after December 15, 2027. The Company is currently evaluating the effect of adopting this new accounting pronouncement.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5"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ASU 2025-05, Financial Instruments - Credit Losses (Topic 326): Measurement of Credit Losses for Accounts Receivable and Contract Assets</w:t>
      </w:r>
    </w:p>
    <w:p>
      <w:pPr>
        <w:spacing w:after="0" w:line="12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which amends ASC 326-20 to provide a practical expedient related to the estimation of expected credit losses for current accounts receivable and current contract assets that arise from transactions accounted for under ASC 606. The practical expedient permits all entities to assume that current conditions as of the balance sheet date do not change for the remaining life of the asset. The amendments are effective for annual periods beginning after December 15, 2025. Early adoption is permitted. The Company is currently evaluating the impact of the new guidance on its consolidated financial statements and related disclosures.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2025-11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Interim Reporting (Topic 270) Narrow-Scope Improvements</w:t>
      </w:r>
    </w:p>
    <w:p>
      <w:pPr>
        <w:spacing w:after="0" w:line="20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which is intended to clarify the applicability of interim reporting guidance and addresses the form and content of interim financial statements and interim disclosure requirements. ASU 2025-11 is effective for interim reporting periods within annual reporting periods beginning after December 15, 2027, and early adoption is permitted. The Company is currently evaluating the impact of this ASU on its consolidated financial statements and related disclosures.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Net earnings/(loss) per Share of Common Stock</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table below presents the computation of basic and diluted (losses)/net earnings per common share:</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numerator:</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XWELL, Inc.</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56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Less: preferred stock accretion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deemed dividend on warrant exchange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Less: deemed dividend on Exchange of Series G Preferred Stock</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(28,233)</w:t>
            </w:r>
          </w:p>
        </w:tc>
        <w:tc>
          <w:tcPr>
            <w:tcW w:w="5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denominator:</w:t>
            </w: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5,560,015</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4,610,940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(5.08)</w:t>
            </w:r>
          </w:p>
        </w:tc>
        <w:tc>
          <w:tcPr>
            <w:tcW w:w="180" w:type="dxa"/>
            <w:vAlign w:val="bottom"/>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1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per share data presented above excludes from the calculation of diluted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the following potentially dilutive securities, having an anti-dilutive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impact, in case of net loss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Both vested and unvested options to purchase an equal number of shares of Common</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921,267</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to issue an equal number of shares of Common Stock</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Series B warrants to purchase shares of Common Stock</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9,045,000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Series G Convertible Preferred Stock on an as converted basis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379,640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 on an as converted basis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4,303,880</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number of potentially dilutive securities excluded from the calculation of</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14,704,787</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569,799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common shareholders</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accordance with ASC 260, 35,000 RSUs that were fully vested on December 31, 2025 were included in basic and dilutive earnings per share as there were no remaining contingencies for these shares to be issued as of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Cash, Cash Equivalents, and Restricted Cash</w:t>
            </w: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5"/>
        </w:trPr>
        <w:tc>
          <w:tcPr>
            <w:tcW w:w="510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denominated in United States dollars</w:t>
            </w:r>
          </w:p>
        </w:tc>
        <w:tc>
          <w:tcPr>
            <w:tcW w:w="6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denominated in currency other than United States dollars</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Credit and debit card receivables</w:t>
            </w:r>
          </w:p>
        </w:tc>
        <w:tc>
          <w:tcPr>
            <w:tcW w:w="6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09"/>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6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r>
      <w:tr>
        <w:trPr>
          <w:trHeight w:val="20"/>
        </w:trPr>
        <w:tc>
          <w:tcPr>
            <w:tcW w:w="5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places its cash and temporary cash investments with credit quality institutions. At times, such cash denominated in United States dollars may be in excess of the Federal Deposit Insurance Corporation (“FDIC”) insurance limit. If the Company were to distribute the amounts held overseas, the Company would need to follow an approval and distribution process as defined in its operating and partnership agreements, which may delay and/or reduce the availability of that cash to the 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Other Current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and 2024, the Company’s other current assets were comprised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58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3720" w:type="dxa"/>
            <w:vAlign w:val="bottom"/>
          </w:tcPr>
          <w:p>
            <w:pPr>
              <w:spacing w:after="0"/>
              <w:rPr>
                <w:sz w:val="20"/>
                <w:szCs w:val="20"/>
                <w:color w:val="auto"/>
              </w:rPr>
            </w:pPr>
          </w:p>
        </w:tc>
        <w:tc>
          <w:tcPr>
            <w:tcW w:w="352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6"/>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0"/>
        </w:trPr>
        <w:tc>
          <w:tcPr>
            <w:tcW w:w="3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Prepaid expenses are predominantly comprised of financed and prepaid insurance policies and IT hosting services, which have terms of one year or less.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Property and equipment are comprised of three categories: leasehold improvements, furniture and fixtures, and other operating equipment as of December 31, 2025 and 2024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9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7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2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Average 5-8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equipment</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Maximum 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6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related assets. Leasehold improvements are depreciated over the shorter of the remaining lease term or economic useful life, which is on average 5 to 8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fair values of the Company’s asset groups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performed assessments of its property and equipment for impairment for the years ended December 31, 2025 and 2024 and based upon the results of the impairment tests, the Company recorded impairment of approximately $2,529, and $1,706, respectively, which is included in Impairment of long-lived assets on the consolidated statements of operations and comprehensive loss. The impairment expense is primarily related to the underperformance of the Company’s various Naples Wax locations in 2025 and the Company’s various Spa locations in domestic and international airports in 2024. The impairment related to property and equipment is included within the accumulated amortization of the above schedule.</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recorded depreciation expense of $560 and $622,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intangible assets, which consist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580" w:type="dxa"/>
            <w:vAlign w:val="bottom"/>
            <w:tcBorders>
              <w:bottom w:val="single" w:sz="8" w:color="auto"/>
            </w:tcBorders>
          </w:tcPr>
          <w:p>
            <w:pPr>
              <w:spacing w:after="0"/>
              <w:rPr>
                <w:sz w:val="20"/>
                <w:szCs w:val="20"/>
                <w:color w:val="auto"/>
              </w:rPr>
            </w:pPr>
          </w:p>
        </w:tc>
      </w:tr>
      <w:tr>
        <w:trPr>
          <w:trHeight w:val="187"/>
        </w:trPr>
        <w:tc>
          <w:tcPr>
            <w:tcW w:w="2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1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2300" w:type="dxa"/>
            <w:vAlign w:val="bottom"/>
          </w:tcPr>
          <w:p>
            <w:pPr>
              <w:spacing w:after="0"/>
              <w:rPr>
                <w:sz w:val="20"/>
                <w:szCs w:val="20"/>
                <w:color w:val="auto"/>
              </w:rPr>
            </w:pPr>
          </w:p>
        </w:tc>
        <w:tc>
          <w:tcPr>
            <w:tcW w:w="6600" w:type="dxa"/>
            <w:vAlign w:val="bottom"/>
            <w:gridSpan w:val="18"/>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​​​Amortization ​​​Amount  ​​​Amount  ​​​Amortization ​​​Amount</w:t>
            </w:r>
          </w:p>
        </w:tc>
      </w:tr>
      <w:tr>
        <w:trPr>
          <w:trHeight w:val="209"/>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0"/>
        </w:trPr>
        <w:tc>
          <w:tcPr>
            <w:tcW w:w="2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trade names and customer relationships relate to the Naples Wax Center, software relates to certain capitalized third-party costs related to a new website and a point-of-sale system, and licenses relate to certain capitalized costs of foreign acquisition.</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year ended December 31, 2025, the Company recorded an impairment of $620 related to trade names and customer relationships which is included in Impairment of long-lived assets on the consolidated statement of operations and comprehensive loss. The impairment expense primarily relates to intangible assets of Naples Wax. The impairment related to intangibles is included within the accumulated amortization of the above schedule. In the year ended December 31, 2024, the Company identified a triggering event and recorded an impairment of $5 related to Licenses which is included in Impairment of long-lived assets on the consolidated statement of operations and comprehensive loss.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fair values of the Company’s long-lived assets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intangible assets are amortized over their expected useful lives, which are six years for trade names and one and three years for software, whereas the intangibles obtained because of the Naples Wax Center acquisition have an estimated life of 5 to 12 years. During the years ended December 31, 2025 and 2024, the Company recorded amortization expense of $302 and $316, respectively. The remaining intangibles balance of $101 will be fully amortized during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leases spa and clinic locations at various domestic and international airports. Additionally, the Company leases its corporate office in New York City and other off airport locations in various US cities. Leases entered into by the Company are accounted for in accordance with ASC 842. The Company determines if an arrangement is a lease at 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month-to-month basis. Leases are not included in the calculation of the total lease liability and the right of use asset when they are month-to-month.</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reviews all of its existing lease agreements to determine whether there were any modifications to lease agreements and to assess if any agreements should be accounted for pursuant to the guidance in ASC 842. If a lease is deemed to be modified, the operating lease ROU asset and lease liability is re-measured using the current incremental borrowing rate. There were various lease modifications that occurred for the years ended December 31, 2025 and 2024.</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Company’s Treat Salt Lake City International Airport (“SLC”) location was terminated. When a termination occurs, the Company remeasures the related operating lease right of use asset and lease liability and recognizes those adjustments in the consolidated statements of operations and comprehensive loss. Since the related operating right of use asset was fully impaired for the Treat SLC location at the time of the termination, the Company recognized a gain from lease termination of approximately $655 as a result of this termination.</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Company’s Treat Studios location was terminated. Since the related operating right of use asset was fully impaired for the Treat Studios location at the time of termination, the Company recognized a gain from lease termination of approximately $410 as a result of this termination.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there was an increase to the lease term for the XWELL corporate headquarters, located at 254 West 31st Street, New York, which has been accounted for as a lease renewal. A new operating lease right-of-use asset and lease liability were measured at the renewal date, resulting in an right-of-use asset and lease liability of $200.</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there was an increase to the lease term for the XpresSpa Las Vegas Airport lease, which has been accounted for as a lease modification. The operating lease right-of-use asset and liability were remeasured at the modification date, resulting in an increase to both balances of $80.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activity in the Company’s current and long-term operating lease liabilities for the year ended December 31, 2025 and 2024:</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10"/>
        </w:trPr>
        <w:tc>
          <w:tcPr>
            <w:tcW w:w="9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8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3"/>
              </w:rPr>
              <w:t>2024</w:t>
            </w:r>
          </w:p>
        </w:tc>
      </w:tr>
      <w:tr>
        <w:trPr>
          <w:trHeight w:val="209"/>
        </w:trPr>
        <w:tc>
          <w:tcPr>
            <w:tcW w:w="6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8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and modified operating lease liabilities</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60" w:type="dxa"/>
            <w:vAlign w:val="bottom"/>
            <w:tcBorders>
              <w:right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r>
      <w:tr>
        <w:trPr>
          <w:trHeight w:val="432"/>
        </w:trPr>
        <w:tc>
          <w:tcPr>
            <w:tcW w:w="6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December 31, 2025, future minimum operating leases commitments are as follows: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5"/>
        </w:trPr>
        <w:tc>
          <w:tcPr>
            <w:tcW w:w="606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Calendar Years ending December 31,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spacing w:after="0"/>
              <w:rPr>
                <w:sz w:val="24"/>
                <w:szCs w:val="24"/>
                <w:color w:val="auto"/>
              </w:rPr>
            </w:pPr>
          </w:p>
        </w:tc>
      </w:tr>
      <w:tr>
        <w:trPr>
          <w:trHeight w:val="210"/>
        </w:trPr>
        <w:tc>
          <w:tcPr>
            <w:tcW w:w="90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2,371</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2,211</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1,402</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1,243</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1,610</w:t>
            </w: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10,537</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 expense at incremental borrowing rate</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present value of lease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8,897</w:t>
            </w:r>
          </w:p>
        </w:tc>
        <w:tc>
          <w:tcPr>
            <w:tcW w:w="90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assumptions and pertinent information related to the Company’s accounting for operating leases are:</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5.30 years</w:t>
            </w:r>
          </w:p>
        </w:tc>
      </w:tr>
      <w:tr>
        <w:trPr>
          <w:trHeight w:val="198"/>
        </w:trPr>
        <w:tc>
          <w:tcPr>
            <w:tcW w:w="20" w:type="dxa"/>
            <w:vAlign w:val="bottom"/>
          </w:tcPr>
          <w:p>
            <w:pPr>
              <w:spacing w:after="0"/>
              <w:rPr>
                <w:sz w:val="17"/>
                <w:szCs w:val="17"/>
                <w:color w:val="auto"/>
              </w:rPr>
            </w:pPr>
          </w:p>
        </w:tc>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discount rate used to determine present value of operating</w:t>
            </w:r>
          </w:p>
        </w:tc>
        <w:tc>
          <w:tcPr>
            <w:tcW w:w="1240" w:type="dxa"/>
            <w:vAlign w:val="bottom"/>
          </w:tcPr>
          <w:p>
            <w:pPr>
              <w:spacing w:after="0"/>
              <w:rPr>
                <w:sz w:val="17"/>
                <w:szCs w:val="17"/>
                <w:color w:val="auto"/>
              </w:rPr>
            </w:pPr>
          </w:p>
        </w:tc>
      </w:tr>
      <w:tr>
        <w:trPr>
          <w:trHeight w:val="23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6.67 %</w:t>
            </w: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Cash paid for minimum annual rental obligations for the years ended December 31, 2025 and 2024, were $2,272 and $1,668,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Variable lease payments calculated monthly as a percentage of a product and services revenue were $1,396 and $1,330 for the years ended December 31, 2025 and 2024,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Rent expense for operating leases for the years ended December 31, 2025 and 2024 were $2,995 and $3,110 respectively.</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performed assessments of its right of use lease assets for impairment for the years ended December 31, 2025 and 2024. Based upon the results of the impairment tests, the Company recorded impairment expenses of approximately $1,736 and $2,805 which is included in Impairment of operating lease right-of-use assets on the consolidated statement of operations and comprehensive loss for the years ended December 31, 2025 and 2024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Stockholders’ Equity (deficit) and Warrants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27"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On January 14, 2025, XWELL, Inc. entered into a Securities Purchase Agreement (the “Purchase Agreement”) with certain accredited investors (the “Investors”), pursuant to which it agreed to sell to the Investors (i) an aggregate of 4,000 shares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of the Company’s newly-designated Series G Convertible Preferred Stock, with a par value of $0.01 per share and a stated value of $1,000 per share, initially convertible into up to 2,673,797 shares of the Company’s common stock, par value $0.01 per share (the “Common Stock”) at a conversion price of $1.496 per share (the “Preferred Stock”), (ii) Series A warrants to acquire up to an aggregate of 2,673,797 shares of Common Stock (the “Series A Warrants”) at an exercise price of $1.496 per share, and (iii) Series B warrants to acquire up to an aggregate of 2,673,797 shares of Common Stock (the “Series B Warrants,” and collectively with the Series A Warrants, the “Warrants”) at an exercise price of $1.7952 per share (collectively, the “Private Placement”).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closing of the Private Placement occurred on January 14, 2025 (the “Closing Date”). The Private Placement unit described above had a purchase price of $1,000 per unit and aggregate gross proceeds from the Private Placement were $4,000. The Company used the net proceeds from the Private Placement for general corporate purposes.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engaged GP Nurmenkari Inc. (the “Placement Agent”) to act as the placement agent in connection with the Private Placement. Pursuant to an Engagement Letter with the Placement Agent, the Company paid to the Placement Agent a cash fee equal to 2% of gross proceeds of the Private Placement.</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Transaction costs totaling approximately $255 were incurred related to the Private Placement consisting of cash expenses for placement agent fees, legal fees, and accounting costs related to the financing. These cost were proportionately allocated to the Series G Convertible Preferred Stock and the Warrants based on the allocated gross proceeds of the instruments. Accordingly, none of the transaction costs were allocated against the carrying value of the Preferred Stock and the total of approximately $255 of transaction costs were immediately expensed related to the Warrants which are accounted for as liabilities in accordance with ASC 815,which is included as a component of loss on issuance of Series G Preferred Stock on the consolidated statement of operations. Net proceeds from the Private Placement totaled $3,745.</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connection with the private placement consummated on January 14, 2025, the Company and the investors entered into a Registration Rights Agreement (the “Registration Rights Agreement”), pursuant to which the Company is required to file a resale registration statement (the “Registration Statement”) with the SEC and to have such Registration Statement declared effective by the Effectiveness Deadline (as defined in the Registration Rights Agreement). The Company is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 The Registration Statement was filed on February 7, 2025. Following a series of waivers and amendments to the Registration Rights Agreement to extend the effectiveness date of the Registration Statement by and between the Company and the investors, the Registration Statement was declared effective on June 30, 2025.</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Pursuant to the Registration Rights Agreement, the Company shall pay to each holder of Registrable Securities (as defined in the Registration Rights Agreement) relating to such Registration Statement an amount in cash equal to 2% of such investor’s respective purchase price (as defined in the Securities Purchase Agreement) on the closing date (1) on the date of such filing failure, effectiveness failure, maintenance failure, or current public information failure, as applicable, and (2) on every 30 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30 days) (such payments to which a holder of Registrable Securities shall be entitled pursuant to the Registration Rights Agreement, the “Registration Delay Payments”).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30 day anniversary of such event or failure, then such Registration Delay Payment shall be made on the third business day after such cure. In the event the Company fails to make Registration Delay Payments in a timely manner in accordance with the foregoing, such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Registration Delay Payments shall bear interest at the rate of one and 1.5% per month (prorated for partial months) until paid in full.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Series G Convertible Preferred Stock</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terms of the Preferred Stock are as set forth in the form of Certificate of Designations (the “Certificate of Designations”). The Preferred Stock are convertible into shares of Common Stock (the “Conversion Shares”) at the election of the holder at any time at an initial conversion price of $1.496 per share (the “Conversion Price”). The Conversion Price is subject to customary adjustments for stock dividends, stock splits, reclassifications, stock combinations and the like (subject to certain exceptions). The Company is required to redeem the Preferred Stock in six (6) equal quarterly installments, commencing on July 1, 2025. The amortization payments due upon such redemption are payable, at the Company’s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lower of (i) $0.167 and (ii) 20% of the “Minimum Price” (as defined in Rule 5635 of the Rule of the Nasdaq Stock Market) (the “Floor Price”), and in each case subject to adjustment for stock splits, stock dividends, stock combinations, recapitalizations or other similar events.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holders of the Preferred Stock are entitled to dividends of 8% per annum, compounded each calendar quarter, which are payable in arrears monthly in cash or shares of Common Stock at the Company’s option, in accordance with the terms of the Certificate of Designations. Upon the occurrence and during the continuance of a Triggering Event (as defined in the Certificate of Designations), the Preferred Stock accrue dividends at the rate of 15% per annum. Upon conversion or redemption, the holders of the Preferred Stock are also entitled to receive a dividend make-whole payment, assuming for calculation purposes that the stated value of such Preferred Stock remained outstanding through and including the one-year anniversary of the applicable date of conversion. The Company is required to maintain unrestricted cash and cash equivalents on hand in an amount equal to at least 200% of the sum of the stated value, accrued dividends, dividend make-whole payments payable, and any other required amounts payable pursuant to the Certificate of Designations for all outstanding shares of Preferred Stock. The holders of the Preferred Stock are entitled to vote with holders of the Common Stock on as as-converted basis, with the number of votes to which each holder of Preferred Stock is entitled to be calculated assuming a conversion price of $1.36 per share, which was the Minimum Price (as defined in Rule 5635 of the Rules of the Nasdaq Stock Market) applicable immediately before the execution and delivery of the Purchase Agreement, subject to certain beneficial ownership limitations as set forth in the Certificate of Designations.</w:t>
      </w:r>
    </w:p>
    <w:p>
      <w:pPr>
        <w:spacing w:after="0" w:line="19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Company’s ability to settle conversions and make amortization and dividend make-whole payments using shares of Common Stock is subject to certain limitations set forth in the Certificate of Designations, including a limit on the number of shares that may be issued until the time, if any, that the Company has obtained the Stockholder Approval. Further, the Certificate of Designations contains a certain beneficial ownership limitation after giving effect to the issuance of shares of Common Stock issuable upon conversion of the Preferred Stock or as part of any amortization payment or dividend make-whole payment under the Certificate of Designations.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Certificate of Designations includes certain Triggering Events, including, among other things, the Company’s failure to pay any amounts due to the holders of the Preferred Stock when due. In connection with a Triggering Event, each holder of Preferred Stock will be able to require the Company to redeem in cash any or all of the holder’s Preferred Stock at a premium set forth in the Certificate of Designations.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Preferred Shares were determined to be more akin to a debt-like host than an equity-like host. The Company identified the following embedded features that are not clearly and closely related to the debt host instrument and met the requirements for bifurcation: 1) certain contingent redemption options, 2) variable share-settled conversions, and 3) certain contingent penalty features. These bifurcated derivative features were bundled together, assigned probabilities of being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affected and measured at fair value. Subsequent changes in fair value of these features are recognized in the Consolidated Statement of Operations. The Company estimated the $1,315 fair value of the bifurcated embedded derivative at issuance using a Monte Carlo simulation, with the following inputs: the fair value of the Company’s common stock of $1.37 on the issuance date, estimated equity volatility of 86.0%, the time to maturity of 2.0 years, a discounted market interest rate of 6.4%, a risk-free rate of 4.28%, dividend rate of 8.0%, a penalty dividend rate of 15.0%, and probability of default of 9.9%. The fair value of the bifurcated derivative liability was estimated utilizing the with and without method which uses the probability weighted difference between the scenarios with the derivative and the plain vanilla maturity scenario without a derivative.</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discount to the fair value is included as a reduction to the carrying value of the Series G Preferred Shares. During the year ended December 31, 2025, the Company recorded a total discount of $4,000 upon issuance of the Series G Preferred Shares, which was comprised of the issuance date fair value of the associated embedded derivative of $1,315 and the remaining $2,685 of gross proceeds after allocation to the derivative liability which represents the portion of the Warrant liability allocated to the discount. At issuance it was deemed probable that the Series G Preferred Shares will become redeemable, and thus the Company will accrete the carrying value of the Series G Preferred Shares to their redemption value over the expected life of the instruments pursuant to ASC 480-10-S99-3A utilizing the effective interest method. As the fair value of the liabilities required to be subsequently measured at fair value exceeded the net proceeds received, the Company recognized the excess of the fair value over the net proceeds received as a component of the loss upon issuance of preferred stock of $3,188 which is included in other income (expense) in the consolidated statement of operations.</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notified the investors of its intention to redeem installments due in cash and recorded a liability of $538 representing the cash payable to investors which includes $490 of the stated value of the Series G Preferred Shares, $13 of accrued dividends payable of dividends, and $35 of cash premiums which was recognized as a deemed dividend. During the year ended December 31, 2025, the Company redeemed a total of 1,510 Series G Preferred Shares for cash equal to $1,794 and issued 304,621 shares of Common Stock, elected pursuant to the terms of the Series G Certificate of Designations, worth $177.</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a total of $509 of preferred dividends consisting of $267 of preferred dividends at the stated dividend rate and $242 of cash premiums recognized as deemed dividends.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Pursuant to the Private Placement, the Company issued (i) the Series A Warrants to acquire up to an aggregate of 2,673,797 shares of Common Stock at an exercise price of $1.496 per share, and (ii) the Series B Warrants to acquire up to an aggregate of 2,673,797 shares of Common Stock at an exercise price of $1.7952 per share.</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14, 2025, the Company assessed the Warrants under ASC 815 and determined that the Warrants should be classified as liabilities as they do not meet the requirements to be considered indexed to the Company’s own stock, due to the presence of certain Stockholder Approval-related provisions in the Warrants which potentially adjust the settlement value in conjunction with the Stockholder Approval event. Additionally, the Warrants include a provision related to certain tender or exchange offers which further preclude the Warrants from being accounted for as equity. As such, the Company recorded the Warrants as a liability at fair value with subsequent changes in fair value recognized in earnings. The Company utilized the Black Scholes Model to calculate the value of the Warrants issued on issuance. The fair value of the Warrants of approximately $5,900 was estimated at January 14, 2025 utilizing the Black Scholes Model using the following weighted average assumptions: the fair value of the Company’s common stock per share of $1.37; remaining term of 5 years; equity volatility of 114.0%; and a risk-free interest rate of 4.49%.</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16, 2025, the Company entered into an omnibus amendment (the “Warrant Amendment”) with each of the holders of the Series A Warrants and Series B Warrants. The Warrant Amendment makes certain adjustments to the definition of a “Fundamental Transaction” in each of the Warrants, as described in the Warrant Amendment, including changing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scope of the definition applicable to tender or exchange offers that the Company makes, allows one or more Subject Entities (as defined in the Warrant Agreement) to make, or allows the Company to be subject to, to require such a tender or exchange offer to represent more than 50% of the outstanding voting power of the Company. Further, the Warrant Amendment modifies certain terms of the Warrants relating to the rights of the holders in the event of a Fundamental Transaction (as defined in each of the Series A Warrants and Series B Warrants, and as each amended by the Warrant Amendment) that is not within the Company’s control, including that upon a Fundamental Transaction not being approved by the Company’s Board of Directors, the holders of the Warrants shall only be entitled to receive from the Company or any successor entity the same type or form of consideration (and in the same proportion), at the Black Scholes Value (as defined in each of the Series A Warrants and Series B Warrants and as each amended by the Warrant Amendment, as described below) of the unexercised portion of such Warrants, that is being offered and paid to the holders of the Company’s Common Stock. In addition, the Amendment revises the definition of Black Scholes Value related to the volatility input which is now an expected volatility equal to the 30 day volatility obtained from the “HVT” function on Bloomberg (determined utilizing a 365 day annualization factor) as of the trading day immediately following the earliest to occur of (1) the public disclosure of the applicable Fundamental Transaction and (2) the date of a holder’s request. The Warrant Amendment resulted in the reclassification of the Warrants as equity, rather than liability, as upon reassessment, the Company concluded that the Warrants now met the requirements to be considered indexed to the Company’s own stock and eligible for equity classification under ASC 815-40. The Company utilized the Black Scholes Model to calculate the value of the Warrants on the modification date. The fair value of the Warrants of approximately $2,658 was estimated at May 16, 2025 utilizing the Black Scholes Model using the following weighted average assumptions: the fair value of the Company’s common stock per share of $0.91; remaining term of 4.67 years; equity volatility of 82.0%; and a risk-free interest rate of 3.97%. On May 16, 2025, the $2,658 fair value of the warrants was reclassified to additional paid-in-capital (APIC) on the consolidated statements of changes in temporary equity and stockholders’ equity and does not require remeasurement moving forward.</w:t>
      </w:r>
    </w:p>
    <w:p>
      <w:pPr>
        <w:spacing w:after="0" w:line="20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a gain of approximately $3,215 related to the change in fair value of the warrant liability, prior to reclassification, which is recorded in other income (expense) on the consolidated statements of operations.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November 2025 Securities Exchange and Amendment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November 3, 2025, the Company entered into a Securities Exchange and Amendment Agreement (the “Exchange Agreement”) with the Investors, pursuant to which the Company agreed to exchange a portion of the Company’s outstanding shares of Series G Preferred Stock, including all accrued and unpaid dividends thereon equal to approximately $1,800 in aggregate Stated Value, held by the Investors, for senior secured convertible notes (collectively, the “Notes”) in the aggregate principal amount of $3,387 (collectively, the “Exchange”). As a result of the Exchange Agreement, the Company exchanged a total of 1,804 shares of Series G Preferred Stock for the Notes.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connection with the Exchange, the Company and the Investors agreed to (A) amend certain terms of the Company’s Series G Preferred Stock as set forth in a Certificate of Amendment (the “Certificate of Amendment”) to the Certificate of Designations as described below, and (B) amend and restate the Investors’ (i) Series A Warrants (the “Amended and Restated Series A Warrants”) and (ii) Series B Warrants (the “Amended and Restated Series B Warrants” and, collectively with the Amended and Restated Series A Warrants, the “Amended and Restated Warrants”) to (A) reduce the exercise price of the Warrants to $1.00, and (B) add certain anti-dilution provisions such that the exercise price of the Warrants will be subject to price-based adjustment in the event of any issuances of Common Stock, or securities convertible, exercisable or exchangeable for Common Stock, at a price below the then-applicable exercise price.The Certificate of Amendment amended the Certificate of Designations to (i) reduce the Series G Conversion Price to $1.00, (ii) remove the restrictive covenant requiring the Company to maintain unencumbered, unrestricted cash and cash equivalents on hand in an amount equal to at least 200% of the shares of Common Stock issuable upon conversion of the outstanding shares of Series G Preferred Stock, (iii) amend the definition of “Make-Whole Amount,” such that it now means an amount equal to the amount of additional dividends that would accrue at the dividend rate then in effect assuming for calculation purposes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Stated Value as of the Closing Date remained outstanding through and including the Maturity Date (as defined in the Certificate of Designations), (iv) add certain provisions such that the Series G Conversion Price will be subject to price-based adjustment in the event of any issuances of Common Stock, or securities convertible, exercisable or exchangeable for Common Stock, or the event of any change in the exercise or conversion price or rate for any such securities previously issued by the Company, at or to a price below the then-applicable Series G Conversion Price (subject to certain exceptions as defined the in the Certificate of Designations), (v) add certain provisions such that the Company and the holder of the shares of Series G Preferred Stock may agree to accelerate the conversion of such shares (including any Deferral Amounts (as defined in the Certificate of Designations)) at a conversion price equal to the lower of (i) the Installment Conversion Price (as defined in the Certificate of Designations) applicable to the current Installment Date and (ii) the greater of the Floor Price and (x) 80% of the dollar volume-weighted average price (“VWAP”) of the Common Stock immediately prior to such acceleration, and (y) the average three daily VWAP during the thirty consecutive trading days immediately prior to such acceleration. These amendments did not result in any changes to the classification of the Series G Convertible Preferred Stock. However, due to the inclusion of certain provisions discussed in item (iv) above, certain conversion features of the surviving Series G Preferred Stock that were previously considered to be indexed to the Company’s common stock may no longer be considered indexed to the Company’s common stock, resulting in an additional feature that is required to be bifurcated and accounted for as a component of the compound embedded derivative liability.</w:t>
      </w:r>
    </w:p>
    <w:p>
      <w:pPr>
        <w:spacing w:after="0" w:line="19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modification of the Warrants did not result in any changes to the Company’s prior conclusions related to the classification of the Warrants and therefore, the Amended and Restated Warrants remain classified within stockholders’ equity. Accordingly, the Company considers the modification of the Warrants as an equity-for-equity exchange, and therefore the increase in fair value of the Amended and Restated Warrants as a result of the amendments of $2,334 is treated as a deemed dividend which represents a deduction from net loss attributable to common stockholders in the consolidated statement of operations for the year ended December 31, 2025.</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fair value of the Warrants before the modification of $2,181 was estimated at November 10, 2025 utilizing the Black Scholes Model using the following weighted average assumptions: the exercise price of the Series A Warrants and Series B Warrants immediately before the modification of $1.496 and $1.795, respectively; the number of Series A Warrants and Series B Warrants immediately before the modification of 2,673,797 and 2,673,797, respectively; the fair value of the Company’s common stock per share of $0.86; remaining term of 4.18 years; equity volatility of 79.0%; and a risk-free interest rate of 3.59%.</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fair value of the Amended and Restated Warrants after the modification of $4,515 was estimated at November 10, 2025 utilizing the Black Scholes Model using the following weighted average assumptions: the exercise price of the Warrants immediately after the modification of $1.00; the number of Series A Warrants and Series B Warrants immediately after the modification of 4,245,000 and 4,800,000, respectively; the fair value of the Company’s common stock per share of $0.86; remaining term of 4.18 years; equity volatility of 79.0%; and a risk-free interest rate of 3.59%.</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Given the economic nature of the transaction in that the Exchange and amendment of the Series G Convertible Preferred Stock was with the same holder of the Series G Convertible Preferred Stock, the Company accounted for these transactions as a single transaction (the “Exchange and Amendment”). The Company determined that the Exchange and Amendment represented an extinguishment of the original Series G Preferred Stock and the issuance of the Notes and reissuance of the Series G Convertible Preferred Stock as amended as new instruments, as the fair value of the Notes, amended Series G Convertible Preferred Stock, and incremental fair value of the Amended and Restated Warrants issued to the Investor were substantially higher than the Series G Convertible Preferred Stock shares that were exchanged.</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a result, immediately prior to extinguishment, the Series G Preferred Shares were adjusted to their redemption value as they became redeemable as a result of the Exchange and Amendment, and accordingly, during the year ended December 31, 2025, the Company recognized accretion of $4,000 as a deduction from net loss attributable to common stockholders in the consolidated statement of operations which represents the entirety of the discount recognized upon the initial issuance of the Series G Preferred Shares. Additionally, the derivative liability was adjusted to its fair value of $865</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immediately prior to the Exchange. The Company estimated the $865 fair value of the bifurcated embedded derivative prior to the Exchange on November 7, 2025 using a Monte Carlo simulation model, with the following inputs: the fair value of the Company’s common stock of $0.84 on the valuation date, estimated equity volatility of 76%, the time to maturity of 1.19 years, a discounted market interest rate of 5.4%, a risk-free rate of 3.55%, dividend rate of 8.0%, a penalty dividend rate of 15.0%, and probability of default of 3.7%. As a result of these adjustments, the Series G Preferred Shares’ carrying value at November 7, 2025 prior to the Exchange totaled $3,532, which comprised $2,667 of Stated Value of the 2,667 Preferred Shares outstanding and the $865 derivative liability.</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accordance with ASC Topic 260, Earnings Per Share, the Company treated the extinguishment of the Series G Convertible Preferred Stock as a redemption, and recognized a total of $4,399 representing the difference between the total fair value of the consideration transferred to the Investors and the carrying amount of the Series G Preferred Shares as a deemed dividend, which is deducted from net loss attributable to common stockholders in the consolidated statement of operations and comprehensive loss for the year ended December 31, 2025.</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estimated the $1,217 fair value of the reissued Series G shares at November 7, 2025, including the $234 fair value of the embedded derivative, using a Monte Carlo simulation, with the following inputs: the fair value of the Company’s common stock of $0.84 on the valuation date, estimated equity volatility of 76%, the time to maturity of 1.19 years, a discounted market interest rate of 5.4%, a risk-free rate of 3.55%, dividend rate of 8.0%, a penalty dividend rate of 15.0%, and probability of default of 3.7%.</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estimated the $6,689 fair value of the Notes at issuance using a Monte Carlo simulation, with the following inputs: the fair value of the Company’s common stock of $0.86 on the valuation date, estimated equity volatility of 81%, the time to maturity of 3.34 years, a discounted market interest rate of 6.1%, a risk-free rate of 3.52%, the stated interest rate of 8.0%, and probability of default of 13.2%.</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cash costs of $25 paid to Investors directly attributable to the Exchange were included in the calculation of the total fair value of the consideration transferred to Investors.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calculation of the deemed dividend on exchange of Series G Convertible Preferred Stock:</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Series G Preferred Shares before the Exchange</w:t>
            </w:r>
          </w:p>
        </w:tc>
        <w:tc>
          <w:tcPr>
            <w:tcW w:w="17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 in the Exchange:</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date fair value of reissued Series G Preferred Shares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date fair value of the Notes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w:t>
            </w: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and costs paid to Series G investors</w:t>
            </w:r>
          </w:p>
        </w:tc>
        <w:tc>
          <w:tcPr>
            <w:tcW w:w="14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7,931</w:t>
            </w: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Deemed dividend on exchange of Series G Convertible Preferred Stock</w:t>
            </w:r>
          </w:p>
        </w:tc>
        <w:tc>
          <w:tcPr>
            <w:tcW w:w="14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a gain of $622 related to the change in fair value of the derivative liability related to the Series G Convertible Preferred Stock which is recorded in other income (expense) on the consolidated statements of operations. The Company estimated the $62 fair value of the bifurcated embedded derivative at December 31, 2025 using a Monte Carlo simulation model, with the following inputs: the fair value of the Company’s common stock of $0.46 on the valuation date, estimated equity volatility of 80%, the time to maturity of 1.04 years, a discounted market interest rate of 5.4%, a risk-free rate of 3.42%, dividend rate of 8.0%, a penalty dividend rate of 15.0%, and probability of default of 4.6%.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following table represents the activity related to the Company’s warrants during year ended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December 31, 2025</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 of Warrants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term (years)</w:t>
            </w:r>
          </w:p>
        </w:tc>
      </w:tr>
      <w:tr>
        <w:trPr>
          <w:trHeight w:val="205"/>
        </w:trPr>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center"/>
              <w:ind w:right="190"/>
              <w:spacing w:after="0" w:line="205" w:lineRule="exact"/>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9,045,000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4.18</w:t>
            </w:r>
          </w:p>
        </w:tc>
      </w:tr>
      <w:tr>
        <w:trPr>
          <w:trHeight w:val="20"/>
        </w:trPr>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-462280</wp:posOffset>
            </wp:positionV>
            <wp:extent cx="564896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-170815</wp:posOffset>
            </wp:positionV>
            <wp:extent cx="564896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200" w:space="720"/>
            <w:col w:w="5099"/>
          </w:cols>
          <w:pgMar w:left="1440" w:top="513"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All outstanding warrants were exercisable as of December 31, 2025 with an intrinsic value of $0.</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August 2024 Registered Direct Offering</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6, 2024, the Company entered into a securities purchase agreement with certain institutional and accredited investors, pursuant to which the Company agreed to sell and issue in a registered direct offering (the “August 2024 Offering”), an aggregate of 652,705 shares (the “August 2024 Shares”) of the Company’s common stock. The gross proceeds to the Company from the August 2024 Offering, prior to deducting estimated fees and expenses of $100, were approximately $1,400. The August 2024 Offering closed on August 8, 2024.</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Convertible Notes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November 10, 2025, the Company issued the Notes to the Investors as part of the Exchange. The Notes are convertible into shares of the Company’s Common Stock in accordance with their terms and will be secured by a first priority security interest in the assets of the Company and its subsidiaries.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Notes will mature on the date that is three years and four months from the date of issuance (the “Notes Maturity Date”), which may be extended as set forth in the Notes. The Notes bear an interest rate of 8.0% per annum compounded each quarter, which are payable in arrears (i) on the first trading day of each quarter beginning February 2, 2026 (each such date, an “Interest Date”), in cash, (ii) on each Interest Date occurring on an Installment Date (as defined in the Notes), payable by way of inclusion of the interest in the applicable Installment Amount (as defined in the Notes), (iii) prior to the First Installment Date (as defined herein), payable by way of inclusion of interest in the Conversion Amount (as defined in the Notes) on each conversion date occurring prior to the First Installment Date, or (iv) upon any redemption or any required payment upon any Event of Default (as defined in the Notes). Upon the occurrence and during the continuance of an Event of Default, the Notes accrue interest at the rate of 15% per annum.</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Notes are convertible into shares of Common Stock at the election of the holder at any time at an initial conversion price of $1.00 per share (the “Note Conversion Price”). The Note Conversion Price will be subject to customary adjustments for stock dividends, stock splits, reclassifications, stock combinations and the like (subject to certain exceptions). Additionally, the Note Conversion Price will be subject to price-based adjustment in the event of any issuances of Common Stock, or securities convertible, exercisable or exchangeable for Common Stock, at a price below the then-applicable Note Conversion Price (subject to certain exceptions).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is required to redeem the outstanding principal amount of the Notes in quarterly installments beginning on April 1, 2026 (the “First Installment Date”) in accordance with the schedule set forth in the Note. The Installment Amounts (as defined in the Notes) are redeemable, at the Company’s election, in cash at 107% of the applicable Installment Redemption Amount, or subject to certain limitations, in shares of Common Stock valued at the lower of (i) the Note Conversion Price then in effect and (ii) the greater of (A) 80% of the average of the three lowest closing prices of the Company’s Common Stock during the thirty consecutive trading day period ending and including the trading day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immediately prior to the date the amortization payment is due or (B) the Floor Price (as defined in the Notes), and in each case subject to adjustment for stock splits, stock dividends, stock combinations, recapitalizations or other similar events.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Upon any conversion or redemption of the Notes, the holders of the Notes are also entitled to receive interest make-whole payments, equal to an amount of additional interest that would accrue under Notes at the interest rate then in effect assuming that for calculation purposes, the outstanding principal balance remained outstanding through and including the Notes Maturity Date.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Notes include certain events of default, including, among other things, the suspension from trading or the failure of the Company’s Common Stock to be trading or listed (as applicable) on an eligible market for a period of five (5) consecutive trading days and the Company’s failure to pay any amounts due to the holders of the Notes when due. The Notes contain certain customary restrictive covenants.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Company’s ability to settle conversions using shares of Common Stock is subject to certain limitations set forth in the Notes, including a limit on the number of shares that may be issued until the time, if any, that the Company has obtained the Stockholder Approval. Further, a holder of a Note is prohibited from converting the Note into shares of Common Stock if, as a result of such conversion, the holder, together with its affiliates, would own more than 4.99% of the total number of shares of the Company’s Common Stock then issued and outstanding immediately after giving effect to the issuance of the shares of Common Stock issuable upon conversion of the Note. However, any holder may increase or decrease such percentage to any other percentage not in excess of 9.99%, provided that any increase in such percentage shall not be effective until 61 days after such notice to the Company.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identified the following embedded features that are not clearly and closely related to the debt host instrument, meet the definition of a derivative and require bifurcation from the Notes: 1) certain contingent redemption options, 2) certain fixed share-settled conversion options, and 3) certain contingent penalty features. These bifurcated derivative features were bundled together, assigned probabilities of being affected and measured at fair value. Subsequent changes in fair value of these features are recognized in the Consolidated Statement of Operations. The Company estimated the $3,105 fair value of the bifurcated embedded derivative at issuance using a Monte Carlo simulation, with the following inputs: the fair value of the Company’s common stock of $0.86 on the issuance date, estimated equity volatility of 81.0%, the time to maturity of 3.34 years, a discounted market interest rate of 6.1%, a risk-free rate of 3.52%, and probability of default of 13.2%.</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issuance the Company recognized a premium on the Notes of approximately $197, which represents the excess of Notes’ fair value at issuance of $6,689 over the Notes’ total principal of approximately $3,387 and the fair value of the bifurcated derivative at issuance of $3,105.</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a loss of $700 related to the change in fair value of the derivative liability related to the Notes which is recorded in other income (expense) on the consolidated statements of operations. The Company estimated the $3,807 fair value of the bifurcated embedded derivative at December 31, 2025 using a Monte Carlo simulation model, with the following inputs: the fair value of the Company’s common stock of $0.46 on the valuation date, estimated equity volatility of 82%, the time to maturity of 3.2 years, a discounted market interest rate of 6.6%, a risk-free rate of 3.51%, and probability of default of 16.5%.</w:t>
      </w:r>
    </w:p>
    <w:p>
      <w:pPr>
        <w:spacing w:after="0" w:line="214"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During the year ended December 31, 2025, the Company recognized interest expense totaling approximately $41 reflecting an effective interest rate of 8.80%, which was comprised of approximately $35 interest at the stated rate, and approximately $6 representing the amortization of the premium recognized at issuance. There were no conversions of the principal of the Notes or cash payments of principal or interest made by the Company during the year ended December 31, 2025.</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are recorded at amortized cost; the carrying value of the Notes as of December 31, 2025 exclusive of the bifurcated embedded derivative was $3,590, comprising $3,387 of outstanding principal and $203 of unamortized premium.</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were settled in full for cash during February 2026 via the Repurchase (as defined in Note 19). Accordingly, the full carrying value of the Notes is presented as a current liability on the accompanying consolidated balance sheet as of December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quoted prices (unadjusted) for identical assets or liabilities in active markets.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Pricing inputs are other than quoted prices in active markets included in Level 1, which are either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observable as of the reported date.</w:t>
      </w:r>
    </w:p>
    <w:p>
      <w:pPr>
        <w:spacing w:after="0" w:line="15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are developed based on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available in the circumstances. For example, inputs derived through extrapolation or interpolation that cannot be corroborated by observable market data.</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following table presents the placement in the fair value hierarchy of the Company’s assets and liabilities measured at fair value on a recurring and nonrecurring basis as of December 31, 2025 and 2024.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 measures. For these assets, the Company does not periodically adjust carrying value to fair value except in the event of impairment. If it is determined that impairment has occurred, the carrying value of the asset is reduced to fair value and the difference is included in Impairment of long-lived assets and Impairment of operating lease right-of-use assets on the consolidated statements of operations and comprehensive loss.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tbl>
      <w:tblPr>
        <w:tblLayout w:type="fixed"/>
        <w:tblInd w:w="40" w:type="dxa"/>
        <w:tblCellMar>
          <w:top w:w="0" w:type="dxa"/>
          <w:left w:w="0" w:type="dxa"/>
          <w:bottom w:w="0" w:type="dxa"/>
          <w:right w:w="0" w:type="dxa"/>
        </w:tblCellMar>
      </w:tblPr>
      <w:tr>
        <w:trPr>
          <w:trHeight w:val="207"/>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2840" w:type="dxa"/>
            <w:vAlign w:val="bottom"/>
            <w:gridSpan w:val="7"/>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60" w:type="dxa"/>
            <w:vAlign w:val="bottom"/>
            <w:gridSpan w:val="1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(Continued)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60" w:type="dxa"/>
            <w:vAlign w:val="bottom"/>
            <w:gridSpan w:val="1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and per share data)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 measurement at reporting date using</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4"/>
          </w:tcPr>
          <w:p>
            <w:pPr>
              <w:ind w:left="100"/>
              <w:spacing w:after="0" w:line="18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Quoted prices in</w:t>
            </w:r>
          </w:p>
        </w:tc>
        <w:tc>
          <w:tcPr>
            <w:tcW w:w="2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120" w:type="dxa"/>
            <w:vAlign w:val="bottom"/>
          </w:tcPr>
          <w:p>
            <w:pPr>
              <w:spacing w:after="0"/>
              <w:rPr>
                <w:sz w:val="20"/>
                <w:szCs w:val="20"/>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inputs (Level 3)</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debt securities: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Route1, Inc.</w:t>
            </w:r>
          </w:p>
        </w:tc>
        <w:tc>
          <w:tcPr>
            <w:tcW w:w="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6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Nonrecurring fair value measurements</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Convertible senior secured note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nonrecurring fair value measurements</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debt securities: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Route1</w:t>
            </w:r>
          </w:p>
        </w:tc>
        <w:tc>
          <w:tcPr>
            <w:tcW w:w="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6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Nonrecurring fair value measurements</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nonrecurring fair value measurements</w:t>
            </w: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 in the fair value of the warrant liability that is measured at fair value on a recurring basis: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January 1, 2025</w:t>
            </w: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warrants reported as fair value</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16"/>
        </w:trPr>
        <w:tc>
          <w:tcPr>
            <w:tcW w:w="7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Reclassification to APIC due to warrant modification</w:t>
            </w: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0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December 31, 2025</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 in the fair value of the bifurcated embedded derivative liabilities that are measured at fair value on a recurring basis: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January 1, 2025</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convertible preferred stock with bifurcated embedded derivative</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bifurcated embedded derivative</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convertible debt with bifurcated embedded derivative</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Extinguishment of convertible preferred stock with bifurcated embedded derivative</w:t>
            </w:r>
          </w:p>
        </w:tc>
        <w:tc>
          <w:tcPr>
            <w:tcW w:w="7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on December 31, 2025</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r>
      <w:tr>
        <w:trPr>
          <w:trHeight w:val="20"/>
        </w:trPr>
        <w:tc>
          <w:tcPr>
            <w:tcW w:w="7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to the above, the Company’s financial instruments as of December 31, 2025 and 2024 consisted of cash and cash equivalents, receivables and accounts payable. The carrying amounts of all the aforementioned financial instruments approximate fair value because of the short-term maturities of these instruments.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fair values of the Company’s asset groups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a stock-based compensation plan available to grant stock options and RSUs to the Company’s directors, employees and consultants.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September 2020, the Board of Directors approved a new stock-based compensation plan available to grant stock options, restricted stock and Restricted Stock Units (“RSU’s”) aggregating to 250,000 shares of Common Stock, to the Company’s directors, employees and consultants. Shareholder approval of the plan was subsequently obtained on October 28, 2020. On October 4, 2022, shareholders approved the amendment to the Company’s 2020 Equity Incentive Plan to increase the number of shares authorized for issuance under the Plan by 375,000 shares of Common Stock to an aggregate of 625,000 shares. On February 13, 2025 shareholders approved an amendment to the Company’s 2020 Equity Incentive Plan to increase the number of shares authorized for issuance under the Plan by approximately 2,500,000 shares of Common Stock to an aggregate of 3,125,000 shares. Under the 2020 Equity Incentive Plan (as amended, the “2020 Plan”), a maximum of 1,552,745 shares of Common Stock remained available for issuance as of December 31, 2025.</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previous Employee, Director and Consultant Equity Incentive Plan (the “2012 Plan”) was terminated upon receipt of shareholder approval of the 2020 Plan. 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fair value of stock options is estimated as of the date of grant using the Black-Scholes option-pricing model. The Company uses the simplified method to estimate the expected term of options due to insufficient history and high turnover in the past.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variables were used as inputs in the model as of December 31, 2025:</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2025</w:t>
            </w:r>
          </w:p>
        </w:tc>
        <w:tc>
          <w:tcPr>
            <w:tcW w:w="1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price of the Company’s Common Stock on the grant date:</w:t>
            </w:r>
          </w:p>
        </w:tc>
        <w:tc>
          <w:tcPr>
            <w:tcW w:w="8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$ 0.97</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- 1.52</w:t>
            </w:r>
          </w:p>
        </w:tc>
        <w:tc>
          <w:tcPr>
            <w:tcW w:w="1720" w:type="dxa"/>
            <w:vAlign w:val="bottom"/>
          </w:tcPr>
          <w:p>
            <w:pPr>
              <w:spacing w:after="0"/>
              <w:rPr>
                <w:sz w:val="18"/>
                <w:szCs w:val="1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$ 0.97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- 1.52</w:t>
            </w:r>
          </w:p>
        </w:tc>
        <w:tc>
          <w:tcPr>
            <w:tcW w:w="1720" w:type="dxa"/>
            <w:vAlign w:val="bottom"/>
            <w:shd w:val="clear" w:color="auto" w:fill="CCEEFF"/>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average risk-free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- 4.47</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years</w:t>
            </w: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for the years ended December 31, 2025 and 2024 was $1,082 and $893 respectively. All stock-based compensation for the periods ended December 31, 2025 and 2024 was presented on the consolidated Statements of Operations and Comprehensive Loss within general and administrative expense.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variables were used as inputs in the model as of December 31, 2024:</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6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shd w:val="clear" w:color="auto" w:fill="CCEEFF"/>
          </w:tcPr>
          <w:p>
            <w:pPr>
              <w:spacing w:after="0"/>
              <w:rPr>
                <w:sz w:val="18"/>
                <w:szCs w:val="18"/>
                <w:color w:val="auto"/>
              </w:rPr>
            </w:pP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price of the Company’s Common Stock on the grant date: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1.50 - 1.80</w:t>
            </w:r>
          </w:p>
        </w:tc>
        <w:tc>
          <w:tcPr>
            <w:tcW w:w="1180" w:type="dxa"/>
            <w:vAlign w:val="bottom"/>
          </w:tcPr>
          <w:p>
            <w:pPr>
              <w:spacing w:after="0"/>
              <w:rPr>
                <w:sz w:val="18"/>
                <w:szCs w:val="1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1.50 - 1.80</w:t>
            </w:r>
          </w:p>
        </w:tc>
        <w:tc>
          <w:tcPr>
            <w:tcW w:w="1180" w:type="dxa"/>
            <w:vAlign w:val="bottom"/>
            <w:shd w:val="clear" w:color="auto" w:fill="CCEEFF"/>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average risk-free rate: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3.62 - 4.33</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years</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summarize information about stock options and RSU activity during the year ended December 31, 2025:</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RSUs</w:t>
            </w:r>
          </w:p>
        </w:tc>
        <w:tc>
          <w:tcPr>
            <w:tcW w:w="720" w:type="dxa"/>
            <w:vAlign w:val="bottom"/>
            <w:tcBorders>
              <w:bottom w:val="single" w:sz="8" w:color="auto"/>
            </w:tcBorders>
          </w:tcPr>
          <w:p>
            <w:pPr>
              <w:spacing w:after="0"/>
              <w:rPr>
                <w:sz w:val="20"/>
                <w:szCs w:val="20"/>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1340" w:type="dxa"/>
            <w:vAlign w:val="bottom"/>
            <w:gridSpan w:val="2"/>
          </w:tcPr>
          <w:p>
            <w:pPr>
              <w:jc w:val="right"/>
              <w:ind w:right="750"/>
              <w:spacing w:after="0" w:line="188" w:lineRule="exact"/>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gridSpan w:val="5"/>
          </w:tcPr>
          <w:p>
            <w:pPr>
              <w:jc w:val="right"/>
              <w:ind w:right="80"/>
              <w:spacing w:after="0" w:line="188" w:lineRule="exact"/>
              <w:rPr>
                <w:sz w:val="20"/>
                <w:szCs w:val="20"/>
                <w:color w:val="auto"/>
              </w:rPr>
            </w:pPr>
            <w:r>
              <w:rPr>
                <w:rFonts w:ascii="Times New Roman" w:cs="Times New Roman" w:eastAsia="Times New Roman" w:hAnsi="Times New Roman"/>
                <w:sz w:val="18"/>
                <w:szCs w:val="18"/>
                <w:b w:val="1"/>
                <w:bCs w:val="1"/>
                <w:color w:val="auto"/>
              </w:rPr>
              <w:t>​​​ Weighted  ​​​</w:t>
            </w:r>
          </w:p>
        </w:tc>
        <w:tc>
          <w:tcPr>
            <w:tcW w:w="1040" w:type="dxa"/>
            <w:vAlign w:val="bottom"/>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80" w:type="dxa"/>
            <w:vAlign w:val="bottom"/>
          </w:tcPr>
          <w:p>
            <w:pPr>
              <w:spacing w:after="0"/>
              <w:rPr>
                <w:sz w:val="18"/>
                <w:szCs w:val="18"/>
                <w:color w:val="auto"/>
              </w:rPr>
            </w:pPr>
          </w:p>
        </w:tc>
        <w:tc>
          <w:tcPr>
            <w:tcW w:w="11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20"/>
                <w:szCs w:val="20"/>
                <w:color w:val="auto"/>
              </w:rPr>
            </w:pPr>
          </w:p>
        </w:tc>
        <w:tc>
          <w:tcPr>
            <w:tcW w:w="11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term</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539,799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7.61 years</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565,679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Exercised/Vested</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46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921,267</w:t>
            </w:r>
          </w:p>
        </w:tc>
        <w:tc>
          <w:tcPr>
            <w:tcW w:w="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8.63 years</w:t>
            </w:r>
          </w:p>
        </w:tc>
        <w:tc>
          <w:tcPr>
            <w:tcW w:w="0" w:type="dxa"/>
            <w:vAlign w:val="bottom"/>
          </w:tcPr>
          <w:p>
            <w:pPr>
              <w:spacing w:after="0"/>
              <w:rPr>
                <w:sz w:val="1"/>
                <w:szCs w:val="1"/>
                <w:color w:val="auto"/>
              </w:rPr>
            </w:pPr>
          </w:p>
        </w:tc>
      </w:tr>
      <w:tr>
        <w:trPr>
          <w:trHeight w:val="197"/>
        </w:trPr>
        <w:tc>
          <w:tcPr>
            <w:tcW w:w="30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2025</w:t>
            </w: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642,666</w:t>
            </w:r>
          </w:p>
        </w:tc>
        <w:tc>
          <w:tcPr>
            <w:tcW w:w="3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5.58</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8.30 years</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term for options outstanding as of December 31, 2025 and 2024 was 8.63 years and 7.61 years,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and 2024, Aggregate Intrinsic Value of Options Outstanding and Vested was $0.</w:t>
      </w:r>
    </w:p>
    <w:p>
      <w:pPr>
        <w:spacing w:after="0" w:line="22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Unrecognized stock-based payment cost related to non-vested stock options as of December 31, 2025 and 2024 were $200 and $266, respectively. The 2025 balance is expected to be recognized over a weighted-average period of approximately 0.41 years.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Unrecognized stock-based payment cost related to non-vested RSUs as of December 31, 2025 and 2024 were $59 and $48, respectively. The 2025 balance is expected to be recognized over a weighted-average period of approximately 0.50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Segment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 Inc. transitioned to a pure-play wellness service company, which is organized primarily on the basis of products and services specific to individual entities within the group. The Company currently has three reportable operating segments: XpresSpa®, XpresTest® and Naples Wax Center. The Company analyzes the results of the Company’s business through the three reportable segments. The following is a brief description of our reportable segments: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XpresSpa segment provides travelers premium spa services, including massage, nail and skin care, as well as spa and travel products.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XpresTest segment provides aircraft wastewater and passenger nasal sampling through the CDC’s bio-surveillance program. XpresTest’s HyperPointe business provided a broad range of service and support options for its customers, including technical support services and advanced services and is no longer operating as of December 31, 2025.</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Naples Wax Center segment operates six locations with core products and service offerings from face and body waxing to a range of skincare and cosmetic products.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CODM evaluates performance and allocates resources for all of its reportable segments based on segment revenues and operating income.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CODM uses segment revenues and segment operating income, to allocate resources (including employees, property, and financial or capital resources) for each segment predominantly in the annual budget and forecasting process. The CODM considers budget-to-actual variances on a monthly basis using the segment revenues and segment operating income when making decisions about allocating capital and personnel to the segments. The CODM also uses the segment revenues and operating income to assess the performance for each segment by comparing the results and return on assets of each segment with one another and in the compensation of certain employees. Expenses that can be specifically identified with a segment have been included as deductions in determining operating income. The Company separately presents the costs associated with certain corporate functions as Corporate and Other, primarily consisting of unallocated operating expenses including costs that were not specific to a particular segment but are general to the group, expenses incurred for insurance, legal fees, public company administrative costs, and other similar corporate expenses.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information about reported segments for the year ended December 31, 2025 and 2024:</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87"/>
        </w:trPr>
        <w:tc>
          <w:tcPr>
            <w:tcW w:w="2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XpresSpa</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XpresTest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​​​Naples Wax</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and other</w:t>
            </w:r>
          </w:p>
        </w:tc>
        <w:tc>
          <w:tcPr>
            <w:tcW w:w="3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w:t>
            </w: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(loss)/income</w:t>
            </w:r>
          </w:p>
        </w:tc>
        <w:tc>
          <w:tcPr>
            <w:tcW w:w="10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r>
      <w:tr>
        <w:trPr>
          <w:trHeight w:val="630"/>
        </w:trPr>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87"/>
        </w:trPr>
        <w:tc>
          <w:tcPr>
            <w:tcW w:w="2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XpresSpa</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XpresTest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​​​Naples Wax</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and other</w:t>
            </w:r>
          </w:p>
        </w:tc>
        <w:tc>
          <w:tcPr>
            <w:tcW w:w="3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33,897</w:t>
            </w: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(loss)/income</w:t>
            </w:r>
          </w:p>
        </w:tc>
        <w:tc>
          <w:tcPr>
            <w:tcW w:w="10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revenues to total consolidated revenue and of total segment operating (loss) income to total consolidated (loss) income, for the years ended December 31, 2025 and 2024, is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87"/>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3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XpresSpa</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XpresTest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​​​Naples Wax</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w:t>
            </w:r>
          </w:p>
        </w:tc>
      </w:tr>
      <w:tr>
        <w:trPr>
          <w:trHeight w:val="20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Expenses (1):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 Labor</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 Products &amp; Services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Cost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Cost of Revenue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operating lease right-of-use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Less: Other Segment Expenses (2):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operating expenses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200" w:type="dxa"/>
            <w:vAlign w:val="bottom"/>
            <w:gridSpan w:val="2"/>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r>
      <w:tr>
        <w:trPr>
          <w:trHeight w:val="20"/>
        </w:trPr>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87"/>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3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XpresSpa</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XpresTest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​​​Naples Wax</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33,897</w:t>
            </w: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Expenses (1):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 Labor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 Products &amp; Services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Cost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Cost of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operating lease right-of-use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Segment Expenses (2):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segment operating expenses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20,082</w:t>
            </w:r>
          </w:p>
        </w:tc>
      </w:tr>
      <w:tr>
        <w:trPr>
          <w:trHeight w:val="210"/>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w:t>
            </w:r>
          </w:p>
        </w:tc>
      </w:tr>
      <w:tr>
        <w:trPr>
          <w:trHeight w:val="20"/>
        </w:trPr>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80" w:right="79" w:hanging="330"/>
        <w:spacing w:after="0" w:line="261"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amounts align with the expenses that the CODM is regularly provided with to assess performance and allocate resources.</w:t>
      </w:r>
    </w:p>
    <w:p>
      <w:pPr>
        <w:ind w:left="380" w:hanging="330"/>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segments, SGA consists of the following:</w:t>
      </w:r>
    </w:p>
    <w:p>
      <w:pPr>
        <w:spacing w:after="0" w:line="20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Salaries &amp; Benefits, Rent &amp; Utilities, Office Supplies &amp; Shipping, Travel &amp; Entertainment, IT &amp; Telecom, Repairs &amp; Maintenance, Accounting, Legal, Franchise/Property Tax, Management/DBE Fees, Advertising &amp; Marketing, Insurance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Significant Items</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6"/>
        </w:trPr>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87"/>
        </w:trPr>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26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XpresSpa</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XpresTest</w:t>
            </w: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​​​Naples Wax</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and other</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09"/>
        </w:trPr>
        <w:tc>
          <w:tcPr>
            <w:tcW w:w="2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r>
      <w:tr>
        <w:trPr>
          <w:trHeight w:val="432"/>
        </w:trPr>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87"/>
        </w:trPr>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26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XpresSpa</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XpresTest</w:t>
            </w: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​​​Naples Wax</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and other</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10"/>
        </w:trPr>
        <w:tc>
          <w:tcPr>
            <w:tcW w:w="2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25,352</w:t>
            </w: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currently operates in two geographical regions: United States and all other countries, which include Netherlands, Turkey and United Arab Emirates. The following table represents the geographical revenue, and total long-lived asset information as of and for the years ended December 31, 2025 and 2024. There were no concentrations of geographical revenue and long-lived assets related to any single foreign country that were material to the Company’s consolidated financial statements. Long-lived assets include property and equipment and right of use lease assets.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2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23,420</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 other countries</w:t>
            </w:r>
          </w:p>
        </w:tc>
        <w:tc>
          <w:tcPr>
            <w:tcW w:w="2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29,210</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All other countries</w:t>
            </w:r>
          </w:p>
        </w:tc>
        <w:tc>
          <w:tcPr>
            <w:tcW w:w="2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performed impairment assessments of long-lived assets and operating lease right-of-use asset for the years ended December 31, 2025 and 2024. Based upon the results of the impairment tests, the Company recorded impairment expenses of long-lived assets for approximately $959 and $2,190 for its XpresSpa and Naples Wax segments for the year ended December 31, 2025. Additionally, the Company recorded impairment expenses of operating lease right-of-use assets for approximately $673 and $1,063 for its XpresSpa and Naples Wax segments for the year ended December 31, 2025. For the year ended December 31, 2024, the company recorded impairment expenses of long-lived assets for approximately $1,308 and $403 for its XpresSpa and Treat segments, respectively, and impairment expenses of operating lease right-of-use assets for approximately $2,551 and $254 for its XpresSpa and Treat segments,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Revenue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60" w:right="7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from contracts with customers by the nature of products and services provided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38"/>
        </w:trPr>
        <w:tc>
          <w:tcPr>
            <w:tcW w:w="3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09"/>
        </w:trPr>
        <w:tc>
          <w:tcPr>
            <w:tcW w:w="3740" w:type="dxa"/>
            <w:vAlign w:val="bottom"/>
          </w:tcPr>
          <w:p>
            <w:pPr>
              <w:spacing w:after="0"/>
              <w:rPr>
                <w:sz w:val="18"/>
                <w:szCs w:val="18"/>
                <w:color w:val="auto"/>
              </w:rPr>
            </w:pPr>
          </w:p>
        </w:tc>
        <w:tc>
          <w:tcPr>
            <w:tcW w:w="2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point in time</w:t>
            </w:r>
          </w:p>
        </w:tc>
        <w:tc>
          <w:tcPr>
            <w:tcW w:w="2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w:t>
            </w:r>
          </w:p>
        </w:tc>
      </w:tr>
      <w:tr>
        <w:trPr>
          <w:trHeight w:val="216"/>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over time</w:t>
            </w: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13,055</w:t>
            </w:r>
          </w:p>
        </w:tc>
      </w:tr>
      <w:tr>
        <w:trPr>
          <w:trHeight w:val="209"/>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29,210</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33,897</w:t>
            </w:r>
          </w:p>
        </w:tc>
      </w:tr>
      <w:tr>
        <w:trPr>
          <w:trHeight w:val="20"/>
        </w:trPr>
        <w:tc>
          <w:tcPr>
            <w:tcW w:w="3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the unrecognized committed amount of the Ginkgo/Bioworks contract is $1,853.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jc w:val="both"/>
        <w:ind w:left="60" w:right="3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did not incur any incremental costs to obtain and/or fulfill contracts with customers.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jc w:val="both"/>
        <w:ind w:left="60" w:right="300"/>
        <w:spacing w:after="0" w:line="282" w:lineRule="auto"/>
        <w:rPr>
          <w:sz w:val="20"/>
          <w:szCs w:val="20"/>
          <w:color w:val="auto"/>
        </w:rPr>
      </w:pPr>
      <w:r>
        <w:rPr>
          <w:rFonts w:ascii="Times New Roman" w:cs="Times New Roman" w:eastAsia="Times New Roman" w:hAnsi="Times New Roman"/>
          <w:sz w:val="18"/>
          <w:szCs w:val="18"/>
          <w:color w:val="auto"/>
        </w:rPr>
        <w:t>Contract liabilities are classified as deferred revenue in the consolidated balance sheets. The activity in deferred revenue for the years ended December 31, 2025 and December 31, 2024, was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32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 ​​​December 31, 2024</w:t>
            </w:r>
          </w:p>
        </w:tc>
      </w:tr>
      <w:tr>
        <w:trPr>
          <w:trHeight w:val="209"/>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contract liability</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the contract liabilities included in the beginning balance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(709)</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cash received net of amounts recognized revenue during the period</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1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contract liability</w:t>
            </w:r>
          </w:p>
        </w:tc>
        <w:tc>
          <w:tcPr>
            <w:tcW w:w="140" w:type="dxa"/>
            <w:vAlign w:val="bottom"/>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0"/>
        </w:trPr>
        <w:tc>
          <w:tcPr>
            <w:tcW w:w="6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320"/>
        <w:spacing w:after="0" w:line="282" w:lineRule="auto"/>
        <w:rPr>
          <w:sz w:val="20"/>
          <w:szCs w:val="20"/>
          <w:color w:val="auto"/>
        </w:rPr>
      </w:pPr>
      <w:r>
        <w:rPr>
          <w:rFonts w:ascii="Times New Roman" w:cs="Times New Roman" w:eastAsia="Times New Roman" w:hAnsi="Times New Roman"/>
          <w:sz w:val="18"/>
          <w:szCs w:val="18"/>
          <w:color w:val="auto"/>
        </w:rPr>
        <w:t>Of the $1,143 outstanding as of December 31, 2024, $709 has been recognized as revenue during the year ended December 31, 2025.</w:t>
      </w:r>
    </w:p>
    <w:p>
      <w:pPr>
        <w:spacing w:after="0" w:line="162" w:lineRule="exact"/>
        <w:rPr>
          <w:sz w:val="20"/>
          <w:szCs w:val="20"/>
          <w:color w:val="auto"/>
        </w:rPr>
      </w:pPr>
    </w:p>
    <w:p>
      <w:pPr>
        <w:jc w:val="both"/>
        <w:ind w:left="60" w:right="300"/>
        <w:spacing w:after="0" w:line="253" w:lineRule="auto"/>
        <w:rPr>
          <w:sz w:val="20"/>
          <w:szCs w:val="20"/>
          <w:color w:val="auto"/>
        </w:rPr>
      </w:pPr>
      <w:r>
        <w:rPr>
          <w:rFonts w:ascii="Times New Roman" w:cs="Times New Roman" w:eastAsia="Times New Roman" w:hAnsi="Times New Roman"/>
          <w:sz w:val="18"/>
          <w:szCs w:val="18"/>
          <w:color w:val="auto"/>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Company applies the right-to-invoice practical expedient for its Priority Pass revenue stream and recognizes revenue in the amount it is entitled to invoice when that amount corresponds directly with the value of the performance to date. For the Company’s XpresTest business unit, the Company’s efforts toward satisfying each of the performance obligations are typically expended evenly throughout the period of performance. However, for the year ended December 31, 2025, portions of certain performance obligations relate to services not yet performed and are therefore recognized as deferred revenue in the amount of $289. This amount is presented within deferred revenue on the consolidated balance sheets. Naples Wax Center offers prepaid wax packages that are either unlimited for one year or a set number of services. When the packages are purchased, the sales are recorded</w:t>
      </w:r>
    </w:p>
    <w:p>
      <w:pPr>
        <w:spacing w:after="0" w:line="200" w:lineRule="exact"/>
        <w:rPr>
          <w:sz w:val="20"/>
          <w:szCs w:val="20"/>
          <w:color w:val="auto"/>
        </w:rPr>
      </w:pPr>
    </w:p>
    <w:p>
      <w:pPr>
        <w:spacing w:after="0" w:line="21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260"/>
          </w:cols>
          <w:pgMar w:left="1440" w:top="513" w:right="1199"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as deferred revenue, which was $837 and $956 as of December 31, 2025 and December 31, 2024, respectively. As services related to prepaid packages are used, revenue is recognized as income.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Accrued Expenses and Other Current Liabilities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Company’s accrued expenses and other current liabilities were comprised of the following:</w:t>
      </w:r>
    </w:p>
    <w:p>
      <w:pPr>
        <w:spacing w:after="0" w:line="380"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9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December 31, 2025</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December 31, 2024</w:t>
            </w:r>
          </w:p>
        </w:tc>
      </w:tr>
      <w:tr>
        <w:trPr>
          <w:trHeight w:val="19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w:t>
            </w: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Tax-related liabilities</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r>
      <w:tr>
        <w:trPr>
          <w:trHeight w:val="20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area maintenance accruals</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AP Accruals</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0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Gift certificates</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03"/>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miscellaneous accruals</w:t>
            </w:r>
          </w:p>
        </w:tc>
        <w:tc>
          <w:tcPr>
            <w:tcW w:w="4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2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196"/>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4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w:t>
            </w:r>
          </w:p>
        </w:tc>
      </w:tr>
      <w:tr>
        <w:trPr>
          <w:trHeight w:val="20"/>
        </w:trPr>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loss from continuing operations before taxes consists of the following:</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5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2024</w:t>
            </w: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(15,026)</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(16,441)</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Income tax expense attributable to continued operations for the years ended December 31, 2025 and 2024 consisted of the following:</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14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1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14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13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16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w:t>
            </w:r>
          </w:p>
        </w:tc>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8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attributable to continuing operations differed from the amounts computed by applying the applicable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federal income tax rate to loss from continuing operations before taxes on income as a result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80" w:type="dxa"/>
            <w:vAlign w:val="bottom"/>
            <w:gridSpan w:val="2"/>
          </w:tcPr>
          <w:p>
            <w:pPr>
              <w:spacing w:after="0"/>
              <w:rPr>
                <w:sz w:val="20"/>
                <w:szCs w:val="20"/>
                <w:color w:val="auto"/>
              </w:rPr>
            </w:pPr>
          </w:p>
        </w:tc>
      </w:tr>
      <w:tr>
        <w:trPr>
          <w:trHeight w:val="209"/>
        </w:trPr>
        <w:tc>
          <w:tcPr>
            <w:tcW w:w="5060" w:type="dxa"/>
            <w:vAlign w:val="bottom"/>
          </w:tcPr>
          <w:p>
            <w:pPr>
              <w:spacing w:after="0"/>
              <w:rPr>
                <w:sz w:val="18"/>
                <w:szCs w:val="18"/>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gridSpan w:val="2"/>
          </w:tcPr>
          <w:p>
            <w:pPr>
              <w:spacing w:after="0"/>
              <w:rPr>
                <w:sz w:val="18"/>
                <w:szCs w:val="18"/>
                <w:color w:val="auto"/>
              </w:rPr>
            </w:pPr>
          </w:p>
        </w:tc>
      </w:tr>
      <w:tr>
        <w:trPr>
          <w:trHeight w:val="209"/>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Income Tax Effect)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Rate Differential - Netherlands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Rate Differential - Other</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0.37 %</w:t>
            </w: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 - VA</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-18.21%</w:t>
            </w: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Meals &amp; Entertainment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JV and Foreign Tax Activity</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0.23 %</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Preferred Stock</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Liability</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Liability</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4.20 %</w:t>
            </w: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Return to Provision Adjustment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Impairment Adjustment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Deferred Adjustment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Adjustment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0.03 %</w:t>
            </w: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Rate</w:t>
            </w:r>
          </w:p>
        </w:tc>
        <w:tc>
          <w:tcPr>
            <w:tcW w:w="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780" w:type="dxa"/>
            <w:vAlign w:val="bottom"/>
            <w:gridSpan w:val="2"/>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2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Tax rate</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income tax benefit</w:t>
            </w:r>
          </w:p>
        </w:tc>
        <w:tc>
          <w:tcPr>
            <w:tcW w:w="2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 Adjustment</w:t>
            </w:r>
          </w:p>
        </w:tc>
        <w:tc>
          <w:tcPr>
            <w:tcW w:w="2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Rate Differential</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Deferred Rate Change</w:t>
            </w:r>
          </w:p>
        </w:tc>
        <w:tc>
          <w:tcPr>
            <w:tcW w:w="2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Adjustment</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Forfeitures</w:t>
            </w:r>
          </w:p>
        </w:tc>
        <w:tc>
          <w:tcPr>
            <w:tcW w:w="2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Adjustment</w:t>
            </w:r>
          </w:p>
        </w:tc>
        <w:tc>
          <w:tcPr>
            <w:tcW w:w="22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780" w:type="dxa"/>
            <w:vAlign w:val="bottom"/>
            <w:gridSpan w:val="2"/>
          </w:tcPr>
          <w:p>
            <w:pPr>
              <w:jc w:val="right"/>
              <w:ind w:right="2074"/>
              <w:spacing w:after="0"/>
              <w:rPr>
                <w:sz w:val="20"/>
                <w:szCs w:val="20"/>
                <w:color w:val="auto"/>
              </w:rPr>
            </w:pPr>
            <w:r>
              <w:rPr>
                <w:rFonts w:ascii="Times New Roman" w:cs="Times New Roman" w:eastAsia="Times New Roman" w:hAnsi="Times New Roman"/>
                <w:sz w:val="18"/>
                <w:szCs w:val="18"/>
                <w:color w:val="auto"/>
              </w:rPr>
              <w:t>F-44</w:t>
            </w: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2025 and 2024 are as follows:</w:t>
      </w:r>
    </w:p>
    <w:p>
      <w:pPr>
        <w:spacing w:after="0" w:line="185"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and fixed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deferred income tax assets, net of valuation allowance</w:t>
            </w:r>
          </w:p>
        </w:tc>
        <w:tc>
          <w:tcPr>
            <w:tcW w:w="5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 of use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 (liabilities), net of valuation allowance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assesses the need for a valuation allowance related to its deferred income tax assets by considering whether it is more likely than not that some portion or all of the deferred income tax assets will not be realized. The company considered positive and negative evidence when evaluating its Valuation Allowance position. The most impactful evidence considered in this assessment is the Company’s history of cumulative losses in recent years. Such cumulative losses are considered objective negative evidence under ASC 740 and carry substantial weight in the realizability analysis. Accordingly, a valuation allowance has been recorded against the Company’s deferred income tax assets, as it is in the opinion of management that it is more likely than not that the net operating loss carryforwards (“NOL”) will not be utilized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cumulative valuation allowance as of December 31, 2025 is $75,618 which will be reduced if and when the Company determines that the deferred income tax assets are more likely than not to be realized.</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2024</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69,424</w:t>
            </w:r>
          </w:p>
        </w:tc>
      </w:tr>
      <w:tr>
        <w:trPr>
          <w:trHeight w:val="216"/>
        </w:trPr>
        <w:tc>
          <w:tcPr>
            <w:tcW w:w="20" w:type="dxa"/>
            <w:vAlign w:val="bottom"/>
          </w:tcPr>
          <w:p>
            <w:pPr>
              <w:spacing w:after="0"/>
              <w:rPr>
                <w:sz w:val="18"/>
                <w:szCs w:val="18"/>
                <w:color w:val="auto"/>
              </w:rPr>
            </w:pP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Charged to cost and expenses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Return to provision true-up and other</w:t>
            </w:r>
          </w:p>
        </w:tc>
        <w:tc>
          <w:tcPr>
            <w:tcW w:w="1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71,981</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Charged to cost and expenses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Return to provision true-up and other</w:t>
            </w:r>
          </w:p>
        </w:tc>
        <w:tc>
          <w:tcPr>
            <w:tcW w:w="1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2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1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75,618</w:t>
            </w: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Company’s estimated aggregate total NOLs were $150,926 for U.S. federal purposes, expiring 20 years from the respective tax years to which they relate, and $127,912 for U.S. federal purposes with an indefinite life due to new regulations in the TCJA. of 2017.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An IRC Section 382 Study has not yet been completed.</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The Company assessed the income tax effects of the enacted legislation in accordance with ASC 740 during the period of enactment. Based on the Company’s evaluation of the provisions applicable to its facts and circumstances, the Act did not result in a material impact to the Company’s income tax provision, deferred tax balances, or consolidated financial statements for the period ended December 31, 2025. The Company will continue to evaluate additional guidance and interpretations issued with respect to the Act, although it does not currently expect such items to materially affect its accounting for income taxes conclusions.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files its tax returns in the U.S. federal jurisdiction, as well as in various state and local jurisdictions. The company is not currently under audit in any taxing jurisdictions. The federal statute of limitations for audit consideration is 3 years from the filing date, and generally states implement a statute of limitations between 3 and 5 years.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also recorded state and foreign net operating loss deferred tax assets (tax - effected) of $8,961 and $1,024, respectively. A full valuation allowance has been established against these deferred tax assets and has been included in the net $75,619 deferred tax asset.</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treats interest and penalties related to Uncertain Tax Positions as part of Income Tax Expense. The Comapny has not recorded any Uncertain Tax Positions as of December 31, 2025.</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paid cash income taxes net of refunds recieved, of $58. The Company paid cash taxes for State &amp; Local of $21, and Foreign cash taxes of $37. The State &amp; Local taxes paid included payments to tax authorities of $15 in Virginia and $6 in New York State. The Foreign cash taxes paid included payments to tax authorities of $16 in Dubai and $20 in the Netherlands. Cash tax payments can vary from year to year based on the timing of installment payments, the settlement of audits, the utilization of tax credits and net operating losses, the taxable income generated in each jurisdiction, and the receipt of refunds.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$0 and $0 as of December 31, 2025 and December 31, 2024, respectively, which is included in Accrued expenses and other current liabilities in the consolidated balance sheets.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expenses legal fees in the period in which they are incurred.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November 2025 Employment Litigation</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November 10, 2025, a former employee filed a complaint in the Circuit Court of the Eleventh Judicial Circuit in and for Miami-Dade County, Florida, against XpresSpa Holdings, LLC. The action was subsequently removed to the United States District Court for the Southern District of Florida on January 15, 2026.</w:t>
      </w:r>
    </w:p>
    <w:p>
      <w:pPr>
        <w:spacing w:after="0" w:line="1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complaint alleged claims for age discrimination and retaliation under the Age Discrimination in Employment Act and the Florida Civil Rights Act, disability discrimination under the Americans with Disabilities Act and the Florida Civil Rights Act, and retaliation under Title VII and the Florida Civil Rights Act. The plaintiff alleged, among other things, that they were subjected to age-based and disability-related harassment and that their employment was terminated on July 25, 2024, in retaliation for complaints of discrimination. The complaint sought compensatory and punitive damages, backpay, front pay or reinstatement, injunctive relief, and attorneys’ fees.</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denied the allegations and any liability. In order to avoid the expense and uncertainty of further litigation, the parties entered into a confidential settlement agreement. Under the terms of the agreement, the Company agreed to pay a de minimis settlement amount, allocated among alleged lost wages, non-wage damages, and attorneys’ fees. In exchange, the plaintiff agreed to dismiss the action with prejudice and to provide a general release of claims against the Company and related parties. The agreement includes customary provisions regarding confidentiality, non-disparagement, and no admission of liability.</w:t>
      </w:r>
    </w:p>
    <w:p>
      <w:pPr>
        <w:spacing w:after="0" w:line="18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does not expect this matter to have a material adverse effect on its financial condition, results of operations, or cash flows.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OTG Management PHL B v. XpresSpa Philadelphia Terminal B et al.</w:t>
      </w:r>
    </w:p>
    <w:p>
      <w:pPr>
        <w:spacing w:after="0" w:line="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On June 20, 2024, an Order to Settle, Discontinue and End with Prejudice was filed as to all claims.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CPC Pain &amp; Wellness SPV, LLC</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July 19, 2024, CPC Pain &amp; Wellness SPV, LLC (“CPC”), a recently formed special purpose vehicle that announced it had acquired a 9.42% stake in XWELL in June 2024, filed suit in the Court of Chancery of the State of Delaware against the Company, Chairman Bruce T. Bernstein, and directors Michael Lebowitz, Robert Weinstein, Gaëlle Wizenberg, and Scott R. Milford (the “Action”). In the Action, CPC alleged, in pertinent part, that the Board of Directors breached their fiduciary duties and that the Company and Board of Directors engaged in an unlawful, unenforceable, and inequitable application of the Company’s Third Amended and Restated Bylaws to reject CPC’s notice of intent to propose its own slate of directors for election at the 2024 annual meeting of stockholders. On August 2, 2024, the Court set the Action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trial on September 18-19, 2024. The Company has vigorously defended these claims. As a result of the Company’s efforts, on August 9, 2024, CPC dismissed all claims in the Action, agreed to irrevocably withdraw its nominations, and agreed not assert any claims related to the 2024 annual meeting.</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Settlement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August 5, 2024, the Company, XpresSpa Middle East B.V., and certain parties thereto (such parties, the “Settlor Parties” entered into a Settlement Agreement (the “Settlement Agreement”), pursuant to which the Company agreed to issue an aggregate of 416,000 shares of common stock (the “Settlement Shares”) which were issued on August 6, 2024,and have a fair market value of $2.26 per share to the Settlor Parties in consideration for their entry into the Settlement Agreement. The Settlement Shares were not registered under the Securities Act of 1933, as amended (the “Securities Act”),and were issued in reliance on one or more exemptions from registration under the Securities Act, including pursuant to Rule 903 of Regulation S under the Securities Act.</w:t>
      </w:r>
    </w:p>
    <w:p>
      <w:pPr>
        <w:spacing w:after="0" w:line="187"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XpresSpa Holdings, LLC (“XpresSpa”) v. Cordial Endeavor Concessions of Atlanta, LLC (“Cordial”), et al., Arbitration Case No. 2126399.</w:t>
      </w:r>
    </w:p>
    <w:p>
      <w:pPr>
        <w:spacing w:after="0" w:line="160"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The Company’s subsidiary, XpressSpa Holdings, LLC, is party to an arbitration proceeding (the “Arbitration”) which was mandated by the City of Atlanta, Georgia related to the Operating Agreements by and between Cordial and XpresSpa for the operation of the XpresSpa locations in Hartsfield-Jackson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w:t>
      </w:r>
    </w:p>
    <w:p>
      <w:pPr>
        <w:spacing w:after="0" w:line="16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dispute arises out of the alleged breaches of varies contracts between the parties as well as other improper conduct relating to the Operating Agreements. The matter is currently in the closing stages of arbitration. Although the evidentiary proceedings have concluded and a decision is pending, management does not believe that an unfavorable outcome is probable at this time and is unable to reasonably estimate the amount of loss, if any, that may result.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Arrangements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16, 2025, the Company entered into a sales and marketing agreement with a vendor that obligates the Company to make payments totaling $662 over the next three years. Payments are due quarterly, with the first installment beginning in July 2025.</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event that an action is brought against the Company or one of its subsidiaries, the Company will investigate the allegation and vigorously defend itself.</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Related Party</w:t>
      </w:r>
    </w:p>
    <w:p>
      <w:pPr>
        <w:spacing w:after="0" w:line="22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On January 30, 2025, the Company entered into a consulting agreement (“Consulting Agreement”) with XWEL INV I, LLC (“XWEL INV I”) and Jason Aintabi (the “Consultant”) for the Consultant to provide advisory services to the Company. Mr. Aintabi serves as the Manager of XWEL INV I. The Consulting Agreement is deemed to be related party transaction as Mr. Aintabi is a greater than 5% beneficial owner of the Company’s securities. The Consulting Agreement was further extended on May 12, 2025 for a total period of twelve (12) months from the effective date of the agreement in exchange for a total amount for both the original and amended agreements of $530. On December 15, 2025 the Consulting Agreement was further amended to increase the value of agreement by $250, increasing the total amount for original and amended agreements to $780. For the year ended December 31, 2025, $558 of this contract was recognized in general and administrative expenses on the consolidated statement of operations and comprehensive loss, $82 was recognized as a prepaid expense in other current assets and $250 was recognized as an accrued liability on the consolidated balance sheets as of December 31, 2025.</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February 2026 Private Placement of Preferred Shares and Warrants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24, 2026, the Company entered into the February 2026 Purchase Agreement with the February 2026 Purchaser for the issuance and sale in a private placement of an aggregate of (i) 31,333 shares of the Company’s newly-designated Series H Convertible Preferred Stock, with a par value of $0.01 per share and a stated value of $1,000 per share, initially convertible into up to 66,665,957 shares of Common Stock, at an initial conversion price of $0.47 per share, subject to adjustment for certain customary adjustments, and (ii) the February 2026 Warrants to purchase up to 66,665,957 shares of Common Stock, at an initial exercise price of $0.345 per share, subject to adjustment for certain customary adjustments. The February 2026 Warrants expire three years from the date of issuance. The February 2026 Private Placement closed on February 27, 2026. The aggregate gross proceeds from the February 2026 Private Placement were $31,300.</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connection with the February 2026 Private Placement, pursuant to a placement agency agreement (the “Placement Agency Agreement”), dated as of February 24, 2026, by and between the Company and Dominari Securities LLC (the “Placement Agent”), the Company engaged the Placement Agent to act as an exclusive placement agent in connection with the February 2026 Private Placement and agreed to (i) pay to the Placement Agent (a) a cash fee equal to 8% of the gross proceeds of the February 2026 Private Placement and (b) reimbursements and payments of certain expenses, including non-accountable expense allowance equal to 1% of the gross proceeds raised in the February 2026 Private Placement and reasonable out-of-pocket expenses, not to exceed $250,000, and (ii) issue to the Placement Agent warrants (the “Placement Agent Warrants”) to purchase up to an aggregate number of shares of Common Stock equal to 8% of the aggregate number of shares of Common Stock underlying the securities issued in the February 2026 Private Placement, with terms identical to the Warrants, except that the Placement Agent Warrants will have a term of five (5) years from the date of issuance. The Placement Agency Agreement contains customary representations, warranties and agreements of the parties, and customary indemnification obligations of the Company.</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(the “Registration Rights Agreement”) with the February 2026 Purchaser and the Placement Agent, pursuant to which the Company has agreed to prepare and file a registration statement with the SEC registering the resale of the shares of common stock underlying the Series H Preferred Stock and shares of common stock underlying the February 2026 Warrants and the Placement Agent Warrants no later than the earlier of (a) 50 days after the later of (1) the closing date of the February 2026 Private Placement or (2) the Escrow Release Date (as defined in the Registration Rights Agreement) and (b) the second trading day following the date on which the Company files its Annual Report on Form 10-K for the year ended December 31, 2025 (the “Filing Deadline”), and to use best efforts to have the registration statement declared effective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promptly as practical thereafter, and in any event no later than 60 days following the Filing Deadline (or 90 days following the Filing Deadline in the event of a “full review” by the SEC).</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used the net proceeds from the February 2026 Private Placement, in part, to repurchase certain outstanding indebtedness, redeem previously issued preferred equity and warrants in the Repurchase (see below Omnibus Agreement).</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Omnibus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24, 2026, the Company entered into the Omnibus Agreement, pursuant to which, the Company agreed to (i) repurchase from the January 2025 Investors $5,673 of aggregate principal amount of the Notes, representing the entire outstanding principal amounts of the Notes and any accrued and unpaid interest thereon, (ii) redeem 196 shares of Series G Preferred Stock held by the January 2025 Investors, including $283 of accrued and unpaid dividends thereon, representing all outstanding shares of Series G Preferred Stock, and (iii) redeem all Amended and Restated Warrants held by the January 2025 Investors, representing all outstanding Series A Warrants and Series B Warrants, for an aggregate cash purchase price of $9,000, to be paid with the proceeds of the Private Placement (collectively, the “Repurchase”). The Repurchase closed on March 2, 2026.</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March 4, 2026, the Company filed a Certificate of Elimination (the “Certificate of Elimination”) with respect to its Series G Preferred Stock, with the Delaware Secretary of State. The Certificate of Elimination (i) eliminates the previous designation of 4,000 shares of Series G Preferred Stock, none of which were outstanding at the time of filing, (ii) causes such shares of Series G Preferred Stock to resume the status of authorized but unissued shares of preferred stock of the Company and (iii) eliminates all reference to the Series G Preferred Stock from the Company’s Amended and Restated Certificate of Incorporation, as amended.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Settlement of Preferred Stock Redemption Payables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January and February of 2026, the Company issued a total of 1,855,442 shares of common stock upon conversion of the Series G Preferred Stock as elected pursuant to the Certificate of Designations.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0" w:right="59"/>
        <w:spacing w:after="0" w:line="22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on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of April, 2026.</w:t>
      </w:r>
    </w:p>
    <w:p>
      <w:pPr>
        <w:spacing w:after="0" w:line="19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4340"/>
        <w:spacing w:after="0"/>
        <w:tabs>
          <w:tab w:leader="none" w:pos="502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17145</wp:posOffset>
            </wp:positionV>
            <wp:extent cx="27089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Ezra T. Ernst</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4340"/>
        <w:spacing w:after="0"/>
        <w:tabs>
          <w:tab w:leader="none" w:pos="502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Ian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17145</wp:posOffset>
            </wp:positionV>
            <wp:extent cx="27089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Ian Brown</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Ezra T. Ernst as his or her true and lawful attorney-in-fact and agents, with full power of substitution and re-substitution, for him or her and in his or her name, place and stead, in any and all capacities, to sign any and all amendments to this Form 10-K, and to file the same, with all exhibits thereto, and other documents in connection therewith, with the SEC,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all said attorneys-in-fact and agents, or any of them or their or his substitute or substitutes, may lawfully do or cause to be done by virtue hereof.</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this Annual Report on Form 10-K has been signed below by the following persons on behalf of the registrant and in the capacities indicated below and on the dates indicated.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24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425"/>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EZRA T. ERNST</w:t>
            </w:r>
          </w:p>
        </w:tc>
        <w:tc>
          <w:tcPr>
            <w:tcW w:w="18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 (Principal</w:t>
            </w:r>
          </w:p>
        </w:tc>
        <w:tc>
          <w:tcPr>
            <w:tcW w:w="2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2026</w:t>
            </w:r>
          </w:p>
        </w:tc>
      </w:tr>
      <w:tr>
        <w:trPr>
          <w:trHeight w:val="232"/>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Ezra T. Ernst</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Officer)</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0"/>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IAN BROWN</w:t>
            </w:r>
          </w:p>
        </w:tc>
        <w:tc>
          <w:tcPr>
            <w:tcW w:w="38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2026</w:t>
            </w:r>
          </w:p>
        </w:tc>
      </w:tr>
      <w:tr>
        <w:trPr>
          <w:trHeight w:val="232"/>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Ian Brown</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Accounting Officer)</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0"/>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BRUCE T. BERNSTEIN</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2026</w:t>
            </w:r>
          </w:p>
        </w:tc>
      </w:tr>
      <w:tr>
        <w:trPr>
          <w:trHeight w:val="232"/>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Bruce T. Bernstein</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0"/>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ROBERT WEINSTEIN</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2026</w:t>
            </w:r>
          </w:p>
        </w:tc>
      </w:tr>
      <w:tr>
        <w:trPr>
          <w:trHeight w:val="232"/>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Robert Weinstein</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7"/>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MICHAEL LEBOWITZ</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2026</w:t>
            </w:r>
          </w:p>
        </w:tc>
      </w:tr>
      <w:tr>
        <w:trPr>
          <w:trHeight w:val="23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Michael Lebowitz</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0"/>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GAELLE WIZENBERG</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2026</w:t>
            </w:r>
          </w:p>
        </w:tc>
      </w:tr>
      <w:tr>
        <w:trPr>
          <w:trHeight w:val="232"/>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Gaelle Wizenberg</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(Nos. 333-284768, 333-273726, 333-239913, 333-225531, 333-233419 and 333-264026) and on Form S-8 (Nos. 333-254508, 333-268004 and 333-264028) of our report dated April 1, 2026, with respect to the consolidated financial statements of XWELL, Inc. included in this Annual Report on Form 10-K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(Nos. 333-284768, 333-273726, 333-239913, 333-225531, 333-233419 and 333-264026) and on Form S-8 (Nos. 333-254508, 333-268004 and 333-264028) of our report dated April 15, 2025 with respect to the consolidated financial statements of XWELL, Inc. included in this Annual Report on Form 10-K for the year ended December 31, 2025.</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arcum</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Ezra T. Ernst,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XWELL, Inc.;</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332"/>
        <w:spacing w:after="0" w:line="266"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332"/>
        <w:spacing w:after="0" w:line="282"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332"/>
        <w:spacing w:after="0" w:line="282"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1457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Ian Brown, certify that:</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XWELL, Inc.;</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332"/>
        <w:spacing w:after="0" w:line="26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332"/>
        <w:spacing w:after="0" w:line="282"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332"/>
        <w:spacing w:after="0" w:line="282"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Thomas Ian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1457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XWELL, Inc., a Delaware corporation (the “Company”), does hereby certify, to such officer’s knowledge, that: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Annual Report for the year ended December 31,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Ezra T. Ernst</w:t>
            </w:r>
          </w:p>
        </w:tc>
      </w:tr>
      <w:tr>
        <w:trPr>
          <w:trHeight w:val="205"/>
        </w:trPr>
        <w:tc>
          <w:tcPr>
            <w:tcW w:w="4960" w:type="dxa"/>
            <w:vAlign w:val="bottom"/>
          </w:tcPr>
          <w:p>
            <w:pPr>
              <w:spacing w:after="0"/>
              <w:rPr>
                <w:sz w:val="17"/>
                <w:szCs w:val="17"/>
                <w:color w:val="auto"/>
              </w:rPr>
            </w:pP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88"/>
        </w:trPr>
        <w:tc>
          <w:tcPr>
            <w:tcW w:w="4960" w:type="dxa"/>
            <w:vAlign w:val="bottom"/>
          </w:tcPr>
          <w:p>
            <w:pPr>
              <w:spacing w:after="0"/>
              <w:rPr>
                <w:sz w:val="24"/>
                <w:szCs w:val="24"/>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Thomas Ian Brown</w:t>
            </w:r>
          </w:p>
        </w:tc>
      </w:tr>
      <w:tr>
        <w:trPr>
          <w:trHeight w:val="228"/>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8"/>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lowerLetter"/>
      <w:start w:val="2"/>
    </w:lvl>
  </w:abstractNum>
  <w:abstractNum w:abstractNumId="23">
    <w:nsid w:val="614FD4A1"/>
    <w:multiLevelType w:val="hybridMultilevel"/>
    <w:lvl w:ilvl="0">
      <w:lvlJc w:val="left"/>
      <w:lvlText w:val="(%1)"/>
      <w:numFmt w:val="lowerLetter"/>
      <w:start w:val="2"/>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97"/>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5"/>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5"/>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3" Type="http://schemas.openxmlformats.org/officeDocument/2006/relationships/image" Target="media/image58.png"/><Relationship Id="rId90" Type="http://schemas.openxmlformats.org/officeDocument/2006/relationships/image" Target="media/image59.png"/><Relationship Id="rId106" Type="http://schemas.openxmlformats.org/officeDocument/2006/relationships/image" Target="media/image60.png"/><Relationship Id="rId121" Type="http://schemas.openxmlformats.org/officeDocument/2006/relationships/image" Target="media/image61.png"/><Relationship Id="rId124" Type="http://schemas.openxmlformats.org/officeDocument/2006/relationships/image" Target="media/image62.png"/><Relationship Id="rId125" Type="http://schemas.openxmlformats.org/officeDocument/2006/relationships/image" Target="media/image63.png"/><Relationship Id="rId126" Type="http://schemas.openxmlformats.org/officeDocument/2006/relationships/image" Target="media/image64.png"/><Relationship Id="rId127" Type="http://schemas.openxmlformats.org/officeDocument/2006/relationships/image" Target="media/image65.png"/><Relationship Id="rId128" Type="http://schemas.openxmlformats.org/officeDocument/2006/relationships/image" Target="media/image66.png"/><Relationship Id="rId129" Type="http://schemas.openxmlformats.org/officeDocument/2006/relationships/image" Target="media/image67.png"/><Relationship Id="rId130" Type="http://schemas.openxmlformats.org/officeDocument/2006/relationships/image" Target="media/image68.png"/><Relationship Id="rId131" Type="http://schemas.openxmlformats.org/officeDocument/2006/relationships/image" Target="media/image69.png"/><Relationship Id="rId132" Type="http://schemas.openxmlformats.org/officeDocument/2006/relationships/image" Target="media/image70.png"/><Relationship Id="rId133" Type="http://schemas.openxmlformats.org/officeDocument/2006/relationships/image" Target="media/image71.png"/><Relationship Id="rId134" Type="http://schemas.openxmlformats.org/officeDocument/2006/relationships/image" Target="media/image72.png"/><Relationship Id="rId135" Type="http://schemas.openxmlformats.org/officeDocument/2006/relationships/image" Target="media/image73.png"/><Relationship Id="rId136" Type="http://schemas.openxmlformats.org/officeDocument/2006/relationships/image" Target="media/image74.png"/><Relationship Id="rId137" Type="http://schemas.openxmlformats.org/officeDocument/2006/relationships/image" Target="media/image75.png"/><Relationship Id="rId138" Type="http://schemas.openxmlformats.org/officeDocument/2006/relationships/image" Target="media/image76.png"/><Relationship Id="rId139" Type="http://schemas.openxmlformats.org/officeDocument/2006/relationships/image" Target="media/image77.png"/><Relationship Id="rId140" Type="http://schemas.openxmlformats.org/officeDocument/2006/relationships/image" Target="media/image78.png"/><Relationship Id="rId141" Type="http://schemas.openxmlformats.org/officeDocument/2006/relationships/image" Target="media/image79.png"/><Relationship Id="rId142" Type="http://schemas.openxmlformats.org/officeDocument/2006/relationships/image" Target="media/image80.png"/><Relationship Id="rId143" Type="http://schemas.openxmlformats.org/officeDocument/2006/relationships/image" Target="media/image81.png"/><Relationship Id="rId144" Type="http://schemas.openxmlformats.org/officeDocument/2006/relationships/image" Target="media/image82.png"/><Relationship Id="rId145" Type="http://schemas.openxmlformats.org/officeDocument/2006/relationships/image" Target="media/image83.png"/><Relationship Id="rId146" Type="http://schemas.openxmlformats.org/officeDocument/2006/relationships/image" Target="media/image84.png"/><Relationship Id="rId147" Type="http://schemas.openxmlformats.org/officeDocument/2006/relationships/image" Target="media/image85.png"/><Relationship Id="rId148" Type="http://schemas.openxmlformats.org/officeDocument/2006/relationships/image" Target="media/image86.png"/><Relationship Id="rId149" Type="http://schemas.openxmlformats.org/officeDocument/2006/relationships/image" Target="media/image87.png"/><Relationship Id="rId150" Type="http://schemas.openxmlformats.org/officeDocument/2006/relationships/image" Target="media/image88.png"/><Relationship Id="rId151" Type="http://schemas.openxmlformats.org/officeDocument/2006/relationships/image" Target="media/image89.png"/><Relationship Id="rId152" Type="http://schemas.openxmlformats.org/officeDocument/2006/relationships/image" Target="media/image90.png"/><Relationship Id="rId153" Type="http://schemas.openxmlformats.org/officeDocument/2006/relationships/image" Target="media/image91.png"/><Relationship Id="rId154" Type="http://schemas.openxmlformats.org/officeDocument/2006/relationships/image" Target="media/image92.png"/><Relationship Id="rId155" Type="http://schemas.openxmlformats.org/officeDocument/2006/relationships/image" Target="media/image93.png"/><Relationship Id="rId156" Type="http://schemas.openxmlformats.org/officeDocument/2006/relationships/image" Target="media/image94.png"/><Relationship Id="rId157" Type="http://schemas.openxmlformats.org/officeDocument/2006/relationships/image" Target="media/image95.png"/><Relationship Id="rId158" Type="http://schemas.openxmlformats.org/officeDocument/2006/relationships/image" Target="media/image96.png"/><Relationship Id="rId159" Type="http://schemas.openxmlformats.org/officeDocument/2006/relationships/image" Target="media/image97.png"/><Relationship Id="rId160" Type="http://schemas.openxmlformats.org/officeDocument/2006/relationships/image" Target="media/image98.png"/><Relationship Id="rId161" Type="http://schemas.openxmlformats.org/officeDocument/2006/relationships/image" Target="media/image99.png"/><Relationship Id="rId162" Type="http://schemas.openxmlformats.org/officeDocument/2006/relationships/image" Target="media/image100.png"/><Relationship Id="rId163" Type="http://schemas.openxmlformats.org/officeDocument/2006/relationships/image" Target="media/image101.png"/><Relationship Id="rId164" Type="http://schemas.openxmlformats.org/officeDocument/2006/relationships/image" Target="media/image102.png"/><Relationship Id="rId165" Type="http://schemas.openxmlformats.org/officeDocument/2006/relationships/image" Target="media/image103.png"/><Relationship Id="rId166" Type="http://schemas.openxmlformats.org/officeDocument/2006/relationships/image" Target="media/image104.png"/><Relationship Id="rId167" Type="http://schemas.openxmlformats.org/officeDocument/2006/relationships/image" Target="media/image105.png"/><Relationship Id="rId168" Type="http://schemas.openxmlformats.org/officeDocument/2006/relationships/image" Target="media/image106.png"/><Relationship Id="rId169" Type="http://schemas.openxmlformats.org/officeDocument/2006/relationships/image" Target="media/image107.png"/><Relationship Id="rId170" Type="http://schemas.openxmlformats.org/officeDocument/2006/relationships/image" Target="media/image108.png"/><Relationship Id="rId171" Type="http://schemas.openxmlformats.org/officeDocument/2006/relationships/image" Target="media/image109.png"/><Relationship Id="rId172" Type="http://schemas.openxmlformats.org/officeDocument/2006/relationships/image" Target="media/image110.png"/><Relationship Id="rId173" Type="http://schemas.openxmlformats.org/officeDocument/2006/relationships/image" Target="media/image111.png"/><Relationship Id="rId174" Type="http://schemas.openxmlformats.org/officeDocument/2006/relationships/image" Target="media/image112.png"/><Relationship Id="rId175" Type="http://schemas.openxmlformats.org/officeDocument/2006/relationships/image" Target="media/image113.png"/><Relationship Id="rId176" Type="http://schemas.openxmlformats.org/officeDocument/2006/relationships/image" Target="media/image114.png"/><Relationship Id="rId177" Type="http://schemas.openxmlformats.org/officeDocument/2006/relationships/image" Target="media/image115.png"/><Relationship Id="rId178" Type="http://schemas.openxmlformats.org/officeDocument/2006/relationships/image" Target="media/image116.png"/><Relationship Id="rId179" Type="http://schemas.openxmlformats.org/officeDocument/2006/relationships/image" Target="media/image117.png"/><Relationship Id="rId180" Type="http://schemas.openxmlformats.org/officeDocument/2006/relationships/image" Target="media/image118.png"/><Relationship Id="rId181" Type="http://schemas.openxmlformats.org/officeDocument/2006/relationships/image" Target="media/image119.png"/><Relationship Id="rId182" Type="http://schemas.openxmlformats.org/officeDocument/2006/relationships/image" Target="media/image120.png"/><Relationship Id="rId183" Type="http://schemas.openxmlformats.org/officeDocument/2006/relationships/image" Target="media/image121.png"/><Relationship Id="rId184" Type="http://schemas.openxmlformats.org/officeDocument/2006/relationships/image" Target="media/image122.png"/><Relationship Id="rId185" Type="http://schemas.openxmlformats.org/officeDocument/2006/relationships/image" Target="media/image123.png"/><Relationship Id="rId186" Type="http://schemas.openxmlformats.org/officeDocument/2006/relationships/image" Target="media/image124.png"/><Relationship Id="rId187" Type="http://schemas.openxmlformats.org/officeDocument/2006/relationships/image" Target="media/image125.png"/><Relationship Id="rId65" Type="http://schemas.openxmlformats.org/officeDocument/2006/relationships/hyperlink" Target="https://www.sec.gov/Archives/edgar/data/1410428/000114420416117230/v446257_ex2-1.htm" TargetMode="External"/><Relationship Id="rId66" Type="http://schemas.openxmlformats.org/officeDocument/2006/relationships/hyperlink" Target="https://www.sec.gov/Archives/edgar/data/1410428/000114420416123414/v448507_ex2-1.htm" TargetMode="External"/><Relationship Id="rId67" Type="http://schemas.openxmlformats.org/officeDocument/2006/relationships/hyperlink" Target="https://www.sec.gov/Archives/edgar/data/1410428/000114420416129472/v451220_ex2-1.htm" TargetMode="External"/><Relationship Id="rId68" Type="http://schemas.openxmlformats.org/officeDocument/2006/relationships/hyperlink" Target="https://www.sec.gov/Archives/edgar/data/1410428/000114420419047032/tv530541_ex10-1.htm" TargetMode="External"/><Relationship Id="rId69" Type="http://schemas.openxmlformats.org/officeDocument/2006/relationships/hyperlink" Target="https://www.sec.gov/Archives/edgar/data/1410428/000110465922110803/tm2228726d1_ex3-1.htm" TargetMode="External"/><Relationship Id="rId70" Type="http://schemas.openxmlformats.org/officeDocument/2006/relationships/hyperlink" Target="https://www.sec.gov/Archives/edgar/data/1410428/000110465922110803/tm2228726d1_ex3-2.htm" TargetMode="External"/><Relationship Id="rId71" Type="http://schemas.openxmlformats.org/officeDocument/2006/relationships/hyperlink" Target="https://www.sec.gov/Archives/edgar/data/1410428/000110465924063832/tm2415030d1_ex3-1.htm" TargetMode="External"/><Relationship Id="rId72" Type="http://schemas.openxmlformats.org/officeDocument/2006/relationships/hyperlink" Target="https://www.sec.gov/Archives/edgar/data/1410428/000110465923104093/tm2327010d1_ex3-1.htm" TargetMode="External"/><Relationship Id="rId74" Type="http://schemas.openxmlformats.org/officeDocument/2006/relationships/hyperlink" Target="https://www.sec.gov/Archives/edgar/data/1410428/000110465924090328/tm2421867d1_ex3-1.htm" TargetMode="External"/><Relationship Id="rId75" Type="http://schemas.openxmlformats.org/officeDocument/2006/relationships/hyperlink" Target="https://www.sec.gov/Archives/edgar/data/1410428/000110465925003620/tm253251d1_ex3-1.htm" TargetMode="External"/><Relationship Id="rId76" Type="http://schemas.openxmlformats.org/officeDocument/2006/relationships/hyperlink" Target="https://www.sec.gov/Archives/edgar/data/1410428/000110465925070824/tm2521421d1_ex99-1.htm" TargetMode="External"/><Relationship Id="rId77" Type="http://schemas.openxmlformats.org/officeDocument/2006/relationships/hyperlink" Target="https://www.sec.gov/Archives/edgar/data/1410428/000110465925106407/tm2530065d1_ex3-1.htm" TargetMode="External"/><Relationship Id="rId78" Type="http://schemas.openxmlformats.org/officeDocument/2006/relationships/hyperlink" Target="https://www.sec.gov/Archives/edgar/data/1410428/000110465926023569/tm268017d1_ex3-1.htm" TargetMode="External"/><Relationship Id="rId79" Type="http://schemas.openxmlformats.org/officeDocument/2006/relationships/hyperlink" Target="https://www.sec.gov/Archives/edgar/data/1410428/000110465926023569/tm268017d1_ex3-2.htm" TargetMode="External"/><Relationship Id="rId80" Type="http://schemas.openxmlformats.org/officeDocument/2006/relationships/hyperlink" Target="https://www.sec.gov/Archives/edgar/data/0001410428/000110465920048780/tm205324d1_ex4-22.htm" TargetMode="External"/><Relationship Id="rId81" Type="http://schemas.openxmlformats.org/officeDocument/2006/relationships/hyperlink" Target="https://www.sec.gov/Archives/edgar/data/1410428/000110465924090328/tm2421867d1_ex4-1.htm" TargetMode="External"/><Relationship Id="rId82" Type="http://schemas.openxmlformats.org/officeDocument/2006/relationships/hyperlink" Target="https://www.sec.gov/Archives/edgar/data/1410428/000110465925003620/tm253251d1_ex4-1.htm" TargetMode="External"/><Relationship Id="rId83" Type="http://schemas.openxmlformats.org/officeDocument/2006/relationships/hyperlink" Target="https://www.sec.gov/Archives/edgar/data/1410428/000110465925003620/tm253251d1_ex4-2.htm" TargetMode="External"/><Relationship Id="rId84" Type="http://schemas.openxmlformats.org/officeDocument/2006/relationships/hyperlink" Target="https://www.sec.gov/Archives/edgar/data/1410428/000110465925106407/tm2530065d1_ex4-1.htm" TargetMode="External"/><Relationship Id="rId85" Type="http://schemas.openxmlformats.org/officeDocument/2006/relationships/hyperlink" Target="https://www.sec.gov/Archives/edgar/data/1410428/000110465925106407/tm2530065d1_ex4-2.htm" TargetMode="External"/><Relationship Id="rId86" Type="http://schemas.openxmlformats.org/officeDocument/2006/relationships/hyperlink" Target="https://www.sec.gov/Archives/edgar/data/1410428/000110465925106407/tm2530065d1_ex4-3.htm" TargetMode="External"/><Relationship Id="rId87" Type="http://schemas.openxmlformats.org/officeDocument/2006/relationships/hyperlink" Target="https://www.sec.gov/Archives/edgar/data/1410428/000110465926019431/tm267239d1_ex4-1.htm" TargetMode="External"/><Relationship Id="rId88" Type="http://schemas.openxmlformats.org/officeDocument/2006/relationships/hyperlink" Target="https://www.sec.gov/Archives/edgar/data/1410428/000110465926019431/tm267239d1_ex4-2.htm" TargetMode="External"/><Relationship Id="rId89" Type="http://schemas.openxmlformats.org/officeDocument/2006/relationships/hyperlink" Target="https://www.sec.gov/Archives/edgar/data/1410428/000119312510069268/dex45.htm" TargetMode="External"/><Relationship Id="rId91" Type="http://schemas.openxmlformats.org/officeDocument/2006/relationships/hyperlink" Target="https://www.sec.gov/Archives/edgar/data/1410428/000114420412041064/v319421_ex99-2.htm" TargetMode="External"/><Relationship Id="rId92" Type="http://schemas.openxmlformats.org/officeDocument/2006/relationships/hyperlink" Target="https://www.sec.gov/Archives/edgar/data/1410428/000114420412041064/v319421_ex99-3.htm" TargetMode="External"/><Relationship Id="rId93" Type="http://schemas.openxmlformats.org/officeDocument/2006/relationships/hyperlink" Target="https://www.sec.gov/Archives/edgar/data/1410428/000114420413016671/v333989_ex10-24.htm" TargetMode="External"/><Relationship Id="rId94" Type="http://schemas.openxmlformats.org/officeDocument/2006/relationships/hyperlink" Target="https://www.sec.gov/Archives/edgar/data/1410428/000155837021003840/xspa-20201231ex103530ae1.htm" TargetMode="External"/><Relationship Id="rId95" Type="http://schemas.openxmlformats.org/officeDocument/2006/relationships/hyperlink" Target="https://www.sec.gov/Archives/edgar/data/1410428/000155837021003840/xspa-20201231ex1036b4f7e.htm" TargetMode="External"/><Relationship Id="rId96" Type="http://schemas.openxmlformats.org/officeDocument/2006/relationships/hyperlink" Target="https://www.sec.gov/Archives/edgar/data/1410428/000110465920109366/tm2031943d1_ex10-1.htm" TargetMode="External"/><Relationship Id="rId97" Type="http://schemas.openxmlformats.org/officeDocument/2006/relationships/hyperlink" Target="https://www.sec.gov/Archives/edgar/data/1410428/000110465920120037/tm2034656d1_ex10-1.htm" TargetMode="External"/><Relationship Id="rId98" Type="http://schemas.openxmlformats.org/officeDocument/2006/relationships/hyperlink" Target="https://www.sec.gov/Archives/edgar/data/1410428/000155837021005390/tmb-20201231xex10d45.htm" TargetMode="External"/><Relationship Id="rId99" Type="http://schemas.openxmlformats.org/officeDocument/2006/relationships/hyperlink" Target="https://www.sec.gov/Archives/edgar/data/1410428/000155837022017847/xwel-20220930xex10d2.htm" TargetMode="External"/><Relationship Id="rId100" Type="http://schemas.openxmlformats.org/officeDocument/2006/relationships/hyperlink" Target="https://www.sec.gov/Archives/edgar/data/1410428/000110465922041088/tm2210786d1_ex10-1.htm" TargetMode="External"/><Relationship Id="rId101" Type="http://schemas.openxmlformats.org/officeDocument/2006/relationships/hyperlink" Target="https://www.sec.gov/Archives/edgar/data/1410428/000155837022004897/xspa-20211231xex10d48.htm" TargetMode="External"/><Relationship Id="rId102" Type="http://schemas.openxmlformats.org/officeDocument/2006/relationships/hyperlink" Target="https://www.sec.gov/Archives/edgar/data/1410428/000110465922111225/tm2228862d1_ex10-1.htm" TargetMode="External"/><Relationship Id="rId103" Type="http://schemas.openxmlformats.org/officeDocument/2006/relationships/hyperlink" Target="https://www.sec.gov/Archives/edgar/data/1410428/000110465923075565/tm2319842d1_ex10-1.htm" TargetMode="External"/><Relationship Id="rId104" Type="http://schemas.openxmlformats.org/officeDocument/2006/relationships/hyperlink" Target="https://www.sec.gov/Archives/edgar/data/1410428/000110465924097147/tm2423402d1_ex10-1.htm" TargetMode="External"/><Relationship Id="rId105" Type="http://schemas.openxmlformats.org/officeDocument/2006/relationships/hyperlink" Target="https://www.sec.gov/Archives/edgar/data/1410428/000110465924097147/tm2423402d1_ex10-2.htm" TargetMode="External"/><Relationship Id="rId107" Type="http://schemas.openxmlformats.org/officeDocument/2006/relationships/hyperlink" Target="https://www.sec.gov/Archives/edgar/data/1410428/000110465925001576/tm251904d1_ex10-1.htm" TargetMode="External"/><Relationship Id="rId108" Type="http://schemas.openxmlformats.org/officeDocument/2006/relationships/hyperlink" Target="https://www.sec.gov/Archives/edgar/data/1410428/000110465925001576/tm251904d1_ex10-2.htm" TargetMode="External"/><Relationship Id="rId109" Type="http://schemas.openxmlformats.org/officeDocument/2006/relationships/hyperlink" Target="https://www.sec.gov/Archives/edgar/data/1410428/000110465924086582/tm2421027d1_ex10-1.htm" TargetMode="External"/><Relationship Id="rId110" Type="http://schemas.openxmlformats.org/officeDocument/2006/relationships/hyperlink" Target="https://www.sec.gov/Archives/edgar/data/1410428/000110465925003620/tm253251d1_ex10-1.htm" TargetMode="External"/><Relationship Id="rId111" Type="http://schemas.openxmlformats.org/officeDocument/2006/relationships/hyperlink" Target="https://www.sec.gov/Archives/edgar/data/1410428/000110465925003620/tm253251d1_ex10-2.htm" TargetMode="External"/><Relationship Id="rId112" Type="http://schemas.openxmlformats.org/officeDocument/2006/relationships/hyperlink" Target="https://www.sec.gov/Archives/edgar/data/1410428/000110465925034194/tm2512176d1_ex10-1.htm" TargetMode="External"/><Relationship Id="rId113" Type="http://schemas.openxmlformats.org/officeDocument/2006/relationships/hyperlink" Target="https://www.sec.gov/Archives/edgar/data/1410428/000155837025008028/xwel-20250331xex10d4.htm" TargetMode="External"/><Relationship Id="rId114" Type="http://schemas.openxmlformats.org/officeDocument/2006/relationships/hyperlink" Target="https://www.sec.gov/Archives/edgar/data/1410428/000110465925106407/tm2530065d1_ex10-1.htm" TargetMode="External"/><Relationship Id="rId115" Type="http://schemas.openxmlformats.org/officeDocument/2006/relationships/hyperlink" Target="https://www.sec.gov/Archives/edgar/data/1410428/000110465926019431/tm267239d1_ex10-1.htm" TargetMode="External"/><Relationship Id="rId116" Type="http://schemas.openxmlformats.org/officeDocument/2006/relationships/hyperlink" Target="https://www.sec.gov/Archives/edgar/data/1410428/000110465926019431/tm267239d1_ex10-2.htm" TargetMode="External"/><Relationship Id="rId117" Type="http://schemas.openxmlformats.org/officeDocument/2006/relationships/hyperlink" Target="https://www.sec.gov/Archives/edgar/data/1410428/000110465926019431/tm267239d1_ex10-3.htm" TargetMode="External"/><Relationship Id="rId118" Type="http://schemas.openxmlformats.org/officeDocument/2006/relationships/hyperlink" Target="https://www.sec.gov/Archives/edgar/data/1410428/000110465926019431/tm267239d1_ex10-4.htm" TargetMode="External"/><Relationship Id="rId119" Type="http://schemas.openxmlformats.org/officeDocument/2006/relationships/hyperlink" Target="https://www.sec.gov/Archives/edgar/data/1410428/000110465926019431/tm267239d1_ex10-5.htm" TargetMode="External"/><Relationship Id="rId120" Type="http://schemas.openxmlformats.org/officeDocument/2006/relationships/hyperlink" Target="https://www.sec.gov/Archives/edgar/data/1410428/000155837025004851/xwel-20241231xex19d1.htm" TargetMode="External"/><Relationship Id="rId122" Type="http://schemas.openxmlformats.org/officeDocument/2006/relationships/hyperlink" Target="https://www.sec.gov/Archives/edgar/data/1410428/000155837024005211/xwel-20231231xex21d1.htm" TargetMode="External"/><Relationship Id="rId123" Type="http://schemas.openxmlformats.org/officeDocument/2006/relationships/hyperlink" Target="https://www.sec.gov/Archives/edgar/data/1410428/000155837024005211/xwel-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2026-04-01T10:04:17Z</dcterms:created>
  <dcterms:modified xsi:type="dcterms:W3CDTF">2026-04-01T10:04:17Z</dcterms:modified>
</cp:coreProperties>
</file>