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3740" w:right="1580" w:hanging="3732"/>
        <w:spacing w:after="0" w:line="473" w:lineRule="auto"/>
        <w:tabs>
          <w:tab w:leader="none" w:pos="69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2013</w:t>
      </w:r>
    </w:p>
    <w:p>
      <w:pPr>
        <w:spacing w:after="0" w:line="30" w:lineRule="exact"/>
        <w:rPr>
          <w:sz w:val="24"/>
          <w:szCs w:val="24"/>
          <w:color w:val="auto"/>
        </w:rPr>
      </w:pPr>
    </w:p>
    <w:p>
      <w:pPr>
        <w:ind w:left="4460" w:right="1560" w:hanging="4452"/>
        <w:spacing w:after="0" w:line="501" w:lineRule="auto"/>
        <w:tabs>
          <w:tab w:leader="none" w:pos="7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tbl>
      <w:tblPr>
        <w:tblLayout w:type="fixed"/>
        <w:tblInd w:w="0" w:type="dxa"/>
        <w:tblCellMar>
          <w:top w:w="0" w:type="dxa"/>
          <w:left w:w="0" w:type="dxa"/>
          <w:bottom w:w="0" w:type="dxa"/>
          <w:right w:w="0" w:type="dxa"/>
        </w:tblCellMar>
      </w:tblPr>
      <w:tr>
        <w:trPr>
          <w:trHeight w:val="234"/>
        </w:trPr>
        <w:tc>
          <w:tcPr>
            <w:tcW w:w="790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0"/>
              </w:rPr>
              <w:t>Commission file number: 001-34785</w:t>
            </w:r>
          </w:p>
        </w:tc>
        <w:tc>
          <w:tcPr>
            <w:tcW w:w="3520" w:type="dxa"/>
            <w:vAlign w:val="bottom"/>
          </w:tcPr>
          <w:p>
            <w:pPr>
              <w:spacing w:after="0"/>
              <w:rPr>
                <w:sz w:val="20"/>
                <w:szCs w:val="20"/>
                <w:color w:val="auto"/>
              </w:rPr>
            </w:pPr>
          </w:p>
        </w:tc>
      </w:tr>
      <w:tr>
        <w:trPr>
          <w:trHeight w:val="414"/>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rPr>
              <w:t>VRINGO, INC.</w:t>
            </w:r>
          </w:p>
        </w:tc>
        <w:tc>
          <w:tcPr>
            <w:tcW w:w="3520" w:type="dxa"/>
            <w:vAlign w:val="bottom"/>
          </w:tcPr>
          <w:p>
            <w:pPr>
              <w:spacing w:after="0"/>
              <w:rPr>
                <w:sz w:val="24"/>
                <w:szCs w:val="24"/>
                <w:color w:val="auto"/>
              </w:rPr>
            </w:pPr>
          </w:p>
        </w:tc>
      </w:tr>
      <w:tr>
        <w:trPr>
          <w:trHeight w:val="234"/>
        </w:trPr>
        <w:tc>
          <w:tcPr>
            <w:tcW w:w="7900" w:type="dxa"/>
            <w:vAlign w:val="bottom"/>
            <w:gridSpan w:val="5"/>
          </w:tcPr>
          <w:p>
            <w:pPr>
              <w:jc w:val="center"/>
              <w:ind w:left="343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520" w:type="dxa"/>
            <w:vAlign w:val="bottom"/>
          </w:tcPr>
          <w:p>
            <w:pPr>
              <w:spacing w:after="0"/>
              <w:rPr>
                <w:sz w:val="20"/>
                <w:szCs w:val="20"/>
                <w:color w:val="auto"/>
              </w:rPr>
            </w:pPr>
          </w:p>
        </w:tc>
      </w:tr>
      <w:tr>
        <w:trPr>
          <w:trHeight w:val="432"/>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3"/>
              </w:rPr>
              <w:t>Delaware</w:t>
            </w:r>
          </w:p>
        </w:tc>
        <w:tc>
          <w:tcPr>
            <w:tcW w:w="3520" w:type="dxa"/>
            <w:vAlign w:val="bottom"/>
          </w:tcPr>
          <w:p>
            <w:pPr>
              <w:jc w:val="right"/>
              <w:ind w:right="2210"/>
              <w:spacing w:after="0"/>
              <w:rPr>
                <w:sz w:val="20"/>
                <w:szCs w:val="20"/>
                <w:color w:val="auto"/>
              </w:rPr>
            </w:pPr>
            <w:r>
              <w:rPr>
                <w:rFonts w:ascii="Arial" w:cs="Arial" w:eastAsia="Arial" w:hAnsi="Arial"/>
                <w:sz w:val="18"/>
                <w:szCs w:val="18"/>
                <w:b w:val="1"/>
                <w:bCs w:val="1"/>
                <w:color w:val="auto"/>
              </w:rPr>
              <w:t>20-4988129</w:t>
            </w:r>
          </w:p>
        </w:tc>
      </w:tr>
      <w:tr>
        <w:trPr>
          <w:trHeight w:val="191"/>
        </w:trPr>
        <w:tc>
          <w:tcPr>
            <w:tcW w:w="55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91"/>
              </w:rPr>
              <w:t>(State or other jurisdiction of</w:t>
            </w:r>
          </w:p>
        </w:tc>
        <w:tc>
          <w:tcPr>
            <w:tcW w:w="4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3520" w:type="dxa"/>
            <w:vAlign w:val="bottom"/>
            <w:tcBorders>
              <w:top w:val="single" w:sz="8" w:color="auto"/>
            </w:tcBorders>
          </w:tcPr>
          <w:p>
            <w:pPr>
              <w:jc w:val="center"/>
              <w:ind w:right="1850"/>
              <w:spacing w:after="0" w:line="191"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1"/>
              </w:rPr>
              <w:t>incorporation or organization)</w:t>
            </w:r>
          </w:p>
        </w:tc>
        <w:tc>
          <w:tcPr>
            <w:tcW w:w="3520" w:type="dxa"/>
            <w:vAlign w:val="bottom"/>
          </w:tcPr>
          <w:p>
            <w:pPr>
              <w:jc w:val="center"/>
              <w:ind w:right="1850"/>
              <w:spacing w:after="0"/>
              <w:rPr>
                <w:sz w:val="20"/>
                <w:szCs w:val="20"/>
                <w:color w:val="auto"/>
              </w:rPr>
            </w:pPr>
            <w:r>
              <w:rPr>
                <w:rFonts w:ascii="Arial" w:cs="Arial" w:eastAsia="Arial" w:hAnsi="Arial"/>
                <w:sz w:val="18"/>
                <w:szCs w:val="18"/>
                <w:b w:val="1"/>
                <w:bCs w:val="1"/>
                <w:color w:val="auto"/>
                <w:w w:val="93"/>
              </w:rPr>
              <w:t>Identification No.)</w:t>
            </w:r>
          </w:p>
        </w:tc>
      </w:tr>
      <w:tr>
        <w:trPr>
          <w:trHeight w:val="432"/>
        </w:trPr>
        <w:tc>
          <w:tcPr>
            <w:tcW w:w="7900" w:type="dxa"/>
            <w:vAlign w:val="bottom"/>
            <w:gridSpan w:val="5"/>
          </w:tcPr>
          <w:p>
            <w:pPr>
              <w:jc w:val="center"/>
              <w:ind w:right="2400"/>
              <w:spacing w:after="0"/>
              <w:rPr>
                <w:sz w:val="20"/>
                <w:szCs w:val="20"/>
                <w:color w:val="auto"/>
              </w:rPr>
            </w:pPr>
            <w:r>
              <w:rPr>
                <w:rFonts w:ascii="Arial" w:cs="Arial" w:eastAsia="Arial" w:hAnsi="Arial"/>
                <w:sz w:val="18"/>
                <w:szCs w:val="18"/>
                <w:b w:val="1"/>
                <w:bCs w:val="1"/>
                <w:color w:val="auto"/>
                <w:w w:val="93"/>
              </w:rPr>
              <w:t xml:space="preserve">780 3rd Ave. </w:t>
            </w:r>
            <w:r>
              <w:rPr>
                <w:rFonts w:ascii="Arial" w:cs="Arial" w:eastAsia="Arial" w:hAnsi="Arial"/>
                <w:sz w:val="17"/>
                <w:szCs w:val="17"/>
                <w:b w:val="1"/>
                <w:bCs w:val="1"/>
                <w:color w:val="auto"/>
                <w:w w:val="93"/>
              </w:rPr>
              <w:t>15th Floor, New York, NY</w:t>
            </w:r>
          </w:p>
        </w:tc>
        <w:tc>
          <w:tcPr>
            <w:tcW w:w="3520" w:type="dxa"/>
            <w:vAlign w:val="bottom"/>
          </w:tcPr>
          <w:p>
            <w:pPr>
              <w:jc w:val="right"/>
              <w:ind w:right="2410"/>
              <w:spacing w:after="0"/>
              <w:rPr>
                <w:sz w:val="20"/>
                <w:szCs w:val="20"/>
                <w:color w:val="auto"/>
              </w:rPr>
            </w:pPr>
            <w:r>
              <w:rPr>
                <w:rFonts w:ascii="Arial" w:cs="Arial" w:eastAsia="Arial" w:hAnsi="Arial"/>
                <w:sz w:val="18"/>
                <w:szCs w:val="18"/>
                <w:b w:val="1"/>
                <w:bCs w:val="1"/>
                <w:color w:val="auto"/>
              </w:rPr>
              <w:t>10017</w:t>
            </w:r>
          </w:p>
        </w:tc>
      </w:tr>
      <w:tr>
        <w:trPr>
          <w:trHeight w:val="228"/>
        </w:trPr>
        <w:tc>
          <w:tcPr>
            <w:tcW w:w="550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tcPr>
          <w:p>
            <w:pPr>
              <w:jc w:val="center"/>
              <w:ind w:right="1870"/>
              <w:spacing w:after="0"/>
              <w:rPr>
                <w:sz w:val="20"/>
                <w:szCs w:val="20"/>
                <w:color w:val="auto"/>
              </w:rPr>
            </w:pPr>
            <w:r>
              <w:rPr>
                <w:rFonts w:ascii="Arial" w:cs="Arial" w:eastAsia="Arial" w:hAnsi="Arial"/>
                <w:sz w:val="18"/>
                <w:szCs w:val="18"/>
                <w:b w:val="1"/>
                <w:bCs w:val="1"/>
                <w:color w:val="auto"/>
                <w:w w:val="94"/>
              </w:rPr>
              <w:t>(Zip Code)</w:t>
            </w:r>
          </w:p>
        </w:tc>
      </w:tr>
      <w:tr>
        <w:trPr>
          <w:trHeight w:val="373"/>
        </w:trPr>
        <w:tc>
          <w:tcPr>
            <w:tcW w:w="6280" w:type="dxa"/>
            <w:vAlign w:val="bottom"/>
            <w:gridSpan w:val="4"/>
          </w:tcPr>
          <w:p>
            <w:pPr>
              <w:jc w:val="center"/>
              <w:ind w:left="5070"/>
              <w:spacing w:after="0"/>
              <w:rPr>
                <w:sz w:val="20"/>
                <w:szCs w:val="20"/>
                <w:color w:val="auto"/>
              </w:rPr>
            </w:pPr>
            <w:r>
              <w:rPr>
                <w:rFonts w:ascii="Arial" w:cs="Arial" w:eastAsia="Arial" w:hAnsi="Arial"/>
                <w:sz w:val="18"/>
                <w:szCs w:val="18"/>
                <w:b w:val="1"/>
                <w:bCs w:val="1"/>
                <w:color w:val="auto"/>
                <w:w w:val="90"/>
              </w:rPr>
              <w:t>(212) 309-7549</w:t>
            </w:r>
          </w:p>
        </w:tc>
        <w:tc>
          <w:tcPr>
            <w:tcW w:w="16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r>
        <w:trPr>
          <w:trHeight w:val="237"/>
        </w:trPr>
        <w:tc>
          <w:tcPr>
            <w:tcW w:w="7900" w:type="dxa"/>
            <w:vAlign w:val="bottom"/>
            <w:gridSpan w:val="5"/>
          </w:tcPr>
          <w:p>
            <w:pPr>
              <w:jc w:val="center"/>
              <w:ind w:left="345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3520" w:type="dxa"/>
            <w:vAlign w:val="bottom"/>
          </w:tcPr>
          <w:p>
            <w:pPr>
              <w:spacing w:after="0"/>
              <w:rPr>
                <w:sz w:val="20"/>
                <w:szCs w:val="20"/>
                <w:color w:val="auto"/>
              </w:rPr>
            </w:pPr>
          </w:p>
        </w:tc>
      </w:tr>
    </w:tbl>
    <w:p>
      <w:pPr>
        <w:spacing w:after="0" w:line="202" w:lineRule="exact"/>
        <w:rPr>
          <w:sz w:val="24"/>
          <w:szCs w:val="24"/>
          <w:color w:val="auto"/>
        </w:rPr>
      </w:pPr>
    </w:p>
    <w:p>
      <w:pPr>
        <w:ind w:right="420"/>
        <w:spacing w:after="0" w:line="23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40"/>
        <w:spacing w:after="0" w:line="23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2"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72" w:right="239" w:bottom="1440" w:gutter="0" w:footer="0" w:header="0"/>
        </w:sectPr>
      </w:pP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1840" w:space="720"/>
            <w:col w:w="4080" w:space="720"/>
            <w:col w:w="2900" w:space="720"/>
            <w:col w:w="440"/>
          </w:cols>
          <w:pgMar w:left="240" w:top="472"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5">
            <w:col w:w="1840" w:space="720"/>
            <w:col w:w="160" w:space="40"/>
            <w:col w:w="3880" w:space="720"/>
            <w:col w:w="2900" w:space="720"/>
            <w:col w:w="440"/>
          </w:cols>
          <w:pgMar w:left="240" w:top="472" w:right="239" w:bottom="1440" w:gutter="0" w:footer="0" w:header="0"/>
          <w:type w:val="continuous"/>
        </w:sectPr>
      </w:pPr>
    </w:p>
    <w:p>
      <w:pPr>
        <w:spacing w:after="0" w:line="20" w:lineRule="exact"/>
        <w:rPr>
          <w:sz w:val="24"/>
          <w:szCs w:val="24"/>
          <w:color w:val="auto"/>
        </w:rPr>
      </w:pPr>
    </w:p>
    <w:p>
      <w:pPr>
        <w:spacing w:after="0" w:line="196" w:lineRule="exact"/>
        <w:tabs>
          <w:tab w:leader="none" w:pos="83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8880" w:space="180"/>
            <w:col w:w="2360"/>
          </w:cols>
          <w:pgMar w:left="240" w:top="472" w:right="239" w:bottom="144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2013, 84,125,738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b w:val="1"/>
                <w:bCs w:val="1"/>
                <w:color w:val="auto"/>
              </w:rPr>
              <w:t>VRINGO, INC.</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b w:val="1"/>
                <w:bCs w:val="1"/>
                <w:color w:val="auto"/>
                <w:w w:val="89"/>
              </w:rPr>
              <w:t>Table of Contents</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0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360" w:type="dxa"/>
            <w:vAlign w:val="bottom"/>
            <w:shd w:val="clear" w:color="auto" w:fill="FFFF00"/>
          </w:tcPr>
          <w:p>
            <w:pPr>
              <w:jc w:val="right"/>
              <w:spacing w:after="0" w:line="202" w:lineRule="exact"/>
              <w:rPr>
                <w:sz w:val="20"/>
                <w:szCs w:val="20"/>
                <w:color w:val="auto"/>
              </w:rPr>
            </w:pPr>
            <w:r>
              <w:rPr>
                <w:rFonts w:ascii="Arial" w:cs="Arial" w:eastAsia="Arial" w:hAnsi="Arial"/>
                <w:sz w:val="18"/>
                <w:szCs w:val="18"/>
                <w:b w:val="1"/>
                <w:bCs w:val="1"/>
                <w:color w:val="auto"/>
                <w:highlight w:val="white"/>
                <w:w w:val="78"/>
              </w:rPr>
              <w:t>Page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restart"/>
          </w:tcPr>
          <w:p>
            <w:pPr>
              <w:spacing w:after="0"/>
              <w:rPr>
                <w:sz w:val="17"/>
                <w:szCs w:val="17"/>
                <w:color w:val="auto"/>
              </w:rPr>
            </w:pPr>
          </w:p>
        </w:tc>
        <w:tc>
          <w:tcPr>
            <w:tcW w:w="1160" w:type="dxa"/>
            <w:vAlign w:val="bottom"/>
          </w:tcPr>
          <w:p>
            <w:pPr>
              <w:spacing w:after="0"/>
              <w:rPr>
                <w:sz w:val="17"/>
                <w:szCs w:val="17"/>
                <w:color w:val="auto"/>
              </w:rPr>
            </w:pPr>
          </w:p>
        </w:tc>
        <w:tc>
          <w:tcPr>
            <w:tcW w:w="9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PART I. FINANCIAL INFORMATION</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Financial Statements</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5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Quantitative and Qualitative Disclosures About Market Risk</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520"/>
              <w:spacing w:after="0"/>
              <w:rPr>
                <w:sz w:val="20"/>
                <w:szCs w:val="20"/>
                <w:color w:val="auto"/>
              </w:rPr>
            </w:pPr>
            <w:r>
              <w:rPr>
                <w:rFonts w:ascii="Arial" w:cs="Arial" w:eastAsia="Arial" w:hAnsi="Arial"/>
                <w:sz w:val="18"/>
                <w:szCs w:val="18"/>
                <w:color w:val="auto"/>
              </w:rPr>
              <w:t>Controls and Procedures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740" w:type="dxa"/>
            <w:vAlign w:val="bottom"/>
            <w:gridSpan w:val="2"/>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740" w:type="dxa"/>
            <w:vAlign w:val="bottom"/>
            <w:gridSpan w:val="2"/>
          </w:tcPr>
          <w:p>
            <w:pPr>
              <w:spacing w:after="0"/>
              <w:rPr>
                <w:sz w:val="20"/>
                <w:szCs w:val="20"/>
                <w:color w:val="auto"/>
              </w:rPr>
            </w:pPr>
            <w:r>
              <w:rPr>
                <w:rFonts w:ascii="Arial" w:cs="Arial" w:eastAsia="Arial" w:hAnsi="Arial"/>
                <w:sz w:val="18"/>
                <w:szCs w:val="18"/>
                <w:color w:val="auto"/>
              </w:rPr>
              <w:t>PART II. OTHER INFORMATION</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95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9580" w:type="dxa"/>
            <w:vAlign w:val="bottom"/>
          </w:tcPr>
          <w:p>
            <w:pPr>
              <w:ind w:left="520"/>
              <w:spacing w:after="0"/>
              <w:rPr>
                <w:sz w:val="20"/>
                <w:szCs w:val="20"/>
                <w:color w:val="auto"/>
              </w:rPr>
            </w:pPr>
            <w:r>
              <w:rPr>
                <w:rFonts w:ascii="Arial" w:cs="Arial" w:eastAsia="Arial" w:hAnsi="Arial"/>
                <w:sz w:val="18"/>
                <w:szCs w:val="18"/>
                <w:color w:val="auto"/>
              </w:rPr>
              <w:t>Legal Proceedings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1A.</w:t>
            </w:r>
          </w:p>
        </w:tc>
        <w:tc>
          <w:tcPr>
            <w:tcW w:w="9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Risk Factors</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2.</w:t>
            </w:r>
          </w:p>
        </w:tc>
        <w:tc>
          <w:tcPr>
            <w:tcW w:w="9580" w:type="dxa"/>
            <w:vAlign w:val="bottom"/>
          </w:tcPr>
          <w:p>
            <w:pPr>
              <w:ind w:left="520"/>
              <w:spacing w:after="0"/>
              <w:rPr>
                <w:sz w:val="20"/>
                <w:szCs w:val="20"/>
                <w:color w:val="auto"/>
              </w:rPr>
            </w:pPr>
            <w:r>
              <w:rPr>
                <w:rFonts w:ascii="Arial" w:cs="Arial" w:eastAsia="Arial" w:hAnsi="Arial"/>
                <w:sz w:val="18"/>
                <w:szCs w:val="18"/>
                <w:color w:val="auto"/>
              </w:rPr>
              <w:t>Unregistered Sales of Equity Securities and Use of Proceeds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Defaults Upon Senior Securities</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4.</w:t>
            </w:r>
          </w:p>
        </w:tc>
        <w:tc>
          <w:tcPr>
            <w:tcW w:w="9580" w:type="dxa"/>
            <w:vAlign w:val="bottom"/>
          </w:tcPr>
          <w:p>
            <w:pPr>
              <w:ind w:left="520"/>
              <w:spacing w:after="0"/>
              <w:rPr>
                <w:sz w:val="20"/>
                <w:szCs w:val="20"/>
                <w:color w:val="auto"/>
              </w:rPr>
            </w:pPr>
            <w:r>
              <w:rPr>
                <w:rFonts w:ascii="Arial" w:cs="Arial" w:eastAsia="Arial" w:hAnsi="Arial"/>
                <w:sz w:val="18"/>
                <w:szCs w:val="18"/>
                <w:color w:val="auto"/>
              </w:rPr>
              <w:t>Mine Safety Disclosures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580" w:type="dxa"/>
            <w:vAlign w:val="bottom"/>
            <w:shd w:val="clear" w:color="auto" w:fill="CCFFCC"/>
          </w:tcPr>
          <w:p>
            <w:pPr>
              <w:ind w:left="520"/>
              <w:spacing w:after="0"/>
              <w:rPr>
                <w:sz w:val="20"/>
                <w:szCs w:val="20"/>
                <w:color w:val="auto"/>
              </w:rPr>
            </w:pPr>
            <w:r>
              <w:rPr>
                <w:rFonts w:ascii="Arial" w:cs="Arial" w:eastAsia="Arial" w:hAnsi="Arial"/>
                <w:sz w:val="18"/>
                <w:szCs w:val="18"/>
                <w:color w:val="auto"/>
              </w:rPr>
              <w:t>Other Information</w:t>
            </w:r>
          </w:p>
        </w:tc>
        <w:tc>
          <w:tcPr>
            <w:tcW w:w="6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9580" w:type="dxa"/>
            <w:vAlign w:val="bottom"/>
          </w:tcPr>
          <w:p>
            <w:pPr>
              <w:ind w:left="520"/>
              <w:spacing w:after="0"/>
              <w:rPr>
                <w:sz w:val="20"/>
                <w:szCs w:val="20"/>
                <w:color w:val="auto"/>
              </w:rPr>
            </w:pPr>
            <w:r>
              <w:rPr>
                <w:rFonts w:ascii="Arial" w:cs="Arial" w:eastAsia="Arial" w:hAnsi="Arial"/>
                <w:sz w:val="18"/>
                <w:szCs w:val="18"/>
                <w:color w:val="auto"/>
              </w:rPr>
              <w:t>Exhibits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1"/>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580" w:type="dxa"/>
            <w:vAlign w:val="bottom"/>
          </w:tcPr>
          <w:p>
            <w:pPr>
              <w:jc w:val="center"/>
              <w:ind w:right="410"/>
              <w:spacing w:after="0"/>
              <w:rPr>
                <w:sz w:val="20"/>
                <w:szCs w:val="20"/>
                <w:color w:val="auto"/>
              </w:rPr>
            </w:pPr>
            <w:r>
              <w:rPr>
                <w:rFonts w:ascii="Arial" w:cs="Arial" w:eastAsia="Arial" w:hAnsi="Arial"/>
                <w:sz w:val="18"/>
                <w:szCs w:val="18"/>
                <w:color w:val="auto"/>
                <w:w w:val="79"/>
              </w:rPr>
              <w:t>2</w:t>
            </w: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80" w:type="dxa"/>
            <w:vAlign w:val="bottom"/>
          </w:tcPr>
          <w:p>
            <w:pPr>
              <w:jc w:val="center"/>
              <w:ind w:left="2570"/>
              <w:spacing w:after="0"/>
              <w:rPr>
                <w:sz w:val="20"/>
                <w:szCs w:val="20"/>
                <w:color w:val="auto"/>
              </w:rPr>
            </w:pPr>
            <w:r>
              <w:rPr>
                <w:rFonts w:ascii="Arial" w:cs="Arial" w:eastAsia="Arial" w:hAnsi="Arial"/>
                <w:sz w:val="18"/>
                <w:szCs w:val="18"/>
                <w:b w:val="1"/>
                <w:bCs w:val="1"/>
                <w:color w:val="auto"/>
              </w:rPr>
              <w:t>Part I — FINANCIAL INFORMATION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80" w:type="dxa"/>
            <w:vAlign w:val="bottom"/>
          </w:tcPr>
          <w:p>
            <w:pPr>
              <w:ind w:left="4620"/>
              <w:spacing w:after="0"/>
              <w:rPr>
                <w:sz w:val="20"/>
                <w:szCs w:val="20"/>
                <w:color w:val="auto"/>
              </w:rPr>
            </w:pPr>
            <w:r>
              <w:rPr>
                <w:rFonts w:ascii="Arial" w:cs="Arial" w:eastAsia="Arial" w:hAnsi="Arial"/>
                <w:sz w:val="18"/>
                <w:szCs w:val="18"/>
                <w:b w:val="1"/>
                <w:bCs w:val="1"/>
                <w:color w:val="auto"/>
              </w:rPr>
              <w:t>Vringo, Inc. and Subsidiaries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89"/>
              </w:rPr>
              <w:t>(a Development Stage Company)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jc w:val="center"/>
              <w:ind w:left="261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Pr>
          <w:p>
            <w:pPr>
              <w:jc w:val="center"/>
              <w:ind w:left="263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3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2"/>
              </w:rPr>
              <w:t>September 30,</w:t>
            </w:r>
          </w:p>
        </w:tc>
        <w:tc>
          <w:tcPr>
            <w:tcW w:w="40" w:type="dxa"/>
            <w:vAlign w:val="bottom"/>
          </w:tcPr>
          <w:p>
            <w:pPr>
              <w:spacing w:after="0"/>
              <w:rPr>
                <w:sz w:val="24"/>
                <w:szCs w:val="24"/>
                <w:color w:val="auto"/>
              </w:rPr>
            </w:pPr>
          </w:p>
        </w:tc>
        <w:tc>
          <w:tcPr>
            <w:tcW w:w="136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8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CCFFCC"/>
            </w:tcBorders>
          </w:tcPr>
          <w:p>
            <w:pPr>
              <w:spacing w:after="0"/>
              <w:rPr>
                <w:sz w:val="20"/>
                <w:szCs w:val="20"/>
                <w:color w:val="auto"/>
              </w:rPr>
            </w:pPr>
          </w:p>
        </w:tc>
        <w:tc>
          <w:tcPr>
            <w:tcW w:w="40" w:type="dxa"/>
            <w:vAlign w:val="bottom"/>
            <w:tcBorders>
              <w:bottom w:val="single" w:sz="8" w:color="CCFFC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40,436</w:t>
            </w:r>
          </w:p>
        </w:tc>
        <w:tc>
          <w:tcPr>
            <w:tcW w:w="60" w:type="dxa"/>
            <w:vAlign w:val="bottom"/>
          </w:tcPr>
          <w:p>
            <w:pPr>
              <w:spacing w:after="0"/>
              <w:rPr>
                <w:sz w:val="18"/>
                <w:szCs w:val="18"/>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673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656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41,863</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57,429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Long-term deposit</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Property and equipment, at cost, net of $119 and $47 accumulated depreciation and</w:t>
            </w:r>
          </w:p>
        </w:tc>
        <w:tc>
          <w:tcPr>
            <w:tcW w:w="26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amortization, as of September 30, 2013 and December 31, 2012, respectively</w:t>
            </w:r>
          </w:p>
        </w:tc>
        <w:tc>
          <w:tcPr>
            <w:tcW w:w="26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30,360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34,044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65,965</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138,483</w:t>
            </w:r>
          </w:p>
        </w:tc>
        <w:tc>
          <w:tcPr>
            <w:tcW w:w="60" w:type="dxa"/>
            <w:vAlign w:val="bottom"/>
          </w:tcPr>
          <w:p>
            <w:pPr>
              <w:spacing w:after="0"/>
              <w:rPr>
                <w:sz w:val="22"/>
                <w:szCs w:val="22"/>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157,786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Borders>
              <w:top w:val="single" w:sz="8" w:color="CCFFCC"/>
            </w:tcBorders>
            <w:shd w:val="clear" w:color="auto" w:fill="CCFFCC"/>
          </w:tcPr>
          <w:p>
            <w:pPr>
              <w:spacing w:after="0"/>
              <w:rPr>
                <w:sz w:val="17"/>
                <w:szCs w:val="17"/>
                <w:color w:val="auto"/>
              </w:rPr>
            </w:pPr>
          </w:p>
        </w:tc>
        <w:tc>
          <w:tcPr>
            <w:tcW w:w="260" w:type="dxa"/>
            <w:vAlign w:val="bottom"/>
            <w:tcBorders>
              <w:top w:val="single" w:sz="8" w:color="auto"/>
            </w:tcBorders>
            <w:shd w:val="clear" w:color="auto" w:fill="CCFFCC"/>
          </w:tcPr>
          <w:p>
            <w:pPr>
              <w:spacing w:after="0"/>
              <w:rPr>
                <w:sz w:val="17"/>
                <w:szCs w:val="17"/>
                <w:color w:val="auto"/>
              </w:rPr>
            </w:pPr>
          </w:p>
        </w:tc>
        <w:tc>
          <w:tcPr>
            <w:tcW w:w="1000" w:type="dxa"/>
            <w:vAlign w:val="bottom"/>
            <w:tcBorders>
              <w:top w:val="single" w:sz="8" w:color="auto"/>
            </w:tcBorders>
            <w:shd w:val="clear" w:color="auto" w:fill="CCFFCC"/>
          </w:tcPr>
          <w:p>
            <w:pPr>
              <w:spacing w:after="0"/>
              <w:rPr>
                <w:sz w:val="17"/>
                <w:szCs w:val="17"/>
                <w:color w:val="auto"/>
              </w:rPr>
            </w:pPr>
          </w:p>
        </w:tc>
        <w:tc>
          <w:tcPr>
            <w:tcW w:w="60" w:type="dxa"/>
            <w:vAlign w:val="bottom"/>
            <w:tcBorders>
              <w:top w:val="single" w:sz="8" w:color="CCFFCC"/>
            </w:tcBorders>
            <w:shd w:val="clear" w:color="auto" w:fill="CCFFCC"/>
          </w:tcPr>
          <w:p>
            <w:pPr>
              <w:spacing w:after="0"/>
              <w:rPr>
                <w:sz w:val="17"/>
                <w:szCs w:val="17"/>
                <w:color w:val="auto"/>
              </w:rPr>
            </w:pPr>
          </w:p>
        </w:tc>
        <w:tc>
          <w:tcPr>
            <w:tcW w:w="40" w:type="dxa"/>
            <w:vAlign w:val="bottom"/>
            <w:tcBorders>
              <w:top w:val="single" w:sz="8" w:color="CCFFCC"/>
            </w:tcBorders>
            <w:shd w:val="clear" w:color="auto" w:fill="CCFFCC"/>
          </w:tcPr>
          <w:p>
            <w:pPr>
              <w:spacing w:after="0"/>
              <w:rPr>
                <w:sz w:val="17"/>
                <w:szCs w:val="17"/>
                <w:color w:val="auto"/>
              </w:rPr>
            </w:pPr>
          </w:p>
        </w:tc>
        <w:tc>
          <w:tcPr>
            <w:tcW w:w="280" w:type="dxa"/>
            <w:vAlign w:val="bottom"/>
            <w:tcBorders>
              <w:top w:val="single" w:sz="8" w:color="auto"/>
            </w:tcBorders>
            <w:shd w:val="clear" w:color="auto" w:fill="CCFFCC"/>
          </w:tcPr>
          <w:p>
            <w:pPr>
              <w:spacing w:after="0"/>
              <w:rPr>
                <w:sz w:val="17"/>
                <w:szCs w:val="17"/>
                <w:color w:val="auto"/>
              </w:rPr>
            </w:pPr>
          </w:p>
        </w:tc>
        <w:tc>
          <w:tcPr>
            <w:tcW w:w="980" w:type="dxa"/>
            <w:vAlign w:val="bottom"/>
            <w:tcBorders>
              <w:top w:val="single" w:sz="8" w:color="auto"/>
            </w:tcBorders>
            <w:shd w:val="clear" w:color="auto" w:fill="CCFFCC"/>
          </w:tcPr>
          <w:p>
            <w:pPr>
              <w:spacing w:after="0"/>
              <w:rPr>
                <w:sz w:val="17"/>
                <w:szCs w:val="17"/>
                <w:color w:val="auto"/>
              </w:rPr>
            </w:pPr>
          </w:p>
        </w:tc>
        <w:tc>
          <w:tcPr>
            <w:tcW w:w="10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shd w:val="clear" w:color="auto" w:fill="CCFFCC"/>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4,011</w:t>
            </w:r>
          </w:p>
        </w:tc>
        <w:tc>
          <w:tcPr>
            <w:tcW w:w="6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Accrued employee compensation</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4,267</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Long-term liabilities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Derivative liabilities on account of warrants</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4,126</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7,612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 and contingencies</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Series A Convertible Preferred stock, $0.01 par value per share; 5,000,000 authorized; none</w:t>
            </w:r>
          </w:p>
        </w:tc>
        <w:tc>
          <w:tcPr>
            <w:tcW w:w="260" w:type="dxa"/>
            <w:vAlign w:val="bottom"/>
          </w:tcPr>
          <w:p>
            <w:pPr>
              <w:spacing w:after="0"/>
              <w:rPr>
                <w:sz w:val="17"/>
                <w:szCs w:val="17"/>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Common stock, $0.01 par value per share 150,000,000 authorized; 84,120,724 and</w:t>
            </w:r>
          </w:p>
        </w:tc>
        <w:tc>
          <w:tcPr>
            <w:tcW w:w="260" w:type="dxa"/>
            <w:vAlign w:val="bottom"/>
            <w:shd w:val="clear" w:color="auto" w:fill="CCFFCC"/>
          </w:tcPr>
          <w:p>
            <w:pPr>
              <w:spacing w:after="0"/>
              <w:rPr>
                <w:sz w:val="17"/>
                <w:szCs w:val="17"/>
                <w:color w:val="auto"/>
              </w:rPr>
            </w:pPr>
          </w:p>
        </w:tc>
        <w:tc>
          <w:tcPr>
            <w:tcW w:w="1000" w:type="dxa"/>
            <w:vAlign w:val="bottom"/>
            <w:vMerge w:val="restart"/>
            <w:shd w:val="clear" w:color="auto" w:fill="CCFFCC"/>
          </w:tcPr>
          <w:p>
            <w:pPr>
              <w:jc w:val="right"/>
              <w:spacing w:after="0"/>
              <w:rPr>
                <w:sz w:val="20"/>
                <w:szCs w:val="20"/>
                <w:color w:val="auto"/>
              </w:rPr>
            </w:pPr>
            <w:r>
              <w:rPr>
                <w:rFonts w:ascii="Arial" w:cs="Arial" w:eastAsia="Arial" w:hAnsi="Arial"/>
                <w:sz w:val="18"/>
                <w:szCs w:val="18"/>
                <w:b w:val="1"/>
                <w:bCs w:val="1"/>
                <w:color w:val="auto"/>
              </w:rPr>
              <w:t>841</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81,889,226 issued and outstanding as of September 30, 2013 and December 31, 2012, respectively</w:t>
            </w:r>
          </w:p>
        </w:tc>
        <w:tc>
          <w:tcPr>
            <w:tcW w:w="260" w:type="dxa"/>
            <w:vAlign w:val="bottom"/>
            <w:shd w:val="clear" w:color="auto" w:fill="CCFFCC"/>
          </w:tcPr>
          <w:p>
            <w:pPr>
              <w:spacing w:after="0"/>
              <w:rPr>
                <w:sz w:val="20"/>
                <w:szCs w:val="20"/>
                <w:color w:val="auto"/>
              </w:rPr>
            </w:pPr>
          </w:p>
        </w:tc>
        <w:tc>
          <w:tcPr>
            <w:tcW w:w="1000" w:type="dxa"/>
            <w:vAlign w:val="bottom"/>
            <w:vMerge w:val="continue"/>
            <w:shd w:val="clear" w:color="auto" w:fill="CCFFCC"/>
          </w:tcPr>
          <w:p>
            <w:pPr>
              <w:spacing w:after="0"/>
              <w:rPr>
                <w:sz w:val="20"/>
                <w:szCs w:val="20"/>
                <w:color w:val="auto"/>
              </w:rPr>
            </w:pPr>
          </w:p>
        </w:tc>
        <w:tc>
          <w:tcPr>
            <w:tcW w:w="60" w:type="dxa"/>
            <w:vAlign w:val="bottom"/>
            <w:shd w:val="clear" w:color="auto" w:fill="CCFFCC"/>
          </w:tcPr>
          <w:p>
            <w:pPr>
              <w:spacing w:after="0"/>
              <w:rPr>
                <w:sz w:val="20"/>
                <w:szCs w:val="20"/>
                <w:color w:val="auto"/>
              </w:rPr>
            </w:pPr>
          </w:p>
        </w:tc>
        <w:tc>
          <w:tcPr>
            <w:tcW w:w="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186,308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171,108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color w:val="auto"/>
              </w:rPr>
              <w:t>Deficit accumulated during the development stage</w:t>
            </w:r>
          </w:p>
        </w:tc>
        <w:tc>
          <w:tcPr>
            <w:tcW w:w="2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b w:val="1"/>
                <w:bCs w:val="1"/>
                <w:color w:val="auto"/>
              </w:rPr>
              <w:t>(57,059)</w:t>
            </w:r>
          </w:p>
        </w:tc>
        <w:tc>
          <w:tcPr>
            <w:tcW w:w="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auto"/>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130,090</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148,332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FFCC"/>
          </w:tcPr>
          <w:p>
            <w:pPr>
              <w:jc w:val="right"/>
              <w:ind w:right="102"/>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138,483</w:t>
            </w:r>
          </w:p>
        </w:tc>
        <w:tc>
          <w:tcPr>
            <w:tcW w:w="6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ind w:left="4640"/>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20" w:type="dxa"/>
            <w:vAlign w:val="bottom"/>
            <w:gridSpan w:val="5"/>
            <w:vMerge w:val="restart"/>
          </w:tcPr>
          <w:p>
            <w:pPr>
              <w:jc w:val="right"/>
              <w:ind w:right="460"/>
              <w:spacing w:after="0"/>
              <w:rPr>
                <w:sz w:val="20"/>
                <w:szCs w:val="20"/>
                <w:color w:val="auto"/>
              </w:rPr>
            </w:pPr>
            <w:r>
              <w:rPr>
                <w:rFonts w:ascii="Arial" w:cs="Arial" w:eastAsia="Arial" w:hAnsi="Arial"/>
                <w:sz w:val="16"/>
                <w:szCs w:val="16"/>
                <w:b w:val="1"/>
                <w:bCs w:val="1"/>
                <w:color w:val="auto"/>
              </w:rPr>
              <w:t>Nine months 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Cumulative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gridSpan w:val="6"/>
            <w:vMerge w:val="restart"/>
          </w:tcPr>
          <w:p>
            <w:pPr>
              <w:jc w:val="right"/>
              <w:ind w:right="4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26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from Inception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5"/>
            <w:vMerge w:val="restart"/>
          </w:tcPr>
          <w:p>
            <w:pPr>
              <w:jc w:val="right"/>
              <w:ind w:right="620"/>
              <w:spacing w:after="0"/>
              <w:rPr>
                <w:sz w:val="20"/>
                <w:szCs w:val="20"/>
                <w:color w:val="auto"/>
              </w:rPr>
            </w:pPr>
            <w:r>
              <w:rPr>
                <w:rFonts w:ascii="Arial" w:cs="Arial" w:eastAsia="Arial" w:hAnsi="Arial"/>
                <w:sz w:val="16"/>
                <w:szCs w:val="16"/>
                <w:b w:val="1"/>
                <w:bCs w:val="1"/>
                <w:color w:val="auto"/>
              </w:rPr>
              <w:t>September 30,</w:t>
            </w: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80" w:type="dxa"/>
            <w:vAlign w:val="bottom"/>
            <w:gridSpan w:val="6"/>
            <w:vMerge w:val="restart"/>
          </w:tcPr>
          <w:p>
            <w:pPr>
              <w:jc w:val="right"/>
              <w:ind w:right="68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8"/>
                <w:szCs w:val="8"/>
                <w:color w:val="auto"/>
              </w:rPr>
            </w:pPr>
          </w:p>
        </w:tc>
        <w:tc>
          <w:tcPr>
            <w:tcW w:w="2020" w:type="dxa"/>
            <w:vAlign w:val="bottom"/>
            <w:gridSpan w:val="5"/>
            <w:vMerge w:val="continue"/>
          </w:tcPr>
          <w:p>
            <w:pPr>
              <w:spacing w:after="0"/>
              <w:rPr>
                <w:sz w:val="8"/>
                <w:szCs w:val="8"/>
                <w:color w:val="auto"/>
              </w:rPr>
            </w:pPr>
          </w:p>
        </w:tc>
        <w:tc>
          <w:tcPr>
            <w:tcW w:w="1320" w:type="dxa"/>
            <w:vAlign w:val="bottom"/>
            <w:gridSpan w:val="4"/>
            <w:vMerge w:val="restart"/>
          </w:tcPr>
          <w:p>
            <w:pPr>
              <w:jc w:val="center"/>
              <w:ind w:right="40"/>
              <w:spacing w:after="0"/>
              <w:rPr>
                <w:sz w:val="20"/>
                <w:szCs w:val="20"/>
                <w:color w:val="auto"/>
              </w:rPr>
            </w:pPr>
            <w:r>
              <w:rPr>
                <w:rFonts w:ascii="Arial" w:cs="Arial" w:eastAsia="Arial" w:hAnsi="Arial"/>
                <w:sz w:val="16"/>
                <w:szCs w:val="16"/>
                <w:b w:val="1"/>
                <w:bCs w:val="1"/>
                <w:color w:val="auto"/>
                <w:w w:val="89"/>
              </w:rPr>
              <w:t>to September 30,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8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640" w:type="dxa"/>
            <w:vAlign w:val="bottom"/>
            <w:tcBorders>
              <w:bottom w:val="single" w:sz="8" w:color="CCFFC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60" w:type="dxa"/>
            <w:vAlign w:val="bottom"/>
            <w:tcBorders>
              <w:top w:val="single" w:sz="8" w:color="auto"/>
              <w:bottom w:val="single" w:sz="8" w:color="CCFFCC"/>
            </w:tcBorders>
          </w:tcPr>
          <w:p>
            <w:pPr>
              <w:spacing w:after="0"/>
              <w:rPr>
                <w:sz w:val="17"/>
                <w:szCs w:val="17"/>
                <w:color w:val="auto"/>
              </w:rPr>
            </w:pPr>
          </w:p>
        </w:tc>
        <w:tc>
          <w:tcPr>
            <w:tcW w:w="40" w:type="dxa"/>
            <w:vAlign w:val="bottom"/>
            <w:tcBorders>
              <w:top w:val="single" w:sz="8" w:color="auto"/>
              <w:bottom w:val="single" w:sz="8" w:color="CCFFC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top w:val="single" w:sz="8" w:color="auto"/>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2012</w:t>
            </w:r>
          </w:p>
        </w:tc>
        <w:tc>
          <w:tcPr>
            <w:tcW w:w="6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Revenue</w:t>
            </w:r>
          </w:p>
        </w:tc>
        <w:tc>
          <w:tcPr>
            <w:tcW w:w="16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50</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266</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1,276</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266</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1,645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Cost of revenue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6,725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19,557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5,976</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33,630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700</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997</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2,110</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997</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3,850</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Marketing, general and administrative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3,801</w:t>
            </w:r>
          </w:p>
        </w:tc>
        <w:tc>
          <w:tcPr>
            <w:tcW w:w="60" w:type="dxa"/>
            <w:vAlign w:val="bottom"/>
            <w:tcBorders>
              <w:bottom w:val="single" w:sz="8" w:color="CCFFCC"/>
            </w:tcBorders>
          </w:tcPr>
          <w:p>
            <w:pPr>
              <w:spacing w:after="0"/>
              <w:rPr>
                <w:sz w:val="17"/>
                <w:szCs w:val="17"/>
                <w:color w:val="auto"/>
              </w:rPr>
            </w:pPr>
          </w:p>
        </w:tc>
        <w:tc>
          <w:tcPr>
            <w:tcW w:w="40" w:type="dxa"/>
            <w:vAlign w:val="bottom"/>
            <w:tcBorders>
              <w:bottom w:val="single" w:sz="8" w:color="CCFFC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6,364</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11,806</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7,508</w:t>
            </w:r>
          </w:p>
        </w:tc>
        <w:tc>
          <w:tcPr>
            <w:tcW w:w="6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23,876</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Total operating expenses</w:t>
            </w:r>
          </w:p>
        </w:tc>
        <w:tc>
          <w:tcPr>
            <w:tcW w:w="1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11,226</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10,776</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33,473</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14,481</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61,356</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6"/>
                <w:szCs w:val="16"/>
                <w:b w:val="1"/>
                <w:bCs w:val="1"/>
                <w:color w:val="auto"/>
              </w:rPr>
              <w:t>Operating loss</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(11,176)</w:t>
            </w:r>
          </w:p>
        </w:tc>
        <w:tc>
          <w:tcPr>
            <w:tcW w:w="60" w:type="dxa"/>
            <w:vAlign w:val="bottom"/>
            <w:tcBorders>
              <w:bottom w:val="single" w:sz="8" w:color="CCFFCC"/>
            </w:tcBorders>
          </w:tcPr>
          <w:p>
            <w:pPr>
              <w:spacing w:after="0"/>
              <w:rPr>
                <w:sz w:val="17"/>
                <w:szCs w:val="17"/>
                <w:color w:val="auto"/>
              </w:rPr>
            </w:pPr>
          </w:p>
        </w:tc>
        <w:tc>
          <w:tcPr>
            <w:tcW w:w="40" w:type="dxa"/>
            <w:vAlign w:val="bottom"/>
            <w:tcBorders>
              <w:bottom w:val="single" w:sz="8" w:color="CCFFC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(10,510)</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(32,197)</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(14,215)</w:t>
            </w:r>
          </w:p>
        </w:tc>
        <w:tc>
          <w:tcPr>
            <w:tcW w:w="6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(59,711)</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Non-operating income</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Non-operating expense</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(30)</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(76)</w:t>
            </w:r>
          </w:p>
        </w:tc>
        <w:tc>
          <w:tcPr>
            <w:tcW w:w="1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(19)</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Gain (loss) on revaluation of derivative warrants</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645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(1,220)</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Issuance of warrants</w:t>
            </w:r>
          </w:p>
        </w:tc>
        <w:tc>
          <w:tcPr>
            <w:tcW w:w="160" w:type="dxa"/>
            <w:vAlign w:val="bottom"/>
            <w:shd w:val="clear" w:color="auto" w:fill="CCFFCC"/>
          </w:tcPr>
          <w:p>
            <w:pPr>
              <w:spacing w:after="0"/>
              <w:rPr>
                <w:sz w:val="17"/>
                <w:szCs w:val="17"/>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w:t>
            </w: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7"/>
                <w:szCs w:val="17"/>
                <w:color w:val="auto"/>
              </w:rPr>
            </w:pPr>
          </w:p>
        </w:tc>
        <w:tc>
          <w:tcPr>
            <w:tcW w:w="9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FFCC"/>
          </w:tcPr>
          <w:p>
            <w:pPr>
              <w:spacing w:after="0"/>
              <w:rPr>
                <w:sz w:val="17"/>
                <w:szCs w:val="17"/>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(2,883)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6"/>
                <w:szCs w:val="16"/>
                <w:b w:val="1"/>
                <w:bCs w:val="1"/>
                <w:color w:val="auto"/>
              </w:rPr>
              <w:t>Loss before taxes on income</w:t>
            </w: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(10,531)</w:t>
            </w:r>
          </w:p>
        </w:tc>
        <w:tc>
          <w:tcPr>
            <w:tcW w:w="60" w:type="dxa"/>
            <w:vAlign w:val="bottom"/>
            <w:tcBorders>
              <w:bottom w:val="single" w:sz="8" w:color="CCFFCC"/>
            </w:tcBorders>
          </w:tcPr>
          <w:p>
            <w:pPr>
              <w:spacing w:after="0"/>
              <w:rPr>
                <w:sz w:val="17"/>
                <w:szCs w:val="17"/>
                <w:color w:val="auto"/>
              </w:rPr>
            </w:pPr>
          </w:p>
        </w:tc>
        <w:tc>
          <w:tcPr>
            <w:tcW w:w="40" w:type="dxa"/>
            <w:vAlign w:val="bottom"/>
            <w:tcBorders>
              <w:bottom w:val="single" w:sz="8" w:color="CCFFCC"/>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(3,200)</w:t>
            </w:r>
          </w:p>
        </w:tc>
        <w:tc>
          <w:tcPr>
            <w:tcW w:w="10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(33,417)</w:t>
            </w:r>
          </w:p>
        </w:tc>
        <w:tc>
          <w:tcPr>
            <w:tcW w:w="10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(6,912)</w:t>
            </w:r>
          </w:p>
        </w:tc>
        <w:tc>
          <w:tcPr>
            <w:tcW w:w="6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(56,957)</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Income tax benefit (expense)</w:t>
            </w:r>
          </w:p>
        </w:tc>
        <w:tc>
          <w:tcPr>
            <w:tcW w:w="1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(29)</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spacing w:after="0"/>
              <w:rPr>
                <w:sz w:val="17"/>
                <w:szCs w:val="17"/>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76</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spacing w:after="0"/>
              <w:rPr>
                <w:sz w:val="17"/>
                <w:szCs w:val="17"/>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76</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Net loss</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(10,560)</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(3,124)</w:t>
            </w:r>
          </w:p>
        </w:tc>
        <w:tc>
          <w:tcPr>
            <w:tcW w:w="180" w:type="dxa"/>
            <w:vAlign w:val="bottom"/>
            <w:shd w:val="clear" w:color="auto" w:fill="CCFFC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(33,464)</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(6,836)</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(57,059)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Basic net loss per common share</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(0.13)</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(0.06)</w:t>
            </w:r>
          </w:p>
        </w:tc>
        <w:tc>
          <w:tcPr>
            <w:tcW w:w="180" w:type="dxa"/>
            <w:vAlign w:val="bottom"/>
            <w:shd w:val="clear" w:color="auto" w:fill="CCFFC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(0.40)</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(0.27)</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Diluted net loss per common share</w:t>
            </w:r>
          </w:p>
        </w:tc>
        <w:tc>
          <w:tcPr>
            <w:tcW w:w="160" w:type="dxa"/>
            <w:vAlign w:val="bottom"/>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b w:val="1"/>
                <w:bCs w:val="1"/>
                <w:color w:val="auto"/>
              </w:rPr>
              <w:t>(0.13)</w:t>
            </w:r>
          </w:p>
        </w:tc>
        <w:tc>
          <w:tcPr>
            <w:tcW w:w="200" w:type="dxa"/>
            <w:vAlign w:val="bottom"/>
            <w:gridSpan w:val="2"/>
            <w:shd w:val="clear" w:color="auto" w:fill="CCFFCC"/>
          </w:tcPr>
          <w:p>
            <w:pPr>
              <w:jc w:val="right"/>
              <w:ind w:right="4"/>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CCFFC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b w:val="1"/>
                <w:bCs w:val="1"/>
                <w:color w:val="auto"/>
              </w:rPr>
              <w:t>(0.40)</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(0.40)</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w w:val="94"/>
              </w:rPr>
              <w:t>Weighted average number of shares used in computing net loss per common share:</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300"/>
              <w:spacing w:after="0"/>
              <w:rPr>
                <w:sz w:val="20"/>
                <w:szCs w:val="20"/>
                <w:color w:val="auto"/>
              </w:rPr>
            </w:pPr>
            <w:r>
              <w:rPr>
                <w:rFonts w:ascii="Arial" w:cs="Arial" w:eastAsia="Arial" w:hAnsi="Arial"/>
                <w:sz w:val="16"/>
                <w:szCs w:val="16"/>
                <w:color w:val="auto"/>
              </w:rPr>
              <w:t>Basic:</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w w:val="99"/>
              </w:rPr>
              <w:t>83,538,767</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9"/>
              </w:rPr>
              <w:t>48,790,819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7"/>
              </w:rPr>
              <w:t>82,882,405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25,611,159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46,339,586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ind w:left="300"/>
              <w:spacing w:after="0"/>
              <w:rPr>
                <w:sz w:val="20"/>
                <w:szCs w:val="20"/>
                <w:color w:val="auto"/>
              </w:rPr>
            </w:pPr>
            <w:r>
              <w:rPr>
                <w:rFonts w:ascii="Arial" w:cs="Arial" w:eastAsia="Arial" w:hAnsi="Arial"/>
                <w:sz w:val="16"/>
                <w:szCs w:val="16"/>
                <w:color w:val="auto"/>
              </w:rPr>
              <w:t>Diluted:</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99"/>
              </w:rPr>
              <w:t>86,101,857</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9"/>
              </w:rPr>
              <w:t>58,227,100</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w w:val="97"/>
              </w:rPr>
              <w:t>82,972,082</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97"/>
              </w:rPr>
              <w:t>35,047,440</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47,800,063</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 Includes stock-based compensation expense, as follows:</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rPr>
                <w:sz w:val="20"/>
                <w:szCs w:val="20"/>
                <w:color w:val="auto"/>
              </w:rPr>
            </w:pPr>
            <w:r>
              <w:rPr>
                <w:rFonts w:ascii="Arial" w:cs="Arial" w:eastAsia="Arial" w:hAnsi="Arial"/>
                <w:sz w:val="16"/>
                <w:szCs w:val="16"/>
                <w:color w:val="auto"/>
              </w:rPr>
              <w:t>Cost of revenue</w:t>
            </w: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298</w:t>
            </w:r>
          </w:p>
        </w:tc>
        <w:tc>
          <w:tcPr>
            <w:tcW w:w="60" w:type="dxa"/>
            <w:vAlign w:val="bottom"/>
          </w:tcPr>
          <w:p>
            <w:pPr>
              <w:spacing w:after="0"/>
              <w:rPr>
                <w:sz w:val="17"/>
                <w:szCs w:val="17"/>
                <w:color w:val="auto"/>
              </w:rPr>
            </w:pPr>
          </w:p>
        </w:tc>
        <w:tc>
          <w:tcPr>
            <w:tcW w:w="20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894</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318</w:t>
            </w:r>
          </w:p>
        </w:tc>
        <w:tc>
          <w:tcPr>
            <w:tcW w:w="6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177</w:t>
            </w:r>
          </w:p>
        </w:tc>
        <w:tc>
          <w:tcPr>
            <w:tcW w:w="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452</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613</w:t>
            </w:r>
          </w:p>
        </w:tc>
        <w:tc>
          <w:tcPr>
            <w:tcW w:w="1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452</w:t>
            </w:r>
          </w:p>
        </w:tc>
        <w:tc>
          <w:tcPr>
            <w:tcW w:w="6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40" w:type="dxa"/>
            <w:vAlign w:val="bottom"/>
            <w:tcBorders>
              <w:bottom w:val="single" w:sz="8" w:color="CCFFCC"/>
            </w:tcBorders>
          </w:tcPr>
          <w:p>
            <w:pPr>
              <w:spacing w:after="0"/>
              <w:rPr>
                <w:sz w:val="20"/>
                <w:szCs w:val="20"/>
                <w:color w:val="auto"/>
              </w:rPr>
            </w:pPr>
            <w:r>
              <w:rPr>
                <w:rFonts w:ascii="Arial" w:cs="Arial" w:eastAsia="Arial" w:hAnsi="Arial"/>
                <w:sz w:val="16"/>
                <w:szCs w:val="16"/>
                <w:color w:val="auto"/>
              </w:rPr>
              <w:t>Marketing, general and administrative</w:t>
            </w: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2,383</w:t>
            </w:r>
          </w:p>
        </w:tc>
        <w:tc>
          <w:tcPr>
            <w:tcW w:w="60" w:type="dxa"/>
            <w:vAlign w:val="bottom"/>
            <w:tcBorders>
              <w:bottom w:val="single" w:sz="8" w:color="CCFFCC"/>
            </w:tcBorders>
          </w:tcPr>
          <w:p>
            <w:pPr>
              <w:spacing w:after="0"/>
              <w:rPr>
                <w:sz w:val="17"/>
                <w:szCs w:val="17"/>
                <w:color w:val="auto"/>
              </w:rPr>
            </w:pPr>
          </w:p>
        </w:tc>
        <w:tc>
          <w:tcPr>
            <w:tcW w:w="40" w:type="dxa"/>
            <w:vAlign w:val="bottom"/>
            <w:tcBorders>
              <w:bottom w:val="single" w:sz="8" w:color="CCFFC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4,592</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7,468</w:t>
            </w:r>
          </w:p>
        </w:tc>
        <w:tc>
          <w:tcPr>
            <w:tcW w:w="100" w:type="dxa"/>
            <w:vAlign w:val="bottom"/>
            <w:tcBorders>
              <w:bottom w:val="single" w:sz="8" w:color="CCFFC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c>
          <w:tcPr>
            <w:tcW w:w="60" w:type="dxa"/>
            <w:vAlign w:val="bottom"/>
            <w:tcBorders>
              <w:bottom w:val="single" w:sz="8" w:color="CCFFCC"/>
            </w:tcBorders>
          </w:tcPr>
          <w:p>
            <w:pPr>
              <w:spacing w:after="0"/>
              <w:rPr>
                <w:sz w:val="17"/>
                <w:szCs w:val="17"/>
                <w:color w:val="auto"/>
              </w:rPr>
            </w:pPr>
          </w:p>
        </w:tc>
        <w:tc>
          <w:tcPr>
            <w:tcW w:w="60" w:type="dxa"/>
            <w:vAlign w:val="bottom"/>
            <w:tcBorders>
              <w:bottom w:val="single" w:sz="8" w:color="CCFFC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14,814</w:t>
            </w:r>
          </w:p>
        </w:tc>
        <w:tc>
          <w:tcPr>
            <w:tcW w:w="100" w:type="dxa"/>
            <w:vAlign w:val="bottom"/>
            <w:tcBorders>
              <w:bottom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2,858</w:t>
            </w:r>
          </w:p>
        </w:tc>
        <w:tc>
          <w:tcPr>
            <w:tcW w:w="60" w:type="dxa"/>
            <w:vAlign w:val="bottom"/>
            <w:tcBorders>
              <w:bottom w:val="single" w:sz="8" w:color="CCFFCC"/>
            </w:tcBorders>
            <w:shd w:val="clear" w:color="auto" w:fill="CCFFCC"/>
          </w:tcPr>
          <w:p>
            <w:pPr>
              <w:spacing w:after="0"/>
              <w:rPr>
                <w:sz w:val="17"/>
                <w:szCs w:val="17"/>
                <w:color w:val="auto"/>
              </w:rPr>
            </w:pPr>
          </w:p>
        </w:tc>
        <w:tc>
          <w:tcPr>
            <w:tcW w:w="40" w:type="dxa"/>
            <w:vAlign w:val="bottom"/>
            <w:tcBorders>
              <w:bottom w:val="single" w:sz="8" w:color="CCFFCC"/>
            </w:tcBorders>
            <w:shd w:val="clear" w:color="auto" w:fill="CCFFCC"/>
          </w:tcPr>
          <w:p>
            <w:pPr>
              <w:spacing w:after="0"/>
              <w:rPr>
                <w:sz w:val="17"/>
                <w:szCs w:val="17"/>
                <w:color w:val="auto"/>
              </w:rPr>
            </w:pPr>
          </w:p>
        </w:tc>
        <w:tc>
          <w:tcPr>
            <w:tcW w:w="160" w:type="dxa"/>
            <w:vAlign w:val="bottom"/>
            <w:tcBorders>
              <w:bottom w:val="single" w:sz="8" w:color="auto"/>
            </w:tcBorders>
            <w:shd w:val="clear" w:color="auto" w:fill="CCFFCC"/>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5,362</w:t>
            </w:r>
          </w:p>
        </w:tc>
        <w:tc>
          <w:tcPr>
            <w:tcW w:w="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8,975</w:t>
            </w:r>
          </w:p>
        </w:tc>
        <w:tc>
          <w:tcPr>
            <w:tcW w:w="100" w:type="dxa"/>
            <w:vAlign w:val="bottom"/>
            <w:tcBorders>
              <w:bottom w:val="single" w:sz="8" w:color="CCFFCC"/>
            </w:tcBorders>
            <w:shd w:val="clear" w:color="auto" w:fill="CCFFCC"/>
          </w:tcPr>
          <w:p>
            <w:pPr>
              <w:spacing w:after="0"/>
              <w:rPr>
                <w:sz w:val="17"/>
                <w:szCs w:val="17"/>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5,532</w:t>
            </w:r>
          </w:p>
        </w:tc>
        <w:tc>
          <w:tcPr>
            <w:tcW w:w="60" w:type="dxa"/>
            <w:vAlign w:val="bottom"/>
            <w:tcBorders>
              <w:bottom w:val="single" w:sz="8" w:color="CCFFCC"/>
            </w:tcBorders>
            <w:shd w:val="clear" w:color="auto" w:fill="CCFFCC"/>
          </w:tcPr>
          <w:p>
            <w:pPr>
              <w:spacing w:after="0"/>
              <w:rPr>
                <w:sz w:val="17"/>
                <w:szCs w:val="17"/>
                <w:color w:val="auto"/>
              </w:rPr>
            </w:pPr>
          </w:p>
        </w:tc>
        <w:tc>
          <w:tcPr>
            <w:tcW w:w="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17,536</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gridSpan w:val="5"/>
          </w:tcPr>
          <w:p>
            <w:pPr>
              <w:ind w:left="5200"/>
              <w:spacing w:after="0"/>
              <w:rPr>
                <w:sz w:val="20"/>
                <w:szCs w:val="20"/>
                <w:color w:val="auto"/>
              </w:rPr>
            </w:pPr>
            <w:r>
              <w:rPr>
                <w:rFonts w:ascii="Arial" w:cs="Arial" w:eastAsia="Arial" w:hAnsi="Arial"/>
                <w:sz w:val="18"/>
                <w:szCs w:val="18"/>
                <w:b w:val="1"/>
                <w:bCs w:val="1"/>
                <w:color w:val="auto"/>
              </w:rPr>
              <w:t>(In thousands)</w:t>
            </w: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6"/>
        </w:trPr>
        <w:tc>
          <w:tcPr>
            <w:tcW w:w="5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Deficit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accumulated</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during the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Common</w:t>
            </w:r>
          </w:p>
        </w:tc>
        <w:tc>
          <w:tcPr>
            <w:tcW w:w="2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development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ind w:left="24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paid-in capital</w:t>
            </w:r>
          </w:p>
        </w:tc>
        <w:tc>
          <w:tcPr>
            <w:tcW w:w="140" w:type="dxa"/>
            <w:vAlign w:val="bottom"/>
          </w:tcPr>
          <w:p>
            <w:pPr>
              <w:spacing w:after="0"/>
              <w:rPr>
                <w:sz w:val="20"/>
                <w:szCs w:val="20"/>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stage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rPr>
              <w:t>Issuance of shares of common stock</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FFC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(2,754)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(2,754)</w:t>
            </w:r>
          </w:p>
        </w:tc>
      </w:tr>
      <w:tr>
        <w:trPr>
          <w:trHeight w:val="210"/>
        </w:trPr>
        <w:tc>
          <w:tcPr>
            <w:tcW w:w="5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2011</w:t>
            </w: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5,449</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(2,754)</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top w:val="single" w:sz="8" w:color="CCFFCC"/>
            </w:tcBorders>
            <w:shd w:val="clear" w:color="auto" w:fill="CCFFCC"/>
          </w:tcPr>
          <w:p>
            <w:pPr>
              <w:spacing w:after="0"/>
              <w:rPr>
                <w:sz w:val="18"/>
                <w:szCs w:val="18"/>
                <w:color w:val="auto"/>
              </w:rPr>
            </w:pPr>
          </w:p>
        </w:tc>
      </w:tr>
      <w:tr>
        <w:trPr>
          <w:trHeight w:val="182"/>
        </w:trPr>
        <w:tc>
          <w:tcPr>
            <w:tcW w:w="5640" w:type="dxa"/>
            <w:vAlign w:val="bottom"/>
          </w:tcPr>
          <w:p>
            <w:pPr>
              <w:spacing w:after="0" w:line="182" w:lineRule="exact"/>
              <w:rPr>
                <w:sz w:val="20"/>
                <w:szCs w:val="20"/>
                <w:color w:val="auto"/>
              </w:rPr>
            </w:pPr>
            <w:r>
              <w:rPr>
                <w:rFonts w:ascii="Arial" w:cs="Arial" w:eastAsia="Arial" w:hAnsi="Arial"/>
                <w:sz w:val="18"/>
                <w:szCs w:val="18"/>
                <w:color w:val="auto"/>
              </w:rPr>
              <w:t>Conversion of Series A Preferred Convertible Preferred stock,</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classified as mezzanine equity</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0"/>
                <w:szCs w:val="20"/>
                <w:color w:val="auto"/>
              </w:rPr>
            </w:pP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 including grant of shares to consultants</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8,084</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8,087</w:t>
            </w:r>
          </w:p>
        </w:tc>
        <w:tc>
          <w:tcPr>
            <w:tcW w:w="100" w:type="dxa"/>
            <w:vAlign w:val="bottom"/>
            <w:shd w:val="clear" w:color="auto" w:fill="CCFFCC"/>
          </w:tcPr>
          <w:p>
            <w:pPr>
              <w:spacing w:after="0"/>
              <w:rPr>
                <w:sz w:val="18"/>
                <w:szCs w:val="18"/>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Recording of equity instruments upon Merger, net of fair value</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of issued warrants $21,954 and issuance cost of $463</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54,961</w:t>
            </w:r>
          </w:p>
        </w:tc>
        <w:tc>
          <w:tcPr>
            <w:tcW w:w="100" w:type="dxa"/>
            <w:vAlign w:val="bottom"/>
          </w:tcPr>
          <w:p>
            <w:pPr>
              <w:spacing w:after="0"/>
              <w:rPr>
                <w:sz w:val="20"/>
                <w:szCs w:val="20"/>
                <w:color w:val="auto"/>
              </w:rPr>
            </w:pP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Issuance of warrants</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2,883</w:t>
            </w:r>
          </w:p>
        </w:tc>
        <w:tc>
          <w:tcPr>
            <w:tcW w:w="100" w:type="dxa"/>
            <w:vAlign w:val="bottom"/>
            <w:shd w:val="clear" w:color="auto" w:fill="CCFFCC"/>
          </w:tcPr>
          <w:p>
            <w:pPr>
              <w:spacing w:after="0"/>
              <w:rPr>
                <w:sz w:val="18"/>
                <w:szCs w:val="18"/>
                <w:color w:val="auto"/>
              </w:rPr>
            </w:pPr>
          </w:p>
        </w:tc>
      </w:tr>
      <w:tr>
        <w:trPr>
          <w:trHeight w:val="202"/>
        </w:trPr>
        <w:tc>
          <w:tcPr>
            <w:tcW w:w="5640" w:type="dxa"/>
            <w:vAlign w:val="bottom"/>
          </w:tcPr>
          <w:p>
            <w:pPr>
              <w:spacing w:after="0" w:line="201" w:lineRule="exact"/>
              <w:rPr>
                <w:sz w:val="20"/>
                <w:szCs w:val="20"/>
                <w:color w:val="auto"/>
              </w:rPr>
            </w:pPr>
            <w:r>
              <w:rPr>
                <w:rFonts w:ascii="Arial" w:cs="Arial" w:eastAsia="Arial" w:hAnsi="Arial"/>
                <w:sz w:val="18"/>
                <w:szCs w:val="18"/>
                <w:color w:val="auto"/>
              </w:rPr>
              <w:t>Conversion of Series A Preferred Convertible Preferred stock,</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classified as equity</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22,856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22,932</w:t>
            </w:r>
          </w:p>
        </w:tc>
        <w:tc>
          <w:tcPr>
            <w:tcW w:w="100" w:type="dxa"/>
            <w:vAlign w:val="bottom"/>
            <w:shd w:val="clear" w:color="auto" w:fill="CCFFC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8"/>
                <w:szCs w:val="18"/>
                <w:color w:val="auto"/>
              </w:rPr>
            </w:pPr>
          </w:p>
        </w:tc>
      </w:tr>
      <w:tr>
        <w:trPr>
          <w:trHeight w:val="202"/>
        </w:trPr>
        <w:tc>
          <w:tcPr>
            <w:tcW w:w="56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 round, net of</w:t>
            </w:r>
          </w:p>
        </w:tc>
        <w:tc>
          <w:tcPr>
            <w:tcW w:w="4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56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issuance cost of $52</w:t>
            </w:r>
          </w:p>
        </w:tc>
        <w:tc>
          <w:tcPr>
            <w:tcW w:w="4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31,052</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shd w:val="clear" w:color="auto" w:fill="CCFFCC"/>
          </w:tcPr>
          <w:p>
            <w:pPr>
              <w:spacing w:after="0"/>
              <w:rPr>
                <w:sz w:val="20"/>
                <w:szCs w:val="20"/>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Shares issued for acquisition of patents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18"/>
                <w:szCs w:val="18"/>
                <w:color w:val="auto"/>
              </w:rPr>
            </w:pPr>
          </w:p>
        </w:tc>
      </w:tr>
      <w:tr>
        <w:trPr>
          <w:trHeight w:val="202"/>
        </w:trPr>
        <w:tc>
          <w:tcPr>
            <w:tcW w:w="56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Issuance of shares in connection with a financing round, net of</w:t>
            </w:r>
          </w:p>
        </w:tc>
        <w:tc>
          <w:tcPr>
            <w:tcW w:w="44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4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56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issuance cost of $39</w:t>
            </w:r>
          </w:p>
        </w:tc>
        <w:tc>
          <w:tcPr>
            <w:tcW w:w="44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44,859</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44,962</w:t>
            </w:r>
          </w:p>
        </w:tc>
        <w:tc>
          <w:tcPr>
            <w:tcW w:w="100" w:type="dxa"/>
            <w:vAlign w:val="bottom"/>
            <w:shd w:val="clear" w:color="auto" w:fill="CCFFCC"/>
          </w:tcPr>
          <w:p>
            <w:pPr>
              <w:spacing w:after="0"/>
              <w:rPr>
                <w:sz w:val="20"/>
                <w:szCs w:val="20"/>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for the year</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(20,841)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(20,841)</w:t>
            </w:r>
          </w:p>
        </w:tc>
      </w:tr>
      <w:tr>
        <w:trPr>
          <w:trHeight w:val="210"/>
        </w:trPr>
        <w:tc>
          <w:tcPr>
            <w:tcW w:w="56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44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819</w:t>
            </w:r>
          </w:p>
        </w:tc>
        <w:tc>
          <w:tcPr>
            <w:tcW w:w="120" w:type="dxa"/>
            <w:vAlign w:val="bottom"/>
            <w:tcBorders>
              <w:top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spacing w:after="0"/>
              <w:rPr>
                <w:sz w:val="18"/>
                <w:szCs w:val="18"/>
                <w:color w:val="auto"/>
              </w:rPr>
            </w:pP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171,108</w:t>
            </w:r>
          </w:p>
        </w:tc>
        <w:tc>
          <w:tcPr>
            <w:tcW w:w="100" w:type="dxa"/>
            <w:vAlign w:val="bottom"/>
            <w:tcBorders>
              <w:top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spacing w:after="0"/>
              <w:rPr>
                <w:sz w:val="18"/>
                <w:szCs w:val="18"/>
                <w:color w:val="auto"/>
              </w:rPr>
            </w:pP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(23,595)</w:t>
            </w:r>
          </w:p>
        </w:tc>
        <w:tc>
          <w:tcPr>
            <w:tcW w:w="4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spacing w:after="0"/>
              <w:rPr>
                <w:sz w:val="18"/>
                <w:szCs w:val="18"/>
                <w:color w:val="auto"/>
              </w:rPr>
            </w:pP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148,332</w:t>
            </w:r>
          </w:p>
        </w:tc>
        <w:tc>
          <w:tcPr>
            <w:tcW w:w="100" w:type="dxa"/>
            <w:vAlign w:val="bottom"/>
            <w:tcBorders>
              <w:top w:val="single" w:sz="8" w:color="CCFFCC"/>
            </w:tcBorders>
            <w:shd w:val="clear" w:color="auto" w:fill="CCFFCC"/>
          </w:tcPr>
          <w:p>
            <w:pPr>
              <w:spacing w:after="0"/>
              <w:rPr>
                <w:sz w:val="18"/>
                <w:szCs w:val="18"/>
                <w:color w:val="auto"/>
              </w:rPr>
            </w:pPr>
          </w:p>
        </w:tc>
      </w:tr>
      <w:tr>
        <w:trPr>
          <w:trHeight w:val="210"/>
        </w:trPr>
        <w:tc>
          <w:tcPr>
            <w:tcW w:w="5640" w:type="dxa"/>
            <w:vAlign w:val="bottom"/>
          </w:tcPr>
          <w:p>
            <w:pPr>
              <w:spacing w:after="0"/>
              <w:rPr>
                <w:sz w:val="20"/>
                <w:szCs w:val="20"/>
                <w:color w:val="auto"/>
              </w:rPr>
            </w:pPr>
            <w:r>
              <w:rPr>
                <w:rFonts w:ascii="Arial" w:cs="Arial" w:eastAsia="Arial" w:hAnsi="Arial"/>
                <w:sz w:val="18"/>
                <w:szCs w:val="18"/>
                <w:color w:val="auto"/>
                <w:w w:val="99"/>
              </w:rPr>
              <w:t>Exercise of stock options and vesting of Restricted Stock Units (“RSU”)</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955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973</w:t>
            </w:r>
          </w:p>
        </w:tc>
        <w:tc>
          <w:tcPr>
            <w:tcW w:w="100" w:type="dxa"/>
            <w:vAlign w:val="bottom"/>
          </w:tcPr>
          <w:p>
            <w:pPr>
              <w:spacing w:after="0"/>
              <w:rPr>
                <w:sz w:val="18"/>
                <w:szCs w:val="18"/>
                <w:color w:val="auto"/>
              </w:rPr>
            </w:pP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Exercise of warrants</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1,356</w:t>
            </w:r>
          </w:p>
        </w:tc>
        <w:tc>
          <w:tcPr>
            <w:tcW w:w="100" w:type="dxa"/>
            <w:vAlign w:val="bottom"/>
            <w:shd w:val="clear" w:color="auto" w:fill="CCFFC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100" w:type="dxa"/>
            <w:vAlign w:val="bottom"/>
          </w:tcPr>
          <w:p>
            <w:pPr>
              <w:spacing w:after="0"/>
              <w:rPr>
                <w:sz w:val="18"/>
                <w:szCs w:val="18"/>
                <w:color w:val="auto"/>
              </w:rPr>
            </w:pPr>
          </w:p>
        </w:tc>
      </w:tr>
      <w:tr>
        <w:trPr>
          <w:trHeight w:val="216"/>
        </w:trPr>
        <w:tc>
          <w:tcPr>
            <w:tcW w:w="56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8,975</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8,975</w:t>
            </w:r>
          </w:p>
        </w:tc>
        <w:tc>
          <w:tcPr>
            <w:tcW w:w="100" w:type="dxa"/>
            <w:vAlign w:val="bottom"/>
            <w:shd w:val="clear" w:color="auto" w:fill="CCFFCC"/>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(33,464)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(33,464)</w:t>
            </w:r>
          </w:p>
        </w:tc>
      </w:tr>
      <w:tr>
        <w:trPr>
          <w:trHeight w:val="210"/>
        </w:trPr>
        <w:tc>
          <w:tcPr>
            <w:tcW w:w="56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September 30, 2013</w:t>
            </w:r>
          </w:p>
        </w:tc>
        <w:tc>
          <w:tcPr>
            <w:tcW w:w="44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841</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00" w:type="dxa"/>
            <w:vAlign w:val="bottom"/>
            <w:tcBorders>
              <w:top w:val="single" w:sz="8" w:color="auto"/>
              <w:bottom w:val="single" w:sz="8" w:color="auto"/>
            </w:tcBorders>
            <w:shd w:val="clear" w:color="auto" w:fill="CCFFCC"/>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186,308</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(57,059)</w:t>
            </w:r>
          </w:p>
        </w:tc>
        <w:tc>
          <w:tcPr>
            <w:tcW w:w="4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130,090</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2"/>
              </w:rPr>
              <w:t>Cumulative from</w:t>
            </w:r>
          </w:p>
        </w:tc>
      </w:tr>
      <w:tr>
        <w:trPr>
          <w:trHeight w:val="216"/>
        </w:trPr>
        <w:tc>
          <w:tcPr>
            <w:tcW w:w="6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Inception to</w:t>
            </w:r>
          </w:p>
        </w:tc>
      </w:tr>
      <w:tr>
        <w:trPr>
          <w:trHeight w:val="234"/>
        </w:trPr>
        <w:tc>
          <w:tcPr>
            <w:tcW w:w="6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5"/>
          </w:tcPr>
          <w:p>
            <w:pPr>
              <w:ind w:left="80"/>
              <w:spacing w:after="0"/>
              <w:rPr>
                <w:sz w:val="20"/>
                <w:szCs w:val="20"/>
                <w:color w:val="auto"/>
              </w:rPr>
            </w:pPr>
            <w:r>
              <w:rPr>
                <w:rFonts w:ascii="Arial" w:cs="Arial" w:eastAsia="Arial" w:hAnsi="Arial"/>
                <w:sz w:val="18"/>
                <w:szCs w:val="18"/>
                <w:b w:val="1"/>
                <w:bCs w:val="1"/>
                <w:color w:val="auto"/>
                <w:w w:val="99"/>
              </w:rPr>
              <w:t>Nine months ended September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664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66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(33,464)</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(57,059)</w:t>
            </w: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Adjustments to reconcile net cash flows used in operating activities: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Items not affecting cash flows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3,856</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6,686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Change in deferred tax assets and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8,975</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17,536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Issuance of warrants</w:t>
            </w:r>
          </w:p>
        </w:tc>
        <w:tc>
          <w:tcPr>
            <w:tcW w:w="1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Assignment of patents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(5,627)</w:t>
            </w: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Exchange rate (gain) losses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Changes in current assets and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Increase in receivables, prepaid expenses and other current assets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(283)</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(517)</w:t>
            </w:r>
          </w:p>
        </w:tc>
        <w:tc>
          <w:tcPr>
            <w:tcW w:w="80" w:type="dxa"/>
            <w:vAlign w:val="bottom"/>
            <w:shd w:val="clear" w:color="auto" w:fill="CCFFCC"/>
          </w:tcPr>
          <w:p>
            <w:pPr>
              <w:spacing w:after="0"/>
              <w:rPr>
                <w:sz w:val="18"/>
                <w:szCs w:val="18"/>
                <w:color w:val="auto"/>
              </w:rPr>
            </w:pPr>
          </w:p>
        </w:tc>
      </w:tr>
      <w:tr>
        <w:trPr>
          <w:trHeight w:val="216"/>
        </w:trPr>
        <w:tc>
          <w:tcPr>
            <w:tcW w:w="664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Increase in payables and accruals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2,400</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2,043</w:t>
            </w:r>
          </w:p>
        </w:tc>
        <w:tc>
          <w:tcPr>
            <w:tcW w:w="100" w:type="dxa"/>
            <w:vAlign w:val="bottom"/>
            <w:tcBorders>
              <w:bottom w:val="single" w:sz="8" w:color="CCFFCC"/>
            </w:tcBorders>
          </w:tcPr>
          <w:p>
            <w:pPr>
              <w:spacing w:after="0"/>
              <w:rPr>
                <w:sz w:val="18"/>
                <w:szCs w:val="18"/>
                <w:color w:val="auto"/>
              </w:rPr>
            </w:pPr>
          </w:p>
        </w:tc>
        <w:tc>
          <w:tcPr>
            <w:tcW w:w="20" w:type="dxa"/>
            <w:vAlign w:val="bottom"/>
            <w:tcBorders>
              <w:bottom w:val="single" w:sz="8" w:color="CCFF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w:t>
            </w:r>
          </w:p>
        </w:tc>
        <w:tc>
          <w:tcPr>
            <w:tcW w:w="20" w:type="dxa"/>
            <w:vAlign w:val="bottom"/>
            <w:tcBorders>
              <w:bottom w:val="single" w:sz="8" w:color="CCFFCC"/>
            </w:tcBorders>
          </w:tcPr>
          <w:p>
            <w:pPr>
              <w:spacing w:after="0"/>
              <w:rPr>
                <w:sz w:val="18"/>
                <w:szCs w:val="18"/>
                <w:color w:val="auto"/>
              </w:rPr>
            </w:pPr>
          </w:p>
        </w:tc>
        <w:tc>
          <w:tcPr>
            <w:tcW w:w="80" w:type="dxa"/>
            <w:vAlign w:val="bottom"/>
            <w:tcBorders>
              <w:bottom w:val="single" w:sz="8" w:color="CCFFCC"/>
            </w:tcBorders>
          </w:tcPr>
          <w:p>
            <w:pPr>
              <w:spacing w:after="0"/>
              <w:rPr>
                <w:sz w:val="18"/>
                <w:szCs w:val="18"/>
                <w:color w:val="auto"/>
              </w:rPr>
            </w:pPr>
          </w:p>
        </w:tc>
      </w:tr>
      <w:tr>
        <w:trPr>
          <w:trHeight w:val="210"/>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(17,384)</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(5,962)</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(33,380)</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property and equipment</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(27)</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Deposit in short-term investments</w:t>
            </w:r>
          </w:p>
        </w:tc>
        <w:tc>
          <w:tcPr>
            <w:tcW w:w="16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(673)</w:t>
            </w:r>
          </w:p>
        </w:tc>
        <w:tc>
          <w:tcPr>
            <w:tcW w:w="3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(673)</w:t>
            </w: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patents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(22,548)</w:t>
            </w: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(25,944)</w:t>
            </w:r>
          </w:p>
        </w:tc>
        <w:tc>
          <w:tcPr>
            <w:tcW w:w="80" w:type="dxa"/>
            <w:vAlign w:val="bottom"/>
            <w:shd w:val="clear" w:color="auto" w:fill="CCFFCC"/>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Decrease (increase) in deposits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r>
      <w:tr>
        <w:trPr>
          <w:trHeight w:val="216"/>
        </w:trPr>
        <w:tc>
          <w:tcPr>
            <w:tcW w:w="6640" w:type="dxa"/>
            <w:vAlign w:val="bottom"/>
            <w:shd w:val="clear" w:color="auto" w:fill="CCFFCC"/>
          </w:tcPr>
          <w:p>
            <w:pPr>
              <w:spacing w:after="0"/>
              <w:rPr>
                <w:sz w:val="20"/>
                <w:szCs w:val="20"/>
                <w:color w:val="auto"/>
              </w:rPr>
            </w:pPr>
            <w:r>
              <w:rPr>
                <w:rFonts w:ascii="Arial" w:cs="Arial" w:eastAsia="Arial" w:hAnsi="Arial"/>
                <w:sz w:val="18"/>
                <w:szCs w:val="18"/>
                <w:color w:val="auto"/>
              </w:rPr>
              <w:t>Cash acquired as part of acquisition of Vringo (1)</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(19,419)</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Inception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4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CCFFC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Borders>
              <w:bottom w:val="single" w:sz="8" w:color="CCFFC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issuance of common stock, net of issuance cost of $52</w:t>
            </w:r>
          </w:p>
        </w:tc>
        <w:tc>
          <w:tcPr>
            <w:tcW w:w="160" w:type="dxa"/>
            <w:vAlign w:val="bottom"/>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31,148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31,148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common stock, net of issuance cost of $39</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44,962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Repayment of note payable—related party</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Proceeds from issuance of preferred stock</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1,800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973</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Exercise of warrants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566</w:t>
            </w:r>
          </w:p>
        </w:tc>
        <w:tc>
          <w:tcPr>
            <w:tcW w:w="120" w:type="dxa"/>
            <w:vAlign w:val="bottom"/>
            <w:tcBorders>
              <w:bottom w:val="single" w:sz="8" w:color="CCFFC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FF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6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1,539</w:t>
            </w:r>
          </w:p>
        </w:tc>
        <w:tc>
          <w:tcPr>
            <w:tcW w:w="120" w:type="dxa"/>
            <w:vAlign w:val="bottom"/>
            <w:shd w:val="clear" w:color="auto" w:fill="CCFFCC"/>
          </w:tcPr>
          <w:p>
            <w:pPr>
              <w:spacing w:after="0"/>
              <w:rPr>
                <w:sz w:val="18"/>
                <w:szCs w:val="18"/>
                <w:color w:val="auto"/>
              </w:rPr>
            </w:pPr>
          </w:p>
        </w:tc>
        <w:tc>
          <w:tcPr>
            <w:tcW w:w="320" w:type="dxa"/>
            <w:vAlign w:val="bottom"/>
            <w:tcBorders>
              <w:bottom w:val="single" w:sz="8" w:color="auto"/>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29,717</w:t>
            </w: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97,378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(16,524)</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4,337</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56,960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shd w:val="clear" w:color="auto" w:fill="CCFFCC"/>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40,436</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320" w:type="dxa"/>
            <w:vAlign w:val="bottom"/>
            <w:tcBorders>
              <w:top w:val="single" w:sz="8" w:color="auto"/>
              <w:bottom w:val="single" w:sz="8" w:color="auto"/>
            </w:tcBorders>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9,549</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40,436</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Supplemental disclosure of cash flows information</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Non-cash investing and financing transactions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stock to common stock shares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790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Non cash acquisition of patents through issuance of common stock shares</w:t>
            </w:r>
          </w:p>
        </w:tc>
        <w:tc>
          <w:tcPr>
            <w:tcW w:w="1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Conversion of derivative warrants into equity warrants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3,918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60" w:type="dxa"/>
            <w:vAlign w:val="bottom"/>
            <w:shd w:val="clear" w:color="auto" w:fill="CCFFCC"/>
          </w:tcPr>
          <w:p>
            <w:pPr>
              <w:spacing w:after="0"/>
              <w:rPr>
                <w:sz w:val="17"/>
                <w:szCs w:val="17"/>
                <w:color w:val="auto"/>
              </w:rPr>
            </w:pPr>
          </w:p>
        </w:tc>
        <w:tc>
          <w:tcPr>
            <w:tcW w:w="14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mezzanine equity, into common stock, prior to the Merger</w:t>
            </w:r>
          </w:p>
        </w:tc>
        <w:tc>
          <w:tcPr>
            <w:tcW w:w="160" w:type="dxa"/>
            <w:vAlign w:val="bottom"/>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60" w:type="dxa"/>
            <w:vAlign w:val="bottom"/>
          </w:tcPr>
          <w:p>
            <w:pPr>
              <w:spacing w:after="0"/>
              <w:rPr>
                <w:sz w:val="17"/>
                <w:szCs w:val="17"/>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mezzanine equity, into common stock, upon Merger</w:t>
            </w:r>
          </w:p>
        </w:tc>
        <w:tc>
          <w:tcPr>
            <w:tcW w:w="16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Conversion of Series A Convertible Preferred stock, classified as</w:t>
            </w:r>
          </w:p>
        </w:tc>
        <w:tc>
          <w:tcPr>
            <w:tcW w:w="160" w:type="dxa"/>
            <w:vAlign w:val="bottom"/>
            <w:shd w:val="clear" w:color="auto" w:fill="CCFFCC"/>
          </w:tcPr>
          <w:p>
            <w:pPr>
              <w:spacing w:after="0"/>
              <w:rPr>
                <w:sz w:val="17"/>
                <w:szCs w:val="17"/>
                <w:color w:val="auto"/>
              </w:rPr>
            </w:pPr>
          </w:p>
        </w:tc>
        <w:tc>
          <w:tcPr>
            <w:tcW w:w="1460" w:type="dxa"/>
            <w:vAlign w:val="bottom"/>
            <w:gridSpan w:val="2"/>
            <w:vMerge w:val="restart"/>
            <w:shd w:val="clear" w:color="auto" w:fill="CCFFCC"/>
          </w:tcPr>
          <w:p>
            <w:pPr>
              <w:jc w:val="right"/>
              <w:ind w:right="1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into common stock, post-Merger</w:t>
            </w:r>
          </w:p>
        </w:tc>
        <w:tc>
          <w:tcPr>
            <w:tcW w:w="160" w:type="dxa"/>
            <w:vAlign w:val="bottom"/>
            <w:shd w:val="clear" w:color="auto" w:fill="CCFFCC"/>
          </w:tcPr>
          <w:p>
            <w:pPr>
              <w:spacing w:after="0"/>
              <w:rPr>
                <w:sz w:val="20"/>
                <w:szCs w:val="20"/>
                <w:color w:val="auto"/>
              </w:rPr>
            </w:pPr>
          </w:p>
        </w:tc>
        <w:tc>
          <w:tcPr>
            <w:tcW w:w="1460" w:type="dxa"/>
            <w:vAlign w:val="bottom"/>
            <w:gridSpan w:val="2"/>
            <w:vMerge w:val="continue"/>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(1) Cash acquired as part of acquisition of Vringo</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Working capital (excluding cash and cash equivalents)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Long term deposit</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Fixed assets, net</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Legal Parent’s shares of common stock and vested $0.01 options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Fair value of warrants and vested stock options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3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3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116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form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Vringo,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Vringo, Inc., together with its consolidated subsidiaries (the “Company”), is engaged in the development and monetization of intellectual property worldwide. The Company's intellectual property portfolio consists of over 500 patents and patent applications covering telecom infrastructure, internet search and mobile technologies. The Company’s patents and patent applications have been developed internally and acquired from third parties. The Company operates a global platform for the distribution of mobile social applications and services it develops.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Vringo, Inc., a Delaware corporation (“Vringo” or “Legal Parent”), closed a merger transaction (the “Merger”) with Innovate/Protect, Inc., a privately held Delaware corporation (“I/P”), pursuant to an Agreement and Plan of Merger, dated as of March 13, 2012 (the “Merger Agreement”), by and among Vringo, I/P and VIP Merger Sub, Inc., a wholly-owned subsidiary of Vringo (“Merger Sub”). Pursuant to the Merger Agreement, I/P became a wholly-owned subsidiary of Vringo through a merger of I/P with and into Merger Sub, and the former stockholders of I/P received shares of Vringo that constituted a majority of the outstanding shares of Vringo.</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following the Merger, approximately 67.61% of the combined company was owned by I/P stockholders on a fully diluted basis, and as a result of this and other factors, I/P was deemed to be the acquiring company for accounting purposes and the transaction was accounted for as a reverse acquisition in accordance with accounting principles generally accepted in the United States (“U.S. GAAP”). Accordingly, the Company’s financial statements for periods prior to the M</w:t>
      </w:r>
      <w:r>
        <w:rPr>
          <w:rFonts w:ascii="Arial" w:cs="Arial" w:eastAsia="Arial" w:hAnsi="Arial"/>
          <w:sz w:val="16"/>
          <w:szCs w:val="16"/>
          <w:color w:val="auto"/>
        </w:rPr>
        <w:t>erger reflect the historical results of I/P</w:t>
      </w:r>
      <w:r>
        <w:rPr>
          <w:rFonts w:ascii="Arial" w:cs="Arial" w:eastAsia="Arial" w:hAnsi="Arial"/>
          <w:sz w:val="18"/>
          <w:szCs w:val="18"/>
          <w:color w:val="auto"/>
        </w:rPr>
        <w:t>, and the Company’s financial statements for all periods from July 19, 2012 reflect the results of the combined company. Unless specifically noted otherwise, as used throughout these consolidated financial statements, the term “Company” refers to the combined company after the Merger, and the business of I/P before the Merger. The terms I/P and Vringo or Legal Parent refer to such entities’ standalone businesses prior to the Merger.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Legal Parent, I/P and their wholly-owned subsidiaries, and are presented in accordance with instructions to Form 10-Q and, therefore, do not include all disclosures necessary for a complete presentation of financial position, results of operations, and cash flows in conformity with generally accepted accounting principles. These financial statements should be read in conjunction with the consolidated financial statements and related notes for the year ended December 31, 2012 included in the Company's Annual Report on Form 10-K. The results of operations for the three and nine month periods ended September 30, 2013 are not necessarily indicative of the results that may be expected for the entire fiscal year or for any other interim period. All significant intercompany balances and transactions have been eliminated in consolidation.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Development stage enterprise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principal activities to date have been focused on development and enforcement of its intellectual property, and on the research and development of its products. To date, the Company has not generated significant revenues from its principal operations. Accordingly, the Company’s financial statements are presented as those of a development stage enterprise.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Translation into U.S. dollars</w:t>
      </w:r>
    </w:p>
    <w:p>
      <w:pPr>
        <w:spacing w:after="0" w:line="252" w:lineRule="exact"/>
        <w:rPr>
          <w:sz w:val="20"/>
          <w:szCs w:val="20"/>
          <w:color w:val="auto"/>
        </w:rPr>
      </w:pPr>
    </w:p>
    <w:p>
      <w:pPr>
        <w:jc w:val="both"/>
        <w:ind w:firstLine="801"/>
        <w:spacing w:after="0" w:line="264" w:lineRule="auto"/>
        <w:rPr>
          <w:sz w:val="20"/>
          <w:szCs w:val="20"/>
          <w:color w:val="auto"/>
        </w:rPr>
      </w:pPr>
      <w:r>
        <w:rPr>
          <w:rFonts w:ascii="Arial" w:cs="Arial" w:eastAsia="Arial" w:hAnsi="Arial"/>
          <w:sz w:val="18"/>
          <w:szCs w:val="18"/>
          <w:color w:val="auto"/>
        </w:rPr>
        <w:t>The Company conducts significant transactions in foreign currencies, which are recorded at the exchange rate as of the transaction date. All exchange gains and losses from remeasurement of monetary balance sheet items denominated in non-dollar currencies are reflected as non-operating income or expense in the statement of operations, as they arise.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Use of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at the date of the financial statements and the reported amounts of revenues and expenses during the reported periods. Actual results may differ from such estimates. Significant items subject to such estimates and assumptions include valuation of assets acquired and liabilities assumed as part of the Merger, useful lives of the Company’s tangible and intangible assets, valuation of its October 2012 Warrants and derivative warrants, valuation of stock-based compensation, deferred tax assets and liabilities, income tax uncertainties and other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invests its cash in commercial paper, money market deposits and money market funds with financial institutions. The Company has established guidelines relating to diversification and maturities of its investments, in order to minimize credit risk and maintain high liquidity of funds. All highly liquid investments with original maturities of three months or less are considered cash equivalents.</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099"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(f) Revenue recognition</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patent licensing and enforcement, subscription services and software development is recognized if collection is probable, persuasive evidence of an arrangement exists, the sales price is fixed or determinable and delivery of the service has been rendered. The Company uses management's best estimate of selling price for individual elements in multiple-element arrangements, where other sources of evidence are unavailable.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Cost of revenue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Cost of revenue mainly includes expenses incurred in connection with the Company’s patent enforcement activities, such as legal fees, consulting costs, patent maintenance and other related expenses, as well as the amortization of acquired patents and technology. Legal costs incurred in connection with ongoing litigation are expensed as incurred. Cost of revenue also includes expenses directly related to providing mobile services in launched markets. In addition, these costs include royalty fees for content sales and amortization of prepaid content licenses. Cost of revenue does not include expenses related to product development, integration or support, as these are included in research and development expenses.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Net loss per share data</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Basic net loss per share is computed by dividing the net loss for the period by the weighted-average number of shares of common stock outstanding during the period. Diluted net loss per share is computed by dividing the net loss for the period by the weighted-average number of shares of common stock plus dilutive potential common stock considered outstanding during the period. Such dilutive shares consist of incremental shares that would be issued upon exercise of the Company’s derivative warrants. The table below presents the computation of basic and diluted net losses per common share for the periods presented:</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from Inception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32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1"/>
              </w:rPr>
              <w:t>Nine months ended September 30,</w:t>
            </w:r>
          </w:p>
        </w:tc>
        <w:tc>
          <w:tcPr>
            <w:tcW w:w="6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to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FFC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FFCC"/>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FFC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Basic Numerator:</w:t>
            </w: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Net loss attributable to shares of common stock</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(10,560)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(3,124)</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(33,464)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(6,836)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(57,059)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Basic Denominator:</w:t>
            </w:r>
          </w:p>
        </w:tc>
        <w:tc>
          <w:tcPr>
            <w:tcW w:w="1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w w:val="98"/>
              </w:rPr>
              <w:t>Weighted average number of shares of common stock outstanding during the period</w:t>
            </w:r>
          </w:p>
        </w:tc>
        <w:tc>
          <w:tcPr>
            <w:tcW w:w="10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83,450,697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48,437,587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82,757,899</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25,493,415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46,229,656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Weighted average number of penny stock options</w:t>
            </w:r>
          </w:p>
        </w:tc>
        <w:tc>
          <w:tcPr>
            <w:tcW w:w="10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88,070</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353,232</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124,506</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117,744</w:t>
            </w: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109,930</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Basic common stock shares outstanding</w:t>
            </w: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83,538,767</w:t>
            </w:r>
          </w:p>
        </w:tc>
        <w:tc>
          <w:tcPr>
            <w:tcW w:w="12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48,790,819</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82,882,405</w:t>
            </w:r>
          </w:p>
        </w:tc>
        <w:tc>
          <w:tcPr>
            <w:tcW w:w="12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25,611,159</w:t>
            </w:r>
          </w:p>
        </w:tc>
        <w:tc>
          <w:tcPr>
            <w:tcW w:w="6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46,339,586</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Basic net loss per common stock share</w:t>
            </w: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(0.13)</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(0.06)</w:t>
            </w:r>
          </w:p>
        </w:tc>
        <w:tc>
          <w:tcPr>
            <w:tcW w:w="120" w:type="dxa"/>
            <w:vAlign w:val="bottom"/>
            <w:shd w:val="clear" w:color="auto" w:fill="CCFFCC"/>
          </w:tcPr>
          <w:p>
            <w:pPr>
              <w:spacing w:after="0"/>
              <w:rPr>
                <w:sz w:val="12"/>
                <w:szCs w:val="12"/>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(0.40)</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(0.27)</w:t>
            </w: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(1.23)</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b w:val="1"/>
                <w:bCs w:val="1"/>
                <w:color w:val="auto"/>
              </w:rPr>
              <w:t>Diluted Numerator:</w:t>
            </w:r>
          </w:p>
        </w:tc>
        <w:tc>
          <w:tcPr>
            <w:tcW w:w="10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Net loss attributable to shares of common stock</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(10,560)</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(3,124)</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(33,464)</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(6,836)</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4"/>
                <w:szCs w:val="14"/>
                <w:color w:val="auto"/>
              </w:rPr>
              <w:t>(57,059)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Increase in net loss attributable to derivative warrants</w:t>
            </w:r>
          </w:p>
        </w:tc>
        <w:tc>
          <w:tcPr>
            <w:tcW w:w="10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(758)</w:t>
            </w:r>
          </w:p>
        </w:tc>
        <w:tc>
          <w:tcPr>
            <w:tcW w:w="240" w:type="dxa"/>
            <w:vAlign w:val="bottom"/>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(7,240)</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b w:val="1"/>
                <w:bCs w:val="1"/>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b w:val="1"/>
                <w:bCs w:val="1"/>
                <w:color w:val="auto"/>
              </w:rPr>
              <w:t>(53)</w:t>
            </w:r>
          </w:p>
        </w:tc>
        <w:tc>
          <w:tcPr>
            <w:tcW w:w="240" w:type="dxa"/>
            <w:vAlign w:val="bottom"/>
            <w:shd w:val="clear" w:color="auto" w:fill="CCFFCC"/>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(7,240)</w:t>
            </w:r>
          </w:p>
        </w:tc>
        <w:tc>
          <w:tcPr>
            <w:tcW w:w="140" w:type="dxa"/>
            <w:vAlign w:val="bottom"/>
            <w:gridSpan w:val="2"/>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(3,387)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line="142" w:lineRule="exact"/>
              <w:rPr>
                <w:sz w:val="20"/>
                <w:szCs w:val="20"/>
                <w:color w:val="auto"/>
              </w:rPr>
            </w:pPr>
            <w:r>
              <w:rPr>
                <w:rFonts w:ascii="Arial" w:cs="Arial" w:eastAsia="Arial" w:hAnsi="Arial"/>
                <w:sz w:val="14"/>
                <w:szCs w:val="14"/>
                <w:b w:val="1"/>
                <w:bCs w:val="1"/>
                <w:color w:val="auto"/>
              </w:rPr>
              <w:t>Diluted net loss attributable to shares of common stock:</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(11,318)</w:t>
            </w:r>
          </w:p>
        </w:tc>
        <w:tc>
          <w:tcPr>
            <w:tcW w:w="1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(10,364)</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(33,517)</w:t>
            </w:r>
          </w:p>
        </w:tc>
        <w:tc>
          <w:tcPr>
            <w:tcW w:w="120" w:type="dxa"/>
            <w:vAlign w:val="bottom"/>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(14,076)</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(60,446)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40" w:type="dxa"/>
            <w:vAlign w:val="bottom"/>
            <w:tcBorders>
              <w:top w:val="single" w:sz="8" w:color="auto"/>
            </w:tcBorders>
            <w:shd w:val="clear" w:color="auto" w:fill="CCFFCC"/>
          </w:tcPr>
          <w:p>
            <w:pPr>
              <w:spacing w:after="0"/>
              <w:rPr>
                <w:sz w:val="12"/>
                <w:szCs w:val="12"/>
                <w:color w:val="auto"/>
              </w:rPr>
            </w:pPr>
          </w:p>
        </w:tc>
        <w:tc>
          <w:tcPr>
            <w:tcW w:w="880" w:type="dxa"/>
            <w:vAlign w:val="bottom"/>
            <w:tcBorders>
              <w:top w:val="single" w:sz="8" w:color="auto"/>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80" w:type="dxa"/>
            <w:vAlign w:val="bottom"/>
            <w:tcBorders>
              <w:top w:val="single" w:sz="8" w:color="auto"/>
            </w:tcBorders>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b w:val="1"/>
                <w:bCs w:val="1"/>
                <w:color w:val="auto"/>
              </w:rPr>
              <w:t>Diluted Denominator:</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Basic common shares outstanding</w:t>
            </w:r>
          </w:p>
        </w:tc>
        <w:tc>
          <w:tcPr>
            <w:tcW w:w="100" w:type="dxa"/>
            <w:vAlign w:val="bottom"/>
            <w:shd w:val="clear" w:color="auto" w:fill="CCFFCC"/>
          </w:tcPr>
          <w:p>
            <w:pPr>
              <w:spacing w:after="0"/>
              <w:rPr>
                <w:sz w:val="14"/>
                <w:szCs w:val="14"/>
                <w:color w:val="auto"/>
              </w:rPr>
            </w:pPr>
          </w:p>
        </w:tc>
        <w:tc>
          <w:tcPr>
            <w:tcW w:w="10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83,538,767</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48,790,819</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82,882,405</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25,611,159</w:t>
            </w: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46,339,586</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FFCC"/>
            </w:tcBorders>
          </w:tcPr>
          <w:p>
            <w:pPr>
              <w:spacing w:after="0"/>
              <w:rPr>
                <w:sz w:val="20"/>
                <w:szCs w:val="20"/>
                <w:color w:val="auto"/>
              </w:rPr>
            </w:pPr>
            <w:r>
              <w:rPr>
                <w:rFonts w:ascii="Arial" w:cs="Arial" w:eastAsia="Arial" w:hAnsi="Arial"/>
                <w:sz w:val="14"/>
                <w:szCs w:val="14"/>
                <w:color w:val="auto"/>
              </w:rPr>
              <w:t>Weighted average number of derivative warrants outstanding during the period</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2,563,090</w:t>
            </w:r>
          </w:p>
        </w:tc>
        <w:tc>
          <w:tcPr>
            <w:tcW w:w="12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9,436,281</w:t>
            </w:r>
          </w:p>
        </w:tc>
        <w:tc>
          <w:tcPr>
            <w:tcW w:w="120" w:type="dxa"/>
            <w:vAlign w:val="bottom"/>
            <w:tcBorders>
              <w:bottom w:val="single" w:sz="8" w:color="CCFFC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89,677</w:t>
            </w:r>
          </w:p>
        </w:tc>
        <w:tc>
          <w:tcPr>
            <w:tcW w:w="120" w:type="dxa"/>
            <w:vAlign w:val="bottom"/>
            <w:tcBorders>
              <w:bottom w:val="single" w:sz="8" w:color="CCFFC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9,436,281</w:t>
            </w:r>
          </w:p>
        </w:tc>
        <w:tc>
          <w:tcPr>
            <w:tcW w:w="60" w:type="dxa"/>
            <w:vAlign w:val="bottom"/>
            <w:tcBorders>
              <w:bottom w:val="single" w:sz="8" w:color="CCFFCC"/>
            </w:tcBorders>
          </w:tcPr>
          <w:p>
            <w:pPr>
              <w:spacing w:after="0"/>
              <w:rPr>
                <w:sz w:val="14"/>
                <w:szCs w:val="14"/>
                <w:color w:val="auto"/>
              </w:rPr>
            </w:pPr>
          </w:p>
        </w:tc>
        <w:tc>
          <w:tcPr>
            <w:tcW w:w="60" w:type="dxa"/>
            <w:vAlign w:val="bottom"/>
            <w:tcBorders>
              <w:bottom w:val="single" w:sz="8" w:color="CCFFC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1,460,477</w:t>
            </w:r>
          </w:p>
        </w:tc>
        <w:tc>
          <w:tcPr>
            <w:tcW w:w="100" w:type="dxa"/>
            <w:vAlign w:val="bottom"/>
            <w:tcBorders>
              <w:bottom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Diluted common stock shares outstanding</w:t>
            </w:r>
          </w:p>
        </w:tc>
        <w:tc>
          <w:tcPr>
            <w:tcW w:w="100" w:type="dxa"/>
            <w:vAlign w:val="bottom"/>
            <w:tcBorders>
              <w:bottom w:val="single" w:sz="8" w:color="auto"/>
            </w:tcBorders>
            <w:shd w:val="clear" w:color="auto" w:fill="CCFFCC"/>
          </w:tcPr>
          <w:p>
            <w:pPr>
              <w:spacing w:after="0"/>
              <w:rPr>
                <w:sz w:val="12"/>
                <w:szCs w:val="12"/>
                <w:color w:val="auto"/>
              </w:rPr>
            </w:pPr>
          </w:p>
        </w:tc>
        <w:tc>
          <w:tcPr>
            <w:tcW w:w="10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b w:val="1"/>
                <w:bCs w:val="1"/>
                <w:color w:val="auto"/>
              </w:rPr>
              <w:t>86,101,857</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spacing w:after="0"/>
              <w:rPr>
                <w:sz w:val="12"/>
                <w:szCs w:val="12"/>
                <w:color w:val="auto"/>
              </w:rPr>
            </w:pPr>
          </w:p>
        </w:tc>
        <w:tc>
          <w:tcPr>
            <w:tcW w:w="90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58,227,100</w:t>
            </w:r>
          </w:p>
        </w:tc>
        <w:tc>
          <w:tcPr>
            <w:tcW w:w="120" w:type="dxa"/>
            <w:vAlign w:val="bottom"/>
            <w:shd w:val="clear" w:color="auto" w:fill="CCFFCC"/>
          </w:tcPr>
          <w:p>
            <w:pPr>
              <w:spacing w:after="0"/>
              <w:rPr>
                <w:sz w:val="12"/>
                <w:szCs w:val="12"/>
                <w:color w:val="auto"/>
              </w:rPr>
            </w:pPr>
          </w:p>
        </w:tc>
        <w:tc>
          <w:tcPr>
            <w:tcW w:w="100" w:type="dxa"/>
            <w:vAlign w:val="bottom"/>
            <w:tcBorders>
              <w:bottom w:val="single" w:sz="8" w:color="auto"/>
            </w:tcBorders>
            <w:shd w:val="clear" w:color="auto" w:fill="CCFFCC"/>
          </w:tcPr>
          <w:p>
            <w:pPr>
              <w:spacing w:after="0"/>
              <w:rPr>
                <w:sz w:val="12"/>
                <w:szCs w:val="12"/>
                <w:color w:val="auto"/>
              </w:rPr>
            </w:pPr>
          </w:p>
        </w:tc>
        <w:tc>
          <w:tcPr>
            <w:tcW w:w="102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82,972,082</w:t>
            </w:r>
          </w:p>
        </w:tc>
        <w:tc>
          <w:tcPr>
            <w:tcW w:w="120" w:type="dxa"/>
            <w:vAlign w:val="bottom"/>
            <w:shd w:val="clear" w:color="auto" w:fill="CCFFCC"/>
          </w:tcPr>
          <w:p>
            <w:pPr>
              <w:spacing w:after="0"/>
              <w:rPr>
                <w:sz w:val="12"/>
                <w:szCs w:val="12"/>
                <w:color w:val="auto"/>
              </w:rPr>
            </w:pPr>
          </w:p>
        </w:tc>
        <w:tc>
          <w:tcPr>
            <w:tcW w:w="240" w:type="dxa"/>
            <w:vAlign w:val="bottom"/>
            <w:tcBorders>
              <w:bottom w:val="single" w:sz="8" w:color="auto"/>
            </w:tcBorders>
            <w:shd w:val="clear" w:color="auto" w:fill="CCFFCC"/>
          </w:tcPr>
          <w:p>
            <w:pPr>
              <w:spacing w:after="0"/>
              <w:rPr>
                <w:sz w:val="12"/>
                <w:szCs w:val="12"/>
                <w:color w:val="auto"/>
              </w:rPr>
            </w:pPr>
          </w:p>
        </w:tc>
        <w:tc>
          <w:tcPr>
            <w:tcW w:w="880" w:type="dxa"/>
            <w:vAlign w:val="bottom"/>
            <w:tcBorders>
              <w:bottom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35,047,440</w:t>
            </w: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tcBorders>
              <w:bottom w:val="single" w:sz="8" w:color="auto"/>
            </w:tcBorders>
            <w:shd w:val="clear" w:color="auto" w:fill="CCFFCC"/>
          </w:tcPr>
          <w:p>
            <w:pPr>
              <w:spacing w:after="0"/>
              <w:rPr>
                <w:sz w:val="12"/>
                <w:szCs w:val="12"/>
                <w:color w:val="auto"/>
              </w:rPr>
            </w:pPr>
          </w:p>
        </w:tc>
        <w:tc>
          <w:tcPr>
            <w:tcW w:w="1060" w:type="dxa"/>
            <w:vAlign w:val="bottom"/>
            <w:tcBorders>
              <w:bottom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47,800,063</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Diluted net loss per common stock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(0.13)</w:t>
            </w:r>
          </w:p>
        </w:tc>
        <w:tc>
          <w:tcPr>
            <w:tcW w:w="12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(0.18)</w:t>
            </w:r>
          </w:p>
        </w:tc>
        <w:tc>
          <w:tcPr>
            <w:tcW w:w="120" w:type="dxa"/>
            <w:vAlign w:val="bottom"/>
            <w:tcBorders>
              <w:bottom w:val="single" w:sz="8" w:color="CCFFCC"/>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(0.40)</w:t>
            </w:r>
          </w:p>
        </w:tc>
        <w:tc>
          <w:tcPr>
            <w:tcW w:w="120" w:type="dxa"/>
            <w:vAlign w:val="bottom"/>
            <w:tcBorders>
              <w:bottom w:val="single" w:sz="8" w:color="CCFFCC"/>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(0.40)</w:t>
            </w:r>
          </w:p>
        </w:tc>
        <w:tc>
          <w:tcPr>
            <w:tcW w:w="60" w:type="dxa"/>
            <w:vAlign w:val="bottom"/>
            <w:tcBorders>
              <w:bottom w:val="single" w:sz="8" w:color="CCFFCC"/>
            </w:tcBorders>
          </w:tcPr>
          <w:p>
            <w:pPr>
              <w:spacing w:after="0"/>
              <w:rPr>
                <w:sz w:val="12"/>
                <w:szCs w:val="12"/>
                <w:color w:val="auto"/>
              </w:rPr>
            </w:pPr>
          </w:p>
        </w:tc>
        <w:tc>
          <w:tcPr>
            <w:tcW w:w="60" w:type="dxa"/>
            <w:vAlign w:val="bottom"/>
            <w:tcBorders>
              <w:bottom w:val="single" w:sz="8" w:color="CCFFCC"/>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(1.26)</w:t>
            </w:r>
          </w:p>
        </w:tc>
        <w:tc>
          <w:tcPr>
            <w:tcW w:w="100" w:type="dxa"/>
            <w:vAlign w:val="bottom"/>
            <w:tcBorders>
              <w:bottom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5140" w:type="dxa"/>
            <w:vAlign w:val="bottom"/>
          </w:tcPr>
          <w:p>
            <w:pPr>
              <w:spacing w:after="0" w:line="130" w:lineRule="exact"/>
              <w:rPr>
                <w:sz w:val="20"/>
                <w:szCs w:val="20"/>
                <w:color w:val="auto"/>
              </w:rPr>
            </w:pPr>
            <w:r>
              <w:rPr>
                <w:rFonts w:ascii="Arial" w:cs="Arial" w:eastAsia="Arial" w:hAnsi="Arial"/>
                <w:sz w:val="14"/>
                <w:szCs w:val="14"/>
                <w:color w:val="auto"/>
                <w:w w:val="96"/>
              </w:rPr>
              <w:t>Net loss per share data presented excludes from the calculation of diluted net loss the</w:t>
            </w: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w w:val="99"/>
              </w:rPr>
              <w:t>following potentially dilutive securities, as of September 30 of the applicable period,</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as they had an anti-dilutive impact:</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5"/>
              </w:rPr>
              <w:t>Both vested and unvested options at $0.96-$5.50 exercise price, to purchase an equal</w:t>
            </w:r>
          </w:p>
        </w:tc>
        <w:tc>
          <w:tcPr>
            <w:tcW w:w="100" w:type="dxa"/>
            <w:vAlign w:val="bottom"/>
            <w:shd w:val="clear" w:color="auto" w:fill="CCFFCC"/>
          </w:tcPr>
          <w:p>
            <w:pPr>
              <w:spacing w:after="0"/>
              <w:rPr>
                <w:sz w:val="11"/>
                <w:szCs w:val="11"/>
                <w:color w:val="auto"/>
              </w:rPr>
            </w:pPr>
          </w:p>
        </w:tc>
        <w:tc>
          <w:tcPr>
            <w:tcW w:w="1060" w:type="dxa"/>
            <w:vAlign w:val="bottom"/>
            <w:vMerge w:val="restart"/>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10,225,387</w:t>
            </w: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vMerge w:val="restart"/>
            <w:shd w:val="clear" w:color="auto" w:fill="CCFFCC"/>
          </w:tcPr>
          <w:p>
            <w:pPr>
              <w:jc w:val="right"/>
              <w:spacing w:after="0"/>
              <w:rPr>
                <w:sz w:val="20"/>
                <w:szCs w:val="20"/>
                <w:color w:val="auto"/>
              </w:rPr>
            </w:pPr>
            <w:r>
              <w:rPr>
                <w:rFonts w:ascii="Arial" w:cs="Arial" w:eastAsia="Arial" w:hAnsi="Arial"/>
                <w:sz w:val="14"/>
                <w:szCs w:val="14"/>
                <w:b w:val="1"/>
                <w:bCs w:val="1"/>
                <w:color w:val="auto"/>
              </w:rPr>
              <w:t>10,225,387</w:t>
            </w: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rPr>
              <w:t>number of shares of common stock of the Company</w:t>
            </w:r>
          </w:p>
        </w:tc>
        <w:tc>
          <w:tcPr>
            <w:tcW w:w="100" w:type="dxa"/>
            <w:vAlign w:val="bottom"/>
            <w:shd w:val="clear" w:color="auto" w:fill="CCFFCC"/>
          </w:tcPr>
          <w:p>
            <w:pPr>
              <w:spacing w:after="0"/>
              <w:rPr>
                <w:sz w:val="14"/>
                <w:szCs w:val="14"/>
                <w:color w:val="auto"/>
              </w:rPr>
            </w:pPr>
          </w:p>
        </w:tc>
        <w:tc>
          <w:tcPr>
            <w:tcW w:w="1060" w:type="dxa"/>
            <w:vAlign w:val="bottom"/>
            <w:vMerge w:val="continue"/>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9,160,429</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vMerge w:val="continue"/>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9,160,429</w:t>
            </w: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10,225,387</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5140" w:type="dxa"/>
            <w:vAlign w:val="bottom"/>
          </w:tcPr>
          <w:p>
            <w:pPr>
              <w:spacing w:after="0" w:line="130" w:lineRule="exact"/>
              <w:rPr>
                <w:sz w:val="20"/>
                <w:szCs w:val="20"/>
                <w:color w:val="auto"/>
              </w:rPr>
            </w:pPr>
            <w:r>
              <w:rPr>
                <w:rFonts w:ascii="Arial" w:cs="Arial" w:eastAsia="Arial" w:hAnsi="Arial"/>
                <w:sz w:val="14"/>
                <w:szCs w:val="14"/>
                <w:color w:val="auto"/>
                <w:w w:val="97"/>
              </w:rPr>
              <w:t>Unvested penny options to purchase an equal number of shares of common stock of</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160" w:type="dxa"/>
            <w:vAlign w:val="bottom"/>
            <w:gridSpan w:val="2"/>
          </w:tcPr>
          <w:p>
            <w:pPr>
              <w:spacing w:after="0"/>
              <w:rPr>
                <w:sz w:val="20"/>
                <w:szCs w:val="20"/>
                <w:color w:val="auto"/>
              </w:rPr>
            </w:pPr>
            <w:r>
              <w:rPr>
                <w:rFonts w:ascii="Arial" w:cs="Arial" w:eastAsia="Arial" w:hAnsi="Arial"/>
                <w:sz w:val="14"/>
                <w:szCs w:val="14"/>
                <w:color w:val="auto"/>
              </w:rPr>
              <w:t>the Company</w:t>
            </w: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30,250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30,250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w w:val="95"/>
              </w:rPr>
              <w:t>Unvested RSUs to issue an equal number of shares of common stock of the Company</w:t>
            </w:r>
          </w:p>
        </w:tc>
        <w:tc>
          <w:tcPr>
            <w:tcW w:w="100" w:type="dxa"/>
            <w:vAlign w:val="bottom"/>
            <w:shd w:val="clear" w:color="auto" w:fill="CCFFCC"/>
          </w:tcPr>
          <w:p>
            <w:pPr>
              <w:spacing w:after="0"/>
              <w:rPr>
                <w:sz w:val="14"/>
                <w:szCs w:val="14"/>
                <w:color w:val="auto"/>
              </w:rPr>
            </w:pPr>
          </w:p>
        </w:tc>
        <w:tc>
          <w:tcPr>
            <w:tcW w:w="1060" w:type="dxa"/>
            <w:vAlign w:val="bottom"/>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2,411,771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3,126,667</w:t>
            </w:r>
          </w:p>
        </w:tc>
        <w:tc>
          <w:tcPr>
            <w:tcW w:w="1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b w:val="1"/>
                <w:bCs w:val="1"/>
                <w:color w:val="auto"/>
              </w:rPr>
              <w:t>2,411,771</w:t>
            </w:r>
          </w:p>
        </w:tc>
        <w:tc>
          <w:tcPr>
            <w:tcW w:w="12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3,126,667</w:t>
            </w: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shd w:val="clear" w:color="auto" w:fill="CCFFCC"/>
          </w:tcPr>
          <w:p>
            <w:pPr>
              <w:spacing w:after="0"/>
              <w:rPr>
                <w:sz w:val="14"/>
                <w:szCs w:val="14"/>
                <w:color w:val="auto"/>
              </w:rPr>
            </w:pPr>
          </w:p>
        </w:tc>
        <w:tc>
          <w:tcPr>
            <w:tcW w:w="10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2,411,771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20"/>
                <w:szCs w:val="20"/>
                <w:color w:val="auto"/>
              </w:rPr>
            </w:pPr>
            <w:r>
              <w:rPr>
                <w:rFonts w:ascii="Arial" w:cs="Arial" w:eastAsia="Arial" w:hAnsi="Arial"/>
                <w:sz w:val="14"/>
                <w:szCs w:val="14"/>
                <w:color w:val="auto"/>
              </w:rPr>
              <w:t>Common stock shares granted, but not yet vested</w:t>
            </w:r>
          </w:p>
        </w:tc>
        <w:tc>
          <w:tcPr>
            <w:tcW w:w="10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rPr>
              <w:t>45,762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108,625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45,762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108,625</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45,762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4"/>
                <w:szCs w:val="14"/>
                <w:color w:val="auto"/>
                <w:w w:val="99"/>
              </w:rPr>
              <w:t>Warrants to purchase an equal number of shares of common stock of the Company</w:t>
            </w:r>
          </w:p>
        </w:tc>
        <w:tc>
          <w:tcPr>
            <w:tcW w:w="10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b w:val="1"/>
                <w:bCs w:val="1"/>
                <w:color w:val="auto"/>
              </w:rPr>
              <w:t>15,829,262</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12,814,533</w:t>
            </w:r>
          </w:p>
        </w:tc>
        <w:tc>
          <w:tcPr>
            <w:tcW w:w="120" w:type="dxa"/>
            <w:vAlign w:val="bottom"/>
            <w:shd w:val="clear" w:color="auto" w:fill="CCFFCC"/>
          </w:tcPr>
          <w:p>
            <w:pPr>
              <w:spacing w:after="0"/>
              <w:rPr>
                <w:sz w:val="14"/>
                <w:szCs w:val="14"/>
                <w:color w:val="auto"/>
              </w:rPr>
            </w:pPr>
          </w:p>
        </w:tc>
        <w:tc>
          <w:tcPr>
            <w:tcW w:w="100" w:type="dxa"/>
            <w:vAlign w:val="bottom"/>
            <w:tcBorders>
              <w:bottom w:val="single" w:sz="8" w:color="auto"/>
            </w:tcBorders>
            <w:shd w:val="clear" w:color="auto" w:fill="CCFFCC"/>
          </w:tcPr>
          <w:p>
            <w:pPr>
              <w:spacing w:after="0"/>
              <w:rPr>
                <w:sz w:val="14"/>
                <w:szCs w:val="14"/>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b w:val="1"/>
                <w:bCs w:val="1"/>
                <w:color w:val="auto"/>
              </w:rPr>
              <w:t>18,289,611</w:t>
            </w:r>
          </w:p>
        </w:tc>
        <w:tc>
          <w:tcPr>
            <w:tcW w:w="120" w:type="dxa"/>
            <w:vAlign w:val="bottom"/>
            <w:shd w:val="clear" w:color="auto" w:fill="CCFFCC"/>
          </w:tcPr>
          <w:p>
            <w:pPr>
              <w:spacing w:after="0"/>
              <w:rPr>
                <w:sz w:val="14"/>
                <w:szCs w:val="14"/>
                <w:color w:val="auto"/>
              </w:rPr>
            </w:pPr>
          </w:p>
        </w:tc>
        <w:tc>
          <w:tcPr>
            <w:tcW w:w="240" w:type="dxa"/>
            <w:vAlign w:val="bottom"/>
            <w:tcBorders>
              <w:bottom w:val="single" w:sz="8" w:color="auto"/>
            </w:tcBorders>
            <w:shd w:val="clear" w:color="auto" w:fill="CCFFCC"/>
          </w:tcPr>
          <w:p>
            <w:pPr>
              <w:spacing w:after="0"/>
              <w:rPr>
                <w:sz w:val="14"/>
                <w:szCs w:val="14"/>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12,814,533</w:t>
            </w:r>
          </w:p>
        </w:tc>
        <w:tc>
          <w:tcPr>
            <w:tcW w:w="60" w:type="dxa"/>
            <w:vAlign w:val="bottom"/>
            <w:shd w:val="clear" w:color="auto" w:fill="CCFFCC"/>
          </w:tcPr>
          <w:p>
            <w:pPr>
              <w:spacing w:after="0"/>
              <w:rPr>
                <w:sz w:val="14"/>
                <w:szCs w:val="14"/>
                <w:color w:val="auto"/>
              </w:rPr>
            </w:pPr>
          </w:p>
        </w:tc>
        <w:tc>
          <w:tcPr>
            <w:tcW w:w="60" w:type="dxa"/>
            <w:vAlign w:val="bottom"/>
            <w:shd w:val="clear" w:color="auto" w:fill="CCFFCC"/>
          </w:tcPr>
          <w:p>
            <w:pPr>
              <w:spacing w:after="0"/>
              <w:rPr>
                <w:sz w:val="14"/>
                <w:szCs w:val="14"/>
                <w:color w:val="auto"/>
              </w:rPr>
            </w:pPr>
          </w:p>
        </w:tc>
        <w:tc>
          <w:tcPr>
            <w:tcW w:w="80" w:type="dxa"/>
            <w:vAlign w:val="bottom"/>
            <w:tcBorders>
              <w:bottom w:val="single" w:sz="8" w:color="auto"/>
            </w:tcBorders>
            <w:shd w:val="clear" w:color="auto" w:fill="CCFFCC"/>
          </w:tcPr>
          <w:p>
            <w:pPr>
              <w:spacing w:after="0"/>
              <w:rPr>
                <w:sz w:val="14"/>
                <w:szCs w:val="14"/>
                <w:color w:val="auto"/>
              </w:rPr>
            </w:pPr>
          </w:p>
        </w:tc>
        <w:tc>
          <w:tcPr>
            <w:tcW w:w="10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15,115,357</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140" w:type="dxa"/>
            <w:vAlign w:val="bottom"/>
          </w:tcPr>
          <w:p>
            <w:pPr>
              <w:spacing w:after="0" w:line="106" w:lineRule="exact"/>
              <w:rPr>
                <w:sz w:val="20"/>
                <w:szCs w:val="20"/>
                <w:color w:val="auto"/>
              </w:rPr>
            </w:pPr>
            <w:r>
              <w:rPr>
                <w:rFonts w:ascii="Arial" w:cs="Arial" w:eastAsia="Arial" w:hAnsi="Arial"/>
                <w:sz w:val="12"/>
                <w:szCs w:val="12"/>
                <w:b w:val="1"/>
                <w:bCs w:val="1"/>
                <w:color w:val="auto"/>
              </w:rPr>
              <w:t>Total number of potentially dilutive instruments, excluded from the calculation of</w:t>
            </w:r>
          </w:p>
        </w:tc>
        <w:tc>
          <w:tcPr>
            <w:tcW w:w="100" w:type="dxa"/>
            <w:vAlign w:val="bottom"/>
          </w:tcPr>
          <w:p>
            <w:pPr>
              <w:spacing w:after="0"/>
              <w:rPr>
                <w:sz w:val="9"/>
                <w:szCs w:val="9"/>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28,512,182</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30,972,531</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5160" w:type="dxa"/>
            <w:vAlign w:val="bottom"/>
            <w:gridSpan w:val="2"/>
          </w:tcPr>
          <w:p>
            <w:pPr>
              <w:spacing w:after="0"/>
              <w:rPr>
                <w:sz w:val="20"/>
                <w:szCs w:val="20"/>
                <w:color w:val="auto"/>
              </w:rPr>
            </w:pPr>
            <w:r>
              <w:rPr>
                <w:rFonts w:ascii="Arial" w:cs="Arial" w:eastAsia="Arial" w:hAnsi="Arial"/>
                <w:sz w:val="14"/>
                <w:szCs w:val="14"/>
                <w:b w:val="1"/>
                <w:bCs w:val="1"/>
                <w:color w:val="auto"/>
              </w:rPr>
              <w:t>net loss per share:</w:t>
            </w: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25,240,504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25,240,504</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27,798,277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ind w:left="80"/>
              <w:spacing w:after="0"/>
              <w:rPr>
                <w:sz w:val="20"/>
                <w:szCs w:val="20"/>
                <w:color w:val="auto"/>
              </w:rPr>
            </w:pPr>
            <w:r>
              <w:rPr>
                <w:rFonts w:ascii="Arial" w:cs="Arial" w:eastAsia="Arial" w:hAnsi="Arial"/>
                <w:sz w:val="18"/>
                <w:szCs w:val="18"/>
                <w:b w:val="1"/>
                <w:bCs w:val="1"/>
                <w:color w:val="auto"/>
              </w:rPr>
              <w:t>Note 3. Intangible Assets</w:t>
            </w: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940" w:type="dxa"/>
            <w:vAlign w:val="bottom"/>
            <w:gridSpan w:val="4"/>
          </w:tcPr>
          <w:p>
            <w:pPr>
              <w:ind w:left="1280"/>
              <w:spacing w:after="0"/>
              <w:rPr>
                <w:sz w:val="20"/>
                <w:szCs w:val="20"/>
                <w:color w:val="auto"/>
              </w:rPr>
            </w:pPr>
            <w:r>
              <w:rPr>
                <w:rFonts w:ascii="Arial" w:cs="Arial" w:eastAsia="Arial" w:hAnsi="Arial"/>
                <w:sz w:val="18"/>
                <w:szCs w:val="18"/>
                <w:b w:val="1"/>
                <w:bCs w:val="1"/>
                <w:color w:val="auto"/>
                <w:w w:val="94"/>
              </w:rPr>
              <w:t>As of September 30,</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0"/>
              </w:rPr>
              <w:t>As of December 31,</w:t>
            </w:r>
          </w:p>
        </w:tc>
        <w:tc>
          <w:tcPr>
            <w:tcW w:w="80" w:type="dxa"/>
            <w:vAlign w:val="bottom"/>
          </w:tcPr>
          <w:p>
            <w:pPr>
              <w:spacing w:after="0"/>
              <w:rPr>
                <w:sz w:val="24"/>
                <w:szCs w:val="24"/>
                <w:color w:val="auto"/>
              </w:rPr>
            </w:pPr>
          </w:p>
        </w:tc>
        <w:tc>
          <w:tcPr>
            <w:tcW w:w="2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20"/>
                <w:szCs w:val="20"/>
                <w:color w:val="auto"/>
              </w:rPr>
            </w:pPr>
          </w:p>
        </w:tc>
        <w:tc>
          <w:tcPr>
            <w:tcW w:w="22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amortization period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Acquired technology (see Note 5)</w:t>
            </w:r>
          </w:p>
        </w:tc>
        <w:tc>
          <w:tcPr>
            <w:tcW w:w="12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10,133</w:t>
            </w:r>
          </w:p>
        </w:tc>
        <w:tc>
          <w:tcPr>
            <w:tcW w:w="80" w:type="dxa"/>
            <w:vAlign w:val="bottom"/>
            <w:tcBorders>
              <w:top w:val="single" w:sz="8" w:color="CCFFCC"/>
            </w:tcBorders>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10,133</w:t>
            </w:r>
          </w:p>
        </w:tc>
        <w:tc>
          <w:tcPr>
            <w:tcW w:w="80" w:type="dxa"/>
            <w:vAlign w:val="bottom"/>
            <w:tcBorders>
              <w:top w:val="single" w:sz="8" w:color="CCFFCC"/>
            </w:tcBorders>
            <w:shd w:val="clear" w:color="auto" w:fill="CCFFCC"/>
          </w:tcPr>
          <w:p>
            <w:pPr>
              <w:spacing w:after="0"/>
              <w:rPr>
                <w:sz w:val="18"/>
                <w:szCs w:val="18"/>
                <w:color w:val="auto"/>
              </w:rPr>
            </w:pPr>
          </w:p>
        </w:tc>
        <w:tc>
          <w:tcPr>
            <w:tcW w:w="21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7"/>
              </w:rPr>
              <w:t>6.0</w:t>
            </w:r>
          </w:p>
        </w:tc>
        <w:tc>
          <w:tcPr>
            <w:tcW w:w="10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FFCC"/>
            </w:tcBorders>
          </w:tcPr>
          <w:p>
            <w:pPr>
              <w:spacing w:after="0"/>
              <w:rPr>
                <w:sz w:val="20"/>
                <w:szCs w:val="20"/>
                <w:color w:val="auto"/>
              </w:rPr>
            </w:pPr>
            <w:r>
              <w:rPr>
                <w:rFonts w:ascii="Arial" w:cs="Arial" w:eastAsia="Arial" w:hAnsi="Arial"/>
                <w:sz w:val="18"/>
                <w:szCs w:val="18"/>
                <w:color w:val="auto"/>
              </w:rPr>
              <w:t>Patents</w:t>
            </w:r>
          </w:p>
        </w:tc>
        <w:tc>
          <w:tcPr>
            <w:tcW w:w="12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26,794</w:t>
            </w:r>
          </w:p>
        </w:tc>
        <w:tc>
          <w:tcPr>
            <w:tcW w:w="80" w:type="dxa"/>
            <w:vAlign w:val="bottom"/>
            <w:tcBorders>
              <w:bottom w:val="single" w:sz="8" w:color="CCFFC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26,694</w:t>
            </w:r>
          </w:p>
        </w:tc>
        <w:tc>
          <w:tcPr>
            <w:tcW w:w="2200" w:type="dxa"/>
            <w:vAlign w:val="bottom"/>
            <w:tcBorders>
              <w:bottom w:val="single" w:sz="8" w:color="CCFFCC"/>
            </w:tcBorders>
            <w:gridSpan w:val="2"/>
          </w:tcPr>
          <w:p>
            <w:pPr>
              <w:jc w:val="center"/>
              <w:ind w:left="10"/>
              <w:spacing w:after="0"/>
              <w:rPr>
                <w:sz w:val="20"/>
                <w:szCs w:val="20"/>
                <w:color w:val="auto"/>
              </w:rPr>
            </w:pPr>
            <w:r>
              <w:rPr>
                <w:rFonts w:ascii="Arial" w:cs="Arial" w:eastAsia="Arial" w:hAnsi="Arial"/>
                <w:sz w:val="18"/>
                <w:szCs w:val="18"/>
                <w:color w:val="auto"/>
                <w:w w:val="87"/>
              </w:rPr>
              <w:t>8.5</w:t>
            </w:r>
          </w:p>
        </w:tc>
        <w:tc>
          <w:tcPr>
            <w:tcW w:w="10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36,927</w:t>
            </w:r>
          </w:p>
        </w:tc>
        <w:tc>
          <w:tcPr>
            <w:tcW w:w="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36,827</w:t>
            </w:r>
          </w:p>
        </w:tc>
        <w:tc>
          <w:tcPr>
            <w:tcW w:w="8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FFCC"/>
          </w:tcPr>
          <w:p>
            <w:pPr>
              <w:spacing w:after="0"/>
              <w:rPr>
                <w:sz w:val="20"/>
                <w:szCs w:val="20"/>
                <w:color w:val="auto"/>
              </w:rPr>
            </w:pPr>
            <w:r>
              <w:rPr>
                <w:rFonts w:ascii="Arial" w:cs="Arial" w:eastAsia="Arial" w:hAnsi="Arial"/>
                <w:sz w:val="18"/>
                <w:szCs w:val="18"/>
                <w:color w:val="auto"/>
              </w:rPr>
              <w:t>Less: accumulated amortization</w:t>
            </w:r>
          </w:p>
        </w:tc>
        <w:tc>
          <w:tcPr>
            <w:tcW w:w="12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(6,567)</w:t>
            </w:r>
          </w:p>
        </w:tc>
        <w:tc>
          <w:tcPr>
            <w:tcW w:w="340" w:type="dxa"/>
            <w:vAlign w:val="bottom"/>
            <w:shd w:val="clear" w:color="auto" w:fill="CCFFCC"/>
          </w:tcPr>
          <w:p>
            <w:pPr>
              <w:spacing w:after="0"/>
              <w:rPr>
                <w:sz w:val="18"/>
                <w:szCs w:val="18"/>
                <w:color w:val="auto"/>
              </w:rPr>
            </w:pP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(2,783)</w:t>
            </w:r>
          </w:p>
        </w:tc>
        <w:tc>
          <w:tcPr>
            <w:tcW w:w="80" w:type="dxa"/>
            <w:vAlign w:val="bottom"/>
            <w:shd w:val="clear" w:color="auto" w:fill="CCFFCC"/>
          </w:tcPr>
          <w:p>
            <w:pPr>
              <w:spacing w:after="0"/>
              <w:rPr>
                <w:sz w:val="18"/>
                <w:szCs w:val="18"/>
                <w:color w:val="auto"/>
              </w:rPr>
            </w:pPr>
          </w:p>
        </w:tc>
        <w:tc>
          <w:tcPr>
            <w:tcW w:w="2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30,360</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34,044</w:t>
            </w:r>
          </w:p>
        </w:tc>
        <w:tc>
          <w:tcPr>
            <w:tcW w:w="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June 2011, prior to the Merger, the Company’s subsidiary acquired patents from Lycos, Inc. The gross carrying amount of those patents is comprised of the original purchase price of $3,200 and $196 of associated patent acquisition costs.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August 2012, the Company purchased from Nokia Corporation a portfolio consisting of various patents and patent applications. The portfolio encompasses a broad range of technologies relating to telecom infrastructure, including communication management, data and signal transmission, mobility management, radio resources management and services. The total consideration paid for the portfolio was $22,000. In addition, the Company capitalized certain costs related to the acquisition of patents in the total amount of $548. Under the terms of the purchase agreement, to the extent that the gross revenue generated by such portfolio exceeds $22,000, the Company is obligated to pay a royalty of 35% of such excess. The Company has not recorded any amounts in respect of this contingent consideration, as both the amounts of future potential revenue, if any, and the timing of such revenue cannot be reliably estimated.</w:t>
      </w:r>
    </w:p>
    <w:p>
      <w:pPr>
        <w:spacing w:after="0" w:line="18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October 2012, the Company’s subsidiary entered into an additional patent purchase agreement. As partial consideration, the Company issued 160,600 shares of common stock to the seller with a fair value of $750. In addition, under the terms of the purchase agreement, 20% of the gross revenue collected will be payable to the seller as a royalty. The Company has not recorded any amounts in respect of this contingent consideration, as both the amounts of future potential revenue, if any, and the timing of such revenue cannot be reliably estimated.</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three and nine month periods ended September 30, 2013, the Company recorded amortization expense of $1,269 and $3,784, respectively. During the three and nine month periods ended September 30, 2012, the Company recorded amortization expense of $880 and $1,190, respectively. During the period from June 8, 2011 (“Inception”) through September 30, 2013, total amortization expense of $6,567 was recorded. Estimated amortization expense for each of the five succeeding years, based upon intangible assets owned at September 30, 2013 is as follows:</w:t>
      </w:r>
    </w:p>
    <w:p>
      <w:pPr>
        <w:spacing w:after="0" w:line="167" w:lineRule="exact"/>
        <w:rPr>
          <w:sz w:val="20"/>
          <w:szCs w:val="20"/>
          <w:color w:val="auto"/>
        </w:rPr>
      </w:pPr>
    </w:p>
    <w:tbl>
      <w:tblPr>
        <w:tblLayout w:type="fixed"/>
        <w:tblInd w:w="980" w:type="dxa"/>
        <w:tblCellMar>
          <w:top w:w="0" w:type="dxa"/>
          <w:left w:w="0" w:type="dxa"/>
          <w:bottom w:w="0" w:type="dxa"/>
          <w:right w:w="0" w:type="dxa"/>
        </w:tblCellMar>
      </w:tblPr>
      <w:tr>
        <w:trPr>
          <w:trHeight w:val="234"/>
        </w:trPr>
        <w:tc>
          <w:tcPr>
            <w:tcW w:w="452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Period ending December 31,</w:t>
            </w:r>
          </w:p>
        </w:tc>
        <w:tc>
          <w:tcPr>
            <w:tcW w:w="20" w:type="dxa"/>
            <w:vAlign w:val="bottom"/>
            <w:tcBorders>
              <w:bottom w:val="single" w:sz="8" w:color="CCFFC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2013 (three months ending December 31, 2013)</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5,009</w:t>
            </w: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5,009</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4,618</w:t>
            </w:r>
          </w:p>
        </w:tc>
      </w:tr>
      <w:tr>
        <w:trPr>
          <w:trHeight w:val="216"/>
        </w:trPr>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2017 and thereafter</w:t>
            </w:r>
          </w:p>
        </w:tc>
        <w:tc>
          <w:tcPr>
            <w:tcW w:w="20" w:type="dxa"/>
            <w:vAlign w:val="bottom"/>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14,467</w:t>
            </w:r>
          </w:p>
        </w:tc>
      </w:tr>
      <w:tr>
        <w:trPr>
          <w:trHeight w:val="210"/>
        </w:trPr>
        <w:tc>
          <w:tcPr>
            <w:tcW w:w="45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30,360</w:t>
            </w:r>
          </w:p>
        </w:tc>
      </w:tr>
      <w:tr>
        <w:trPr>
          <w:trHeight w:val="20"/>
        </w:trPr>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4. Fair Value Measurements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measures fair value in accordance with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(formerly SFAS 157,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Measurements</w:t>
      </w:r>
      <w:r>
        <w:rPr>
          <w:rFonts w:ascii="Arial" w:cs="Arial" w:eastAsia="Arial" w:hAnsi="Arial"/>
          <w:sz w:val="17"/>
          <w:szCs w:val="17"/>
          <w:color w:val="auto"/>
        </w:rPr>
        <w:t>”). ASC 820-10 clarifies that fair value is an exit price, representing the amount that would be received by selling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As such, fair value is a market-based measurement that should be determined based on assumptions that market participants would use in pricing an asset or a liability. As a basis for considering such assumptions, ASC 820-10 establishes a three-tier value hierarchy, which prioritizes the inputs used in the valuation methodologies in measuring fair value: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 1 Inputs</w:t>
      </w:r>
      <w:r>
        <w:rPr>
          <w:rFonts w:ascii="Arial" w:cs="Arial" w:eastAsia="Arial" w:hAnsi="Arial"/>
          <w:sz w:val="17"/>
          <w:szCs w:val="17"/>
          <w:color w:val="auto"/>
        </w:rPr>
        <w:t>: Unadjusted quoted prices in active markets for identical assets or liabilities accessible to the reporting entity at the measurement date.</w:t>
      </w:r>
    </w:p>
    <w:p>
      <w:pPr>
        <w:spacing w:after="0" w:line="23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Level 2 Inputs</w:t>
      </w:r>
      <w:r>
        <w:rPr>
          <w:rFonts w:ascii="Arial" w:cs="Arial" w:eastAsia="Arial" w:hAnsi="Arial"/>
          <w:sz w:val="18"/>
          <w:szCs w:val="18"/>
          <w:color w:val="auto"/>
        </w:rPr>
        <w:t>: Inputs are based upon quoted prices for similar instruments in active markets, quoted prices for identical or similar instruments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and model-based valuation techniques for which all significant inputs are observable in the market or can be corroborated by observable market data for substantially the full term of the assets or liabilities.</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Level 3 Inputs: </w:t>
      </w:r>
      <w:r>
        <w:rPr>
          <w:rFonts w:ascii="Arial" w:cs="Arial" w:eastAsia="Arial" w:hAnsi="Arial"/>
          <w:sz w:val="17"/>
          <w:szCs w:val="17"/>
          <w:color w:val="auto"/>
        </w:rPr>
        <w:t>Unobservable inputs for the asset or liability used to measure fair value to the extent that observable inputs are not available, thereby</w:t>
      </w:r>
      <w:r>
        <w:rPr>
          <w:rFonts w:ascii="Arial" w:cs="Arial" w:eastAsia="Arial" w:hAnsi="Arial"/>
          <w:sz w:val="17"/>
          <w:szCs w:val="17"/>
          <w:b w:val="1"/>
          <w:bCs w:val="1"/>
          <w:color w:val="auto"/>
        </w:rPr>
        <w:t xml:space="preserve"> </w:t>
      </w:r>
      <w:r>
        <w:rPr>
          <w:rFonts w:ascii="Arial" w:cs="Arial" w:eastAsia="Arial" w:hAnsi="Arial"/>
          <w:sz w:val="17"/>
          <w:szCs w:val="17"/>
          <w:color w:val="auto"/>
        </w:rPr>
        <w:t>allowing for situations in which there is little, if any, market activity for the asset or liability at measurement date. The fair value hierarchy also requires an entity to maximize the use of observable inputs and minimize the use of unobservable inputs when measuring fair value.</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measures its derivative liabilities at fair value. The Special Bridge Warrants, Conversion Warrants, Preferential Reload Warrants and majority of Series 1 Warrants (as they are defined in Note 6) are classified within Level 3 because they are valued using the Black-Scholes-Merton and the Monte-Carlo models (as these warrants include down-round protection clauses), which utilize significant inputs that are unobservable in the market.</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Company’s assets and liabilities measured at fair value on a recurring basis as of September 30, 2013 and December 31, 2012, aggregated by the level in the fair-value hierarchy within which those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60" w:type="dxa"/>
            <w:vAlign w:val="bottom"/>
            <w:gridSpan w:val="7"/>
          </w:tcPr>
          <w:p>
            <w:pPr>
              <w:ind w:left="1080"/>
              <w:spacing w:after="0"/>
              <w:rPr>
                <w:sz w:val="20"/>
                <w:szCs w:val="20"/>
                <w:color w:val="auto"/>
              </w:rPr>
            </w:pPr>
            <w:r>
              <w:rPr>
                <w:rFonts w:ascii="Arial" w:cs="Arial" w:eastAsia="Arial" w:hAnsi="Arial"/>
                <w:sz w:val="16"/>
                <w:szCs w:val="16"/>
                <w:b w:val="1"/>
                <w:bCs w:val="1"/>
                <w:color w:val="auto"/>
              </w:rPr>
              <w:t>Fair value measurement at reporting date using</w:t>
            </w:r>
          </w:p>
        </w:tc>
      </w:tr>
      <w:tr>
        <w:trPr>
          <w:trHeight w:val="185"/>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1"/>
              </w:rPr>
              <w:t>Quoted prices in</w:t>
            </w:r>
          </w:p>
        </w:tc>
        <w:tc>
          <w:tcPr>
            <w:tcW w:w="1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active markets</w:t>
            </w:r>
          </w:p>
        </w:tc>
        <w:tc>
          <w:tcPr>
            <w:tcW w:w="2180" w:type="dxa"/>
            <w:vAlign w:val="bottom"/>
            <w:gridSpan w:val="3"/>
          </w:tcPr>
          <w:p>
            <w:pPr>
              <w:jc w:val="center"/>
              <w:ind w:right="184"/>
              <w:spacing w:after="0"/>
              <w:rPr>
                <w:sz w:val="20"/>
                <w:szCs w:val="20"/>
                <w:color w:val="auto"/>
              </w:rPr>
            </w:pPr>
            <w:r>
              <w:rPr>
                <w:rFonts w:ascii="Arial" w:cs="Arial" w:eastAsia="Arial" w:hAnsi="Arial"/>
                <w:sz w:val="16"/>
                <w:szCs w:val="16"/>
                <w:b w:val="1"/>
                <w:bCs w:val="1"/>
                <w:color w:val="auto"/>
                <w:w w:val="91"/>
              </w:rPr>
              <w:t>Significant other</w:t>
            </w: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Significant</w:t>
            </w:r>
          </w:p>
        </w:tc>
      </w:tr>
      <w:tr>
        <w:trPr>
          <w:trHeight w:val="203"/>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identical</w:t>
            </w:r>
          </w:p>
        </w:tc>
        <w:tc>
          <w:tcPr>
            <w:tcW w:w="2180" w:type="dxa"/>
            <w:vAlign w:val="bottom"/>
            <w:gridSpan w:val="3"/>
          </w:tcPr>
          <w:p>
            <w:pPr>
              <w:jc w:val="center"/>
              <w:ind w:right="164"/>
              <w:spacing w:after="0"/>
              <w:rPr>
                <w:sz w:val="20"/>
                <w:szCs w:val="20"/>
                <w:color w:val="auto"/>
              </w:rPr>
            </w:pPr>
            <w:r>
              <w:rPr>
                <w:rFonts w:ascii="Arial" w:cs="Arial" w:eastAsia="Arial" w:hAnsi="Arial"/>
                <w:sz w:val="16"/>
                <w:szCs w:val="16"/>
                <w:b w:val="1"/>
                <w:bCs w:val="1"/>
                <w:color w:val="auto"/>
                <w:w w:val="87"/>
              </w:rPr>
              <w:t>observable</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unobservable</w:t>
            </w:r>
          </w:p>
        </w:tc>
      </w:tr>
      <w:tr>
        <w:trPr>
          <w:trHeight w:val="210"/>
        </w:trPr>
        <w:tc>
          <w:tcPr>
            <w:tcW w:w="4360" w:type="dxa"/>
            <w:vAlign w:val="bottom"/>
          </w:tcPr>
          <w:p>
            <w:pPr>
              <w:spacing w:after="0"/>
              <w:rPr>
                <w:sz w:val="20"/>
                <w:szCs w:val="20"/>
                <w:color w:val="auto"/>
              </w:rPr>
            </w:pPr>
            <w:r>
              <w:rPr>
                <w:rFonts w:ascii="Arial" w:cs="Arial" w:eastAsia="Arial" w:hAnsi="Arial"/>
                <w:sz w:val="16"/>
                <w:szCs w:val="16"/>
                <w:b w:val="1"/>
                <w:bCs w:val="1"/>
                <w:color w:val="auto"/>
              </w:rPr>
              <w:t>Derivative liabilities on account of warrants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ind w:left="140"/>
              <w:spacing w:after="0"/>
              <w:rPr>
                <w:sz w:val="20"/>
                <w:szCs w:val="20"/>
                <w:color w:val="auto"/>
              </w:rPr>
            </w:pPr>
            <w:r>
              <w:rPr>
                <w:rFonts w:ascii="Arial" w:cs="Arial" w:eastAsia="Arial" w:hAnsi="Arial"/>
                <w:sz w:val="16"/>
                <w:szCs w:val="16"/>
                <w:b w:val="1"/>
                <w:bCs w:val="1"/>
                <w:color w:val="auto"/>
              </w:rPr>
              <w:t>Balance</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assets (Level 1)</w:t>
            </w:r>
          </w:p>
        </w:tc>
        <w:tc>
          <w:tcPr>
            <w:tcW w:w="2180" w:type="dxa"/>
            <w:vAlign w:val="bottom"/>
            <w:gridSpan w:val="3"/>
          </w:tcPr>
          <w:p>
            <w:pPr>
              <w:jc w:val="center"/>
              <w:ind w:right="184"/>
              <w:spacing w:after="0"/>
              <w:rPr>
                <w:sz w:val="20"/>
                <w:szCs w:val="20"/>
                <w:color w:val="auto"/>
              </w:rPr>
            </w:pPr>
            <w:r>
              <w:rPr>
                <w:rFonts w:ascii="Arial" w:cs="Arial" w:eastAsia="Arial" w:hAnsi="Arial"/>
                <w:sz w:val="16"/>
                <w:szCs w:val="16"/>
                <w:b w:val="1"/>
                <w:bCs w:val="1"/>
                <w:color w:val="auto"/>
                <w:w w:val="91"/>
              </w:rPr>
              <w:t>inputs (Level 2)</w:t>
            </w: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inputs (Level 3)</w:t>
            </w:r>
          </w:p>
        </w:tc>
      </w:tr>
      <w:tr>
        <w:trPr>
          <w:trHeight w:val="202"/>
        </w:trPr>
        <w:tc>
          <w:tcPr>
            <w:tcW w:w="4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6"/>
                <w:szCs w:val="16"/>
                <w:b w:val="1"/>
                <w:bCs w:val="1"/>
                <w:color w:val="auto"/>
              </w:rPr>
              <w:t>As of September 30, 2013</w:t>
            </w:r>
          </w:p>
        </w:tc>
        <w:tc>
          <w:tcPr>
            <w:tcW w:w="120" w:type="dxa"/>
            <w:vAlign w:val="bottom"/>
            <w:tcBorders>
              <w:top w:val="single" w:sz="8" w:color="CCFFCC"/>
            </w:tcBorders>
            <w:shd w:val="clear" w:color="auto" w:fill="CCFFCC"/>
          </w:tcPr>
          <w:p>
            <w:pPr>
              <w:spacing w:after="0"/>
              <w:rPr>
                <w:sz w:val="17"/>
                <w:szCs w:val="17"/>
                <w:color w:val="auto"/>
              </w:rPr>
            </w:pPr>
          </w:p>
        </w:tc>
        <w:tc>
          <w:tcPr>
            <w:tcW w:w="220" w:type="dxa"/>
            <w:vAlign w:val="bottom"/>
            <w:tcBorders>
              <w:top w:val="single" w:sz="8" w:color="auto"/>
            </w:tcBorders>
            <w:shd w:val="clear" w:color="auto" w:fill="CCFFCC"/>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4,126</w:t>
            </w:r>
          </w:p>
        </w:tc>
        <w:tc>
          <w:tcPr>
            <w:tcW w:w="120" w:type="dxa"/>
            <w:vAlign w:val="bottom"/>
            <w:tcBorders>
              <w:top w:val="single" w:sz="8" w:color="CCFFCC"/>
            </w:tcBorders>
            <w:shd w:val="clear" w:color="auto" w:fill="CCFFCC"/>
          </w:tcPr>
          <w:p>
            <w:pPr>
              <w:spacing w:after="0"/>
              <w:rPr>
                <w:sz w:val="17"/>
                <w:szCs w:val="17"/>
                <w:color w:val="auto"/>
              </w:rPr>
            </w:pPr>
          </w:p>
        </w:tc>
        <w:tc>
          <w:tcPr>
            <w:tcW w:w="1840" w:type="dxa"/>
            <w:vAlign w:val="bottom"/>
            <w:tcBorders>
              <w:top w:val="single" w:sz="8" w:color="auto"/>
            </w:tcBorders>
            <w:shd w:val="clear" w:color="auto" w:fill="CCFFCC"/>
          </w:tcPr>
          <w:p>
            <w:pPr>
              <w:ind w:left="16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FFCC"/>
            </w:tcBorders>
            <w:shd w:val="clear" w:color="auto" w:fill="CCFFCC"/>
          </w:tcPr>
          <w:p>
            <w:pPr>
              <w:spacing w:after="0"/>
              <w:rPr>
                <w:sz w:val="17"/>
                <w:szCs w:val="17"/>
                <w:color w:val="auto"/>
              </w:rPr>
            </w:pPr>
          </w:p>
        </w:tc>
        <w:tc>
          <w:tcPr>
            <w:tcW w:w="1940" w:type="dxa"/>
            <w:vAlign w:val="bottom"/>
            <w:tcBorders>
              <w:top w:val="single" w:sz="8" w:color="auto"/>
            </w:tcBorders>
            <w:shd w:val="clear" w:color="auto" w:fill="CCFFCC"/>
          </w:tcPr>
          <w:p>
            <w:pPr>
              <w:ind w:left="170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FFCC"/>
            </w:tcBorders>
            <w:shd w:val="clear" w:color="auto" w:fill="CCFFCC"/>
          </w:tcPr>
          <w:p>
            <w:pPr>
              <w:spacing w:after="0"/>
              <w:rPr>
                <w:sz w:val="17"/>
                <w:szCs w:val="17"/>
                <w:color w:val="auto"/>
              </w:rPr>
            </w:pPr>
          </w:p>
        </w:tc>
        <w:tc>
          <w:tcPr>
            <w:tcW w:w="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4,126</w:t>
            </w:r>
          </w:p>
        </w:tc>
        <w:tc>
          <w:tcPr>
            <w:tcW w:w="100" w:type="dxa"/>
            <w:vAlign w:val="bottom"/>
            <w:tcBorders>
              <w:top w:val="single" w:sz="8" w:color="CCFFCC"/>
            </w:tcBorders>
            <w:shd w:val="clear" w:color="auto" w:fill="CCFFCC"/>
          </w:tcPr>
          <w:p>
            <w:pPr>
              <w:spacing w:after="0"/>
              <w:rPr>
                <w:sz w:val="17"/>
                <w:szCs w:val="17"/>
                <w:color w:val="auto"/>
              </w:rPr>
            </w:pPr>
          </w:p>
        </w:tc>
      </w:tr>
      <w:tr>
        <w:trPr>
          <w:trHeight w:val="210"/>
        </w:trPr>
        <w:tc>
          <w:tcPr>
            <w:tcW w:w="4360" w:type="dxa"/>
            <w:vAlign w:val="bottom"/>
          </w:tcPr>
          <w:p>
            <w:pPr>
              <w:spacing w:after="0"/>
              <w:rPr>
                <w:sz w:val="20"/>
                <w:szCs w:val="20"/>
                <w:color w:val="auto"/>
              </w:rPr>
            </w:pPr>
            <w:r>
              <w:rPr>
                <w:rFonts w:ascii="Arial" w:cs="Arial" w:eastAsia="Arial" w:hAnsi="Arial"/>
                <w:sz w:val="16"/>
                <w:szCs w:val="16"/>
                <w:b w:val="1"/>
                <w:bCs w:val="1"/>
                <w:color w:val="auto"/>
              </w:rPr>
              <w:t>As of December 31, 2012</w:t>
            </w:r>
          </w:p>
        </w:tc>
        <w:tc>
          <w:tcPr>
            <w:tcW w:w="340" w:type="dxa"/>
            <w:vAlign w:val="bottom"/>
            <w:gridSpan w:val="2"/>
          </w:tcPr>
          <w:p>
            <w:pPr>
              <w:jc w:val="right"/>
              <w:ind w:right="64"/>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7,612</w:t>
            </w:r>
          </w:p>
        </w:tc>
        <w:tc>
          <w:tcPr>
            <w:tcW w:w="120" w:type="dxa"/>
            <w:vAlign w:val="bottom"/>
          </w:tcPr>
          <w:p>
            <w:pPr>
              <w:spacing w:after="0"/>
              <w:rPr>
                <w:sz w:val="18"/>
                <w:szCs w:val="18"/>
                <w:color w:val="auto"/>
              </w:rPr>
            </w:pPr>
          </w:p>
        </w:tc>
        <w:tc>
          <w:tcPr>
            <w:tcW w:w="1940" w:type="dxa"/>
            <w:vAlign w:val="bottom"/>
            <w:gridSpan w:val="2"/>
          </w:tcPr>
          <w:p>
            <w:pPr>
              <w:ind w:left="1600"/>
              <w:spacing w:after="0"/>
              <w:rPr>
                <w:sz w:val="20"/>
                <w:szCs w:val="20"/>
                <w:color w:val="auto"/>
              </w:rPr>
            </w:pPr>
            <w:r>
              <w:rPr>
                <w:rFonts w:ascii="Arial" w:cs="Arial" w:eastAsia="Arial" w:hAnsi="Arial"/>
                <w:sz w:val="16"/>
                <w:szCs w:val="16"/>
                <w:color w:val="auto"/>
              </w:rPr>
              <w:t>—</w:t>
            </w:r>
          </w:p>
        </w:tc>
        <w:tc>
          <w:tcPr>
            <w:tcW w:w="2180" w:type="dxa"/>
            <w:vAlign w:val="bottom"/>
            <w:gridSpan w:val="3"/>
          </w:tcPr>
          <w:p>
            <w:pPr>
              <w:jc w:val="right"/>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7,612</w:t>
            </w:r>
          </w:p>
        </w:tc>
        <w:tc>
          <w:tcPr>
            <w:tcW w:w="100" w:type="dxa"/>
            <w:vAlign w:val="bottom"/>
          </w:tcPr>
          <w:p>
            <w:pPr>
              <w:spacing w:after="0"/>
              <w:rPr>
                <w:sz w:val="18"/>
                <w:szCs w:val="18"/>
                <w:color w:val="auto"/>
              </w:rPr>
            </w:pPr>
          </w:p>
        </w:tc>
      </w:tr>
    </w:tbl>
    <w:p>
      <w:pPr>
        <w:spacing w:after="0" w:line="19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addition to the above, the Company’s financial instruments at September 30, 2013 and December 31, 2012 consisted of cash, cash equivalents, short-term investments, accounts receivable, accounts payable and long term deposits. The carrying amounts of all the aforementioned financial instruments approximate fair value. The following table summarizes the changes in the Company’s liabilities measured at fair value using significant unobservable inputs (Level 3) during the period from Inception through September 30, 2013: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60" w:type="dxa"/>
            <w:vAlign w:val="bottom"/>
            <w:gridSpan w:val="3"/>
          </w:tcPr>
          <w:p>
            <w:pPr>
              <w:ind w:left="2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696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Inception</w:t>
            </w:r>
          </w:p>
        </w:tc>
        <w:tc>
          <w:tcPr>
            <w:tcW w:w="240" w:type="dxa"/>
            <w:vAlign w:val="bottom"/>
            <w:tcBorders>
              <w:top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Balance at December 31, 2011</w:t>
            </w:r>
          </w:p>
        </w:tc>
        <w:tc>
          <w:tcPr>
            <w:tcW w:w="240" w:type="dxa"/>
            <w:vAlign w:val="bottom"/>
            <w:tcBorders>
              <w:bottom w:val="single" w:sz="8" w:color="CCFFC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FFCC"/>
            </w:tcBorders>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w w:val="94"/>
              </w:rPr>
              <w:t>Derivative warrants issued to I/P’s shareholders in connection with the Merger, July 19, 2012</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21,954</w:t>
            </w:r>
          </w:p>
        </w:tc>
        <w:tc>
          <w:tcPr>
            <w:tcW w:w="12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Fair value of derivative warrants issued by Legal Parent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3,162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156</w:t>
            </w:r>
          </w:p>
        </w:tc>
        <w:tc>
          <w:tcPr>
            <w:tcW w:w="12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Exercise of derivative warrants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(10,657)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(7,003)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Pr>
          <w:p>
            <w:pPr>
              <w:spacing w:after="0"/>
              <w:rPr>
                <w:sz w:val="20"/>
                <w:szCs w:val="20"/>
                <w:color w:val="auto"/>
              </w:rPr>
            </w:pPr>
            <w:r>
              <w:rPr>
                <w:rFonts w:ascii="Arial" w:cs="Arial" w:eastAsia="Arial" w:hAnsi="Arial"/>
                <w:sz w:val="18"/>
                <w:szCs w:val="18"/>
                <w:b w:val="1"/>
                <w:bCs w:val="1"/>
                <w:color w:val="auto"/>
              </w:rPr>
              <w:t>Balance at December 31, 2012</w:t>
            </w: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7,612</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Net impact of removal of down-round clause in Series 1 Warrant (see Note 6)</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(2,300)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Fair value adjustment, prior to exercise of warrants, included in statement of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shd w:val="clear" w:color="auto" w:fill="CCFFCC"/>
          </w:tcPr>
          <w:p>
            <w:pPr>
              <w:spacing w:after="0"/>
              <w:rPr>
                <w:sz w:val="20"/>
                <w:szCs w:val="20"/>
                <w:color w:val="auto"/>
              </w:rPr>
            </w:pPr>
            <w:r>
              <w:rPr>
                <w:rFonts w:ascii="Arial" w:cs="Arial" w:eastAsia="Arial" w:hAnsi="Arial"/>
                <w:sz w:val="18"/>
                <w:szCs w:val="18"/>
                <w:color w:val="auto"/>
              </w:rPr>
              <w:t>Exercise of derivative warrants</w:t>
            </w:r>
          </w:p>
        </w:tc>
        <w:tc>
          <w:tcPr>
            <w:tcW w:w="2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(790)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Fair value adjustment at end of period, included in statement of operations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at September 30, 2013</w:t>
            </w:r>
          </w:p>
        </w:tc>
        <w:tc>
          <w:tcPr>
            <w:tcW w:w="240" w:type="dxa"/>
            <w:vAlign w:val="bottom"/>
            <w:tcBorders>
              <w:top w:val="single" w:sz="8" w:color="CCFFCC"/>
              <w:bottom w:val="single" w:sz="8" w:color="CCFFCC"/>
            </w:tcBorders>
            <w:shd w:val="clear" w:color="auto" w:fill="CCFFCC"/>
          </w:tcPr>
          <w:p>
            <w:pPr>
              <w:spacing w:after="0"/>
              <w:rPr>
                <w:sz w:val="18"/>
                <w:szCs w:val="18"/>
                <w:color w:val="auto"/>
              </w:rPr>
            </w:pPr>
          </w:p>
        </w:tc>
        <w:tc>
          <w:tcPr>
            <w:tcW w:w="360" w:type="dxa"/>
            <w:vAlign w:val="bottom"/>
            <w:tcBorders>
              <w:top w:val="single" w:sz="8" w:color="auto"/>
              <w:bottom w:val="single" w:sz="8" w:color="auto"/>
            </w:tcBorders>
            <w:shd w:val="clear" w:color="auto" w:fill="CCFFCC"/>
          </w:tcPr>
          <w:p>
            <w:pPr>
              <w:jc w:val="right"/>
              <w:ind w:right="205"/>
              <w:spacing w:after="0"/>
              <w:rPr>
                <w:sz w:val="20"/>
                <w:szCs w:val="20"/>
                <w:color w:val="auto"/>
              </w:rPr>
            </w:pPr>
            <w:r>
              <w:rPr>
                <w:rFonts w:ascii="Arial" w:cs="Arial" w:eastAsia="Arial" w:hAnsi="Arial"/>
                <w:sz w:val="15"/>
                <w:szCs w:val="15"/>
                <w:b w:val="1"/>
                <w:bCs w:val="1"/>
                <w:color w:val="auto"/>
                <w:w w:val="71"/>
              </w:rPr>
              <w:t>$</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4,126</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56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6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6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7"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Valuation processes for Level 3 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measurement of the derivative liability on account of Special Bridge Warrants, Conversion Warrants, Preferential Reload Warrants and Series 1 Warrants (as defined in Note 6) fall within Level 3 of the fair value hierarchy. The fair value measurements are evaluated by management to ensure that changes are consistent with expectations of management based upon the sensitivity and nature of the inputs.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ind w:left="16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2520" w:type="dxa"/>
            <w:vAlign w:val="bottom"/>
          </w:tcPr>
          <w:p>
            <w:pPr>
              <w:ind w:left="680"/>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4"/>
                <w:szCs w:val="14"/>
                <w:color w:val="auto"/>
              </w:rPr>
            </w:pPr>
          </w:p>
        </w:tc>
        <w:tc>
          <w:tcPr>
            <w:tcW w:w="2500" w:type="dxa"/>
            <w:vAlign w:val="bottom"/>
            <w:gridSpan w:val="2"/>
          </w:tcPr>
          <w:p>
            <w:pPr>
              <w:ind w:left="600"/>
              <w:spacing w:after="0"/>
              <w:rPr>
                <w:sz w:val="20"/>
                <w:szCs w:val="20"/>
                <w:color w:val="auto"/>
              </w:rPr>
            </w:pPr>
            <w:r>
              <w:rPr>
                <w:rFonts w:ascii="Arial" w:cs="Arial" w:eastAsia="Arial" w:hAnsi="Arial"/>
                <w:sz w:val="14"/>
                <w:szCs w:val="14"/>
                <w:b w:val="1"/>
                <w:bCs w:val="1"/>
                <w:color w:val="auto"/>
              </w:rPr>
              <w:t>Unobservable inputs</w:t>
            </w:r>
          </w:p>
        </w:tc>
        <w:tc>
          <w:tcPr>
            <w:tcW w:w="2160" w:type="dxa"/>
            <w:vAlign w:val="bottom"/>
            <w:gridSpan w:val="2"/>
          </w:tcPr>
          <w:p>
            <w:pPr>
              <w:ind w:left="840"/>
              <w:spacing w:after="0"/>
              <w:rPr>
                <w:sz w:val="20"/>
                <w:szCs w:val="20"/>
                <w:color w:val="auto"/>
              </w:rPr>
            </w:pPr>
            <w:r>
              <w:rPr>
                <w:rFonts w:ascii="Arial" w:cs="Arial" w:eastAsia="Arial" w:hAnsi="Arial"/>
                <w:sz w:val="14"/>
                <w:szCs w:val="14"/>
                <w:b w:val="1"/>
                <w:bCs w:val="1"/>
                <w:color w:val="auto"/>
              </w:rPr>
              <w:t>Range</w:t>
            </w:r>
          </w:p>
        </w:tc>
      </w:tr>
      <w:tr>
        <w:trPr>
          <w:trHeight w:val="142"/>
        </w:trPr>
        <w:tc>
          <w:tcPr>
            <w:tcW w:w="400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520" w:type="dxa"/>
            <w:vAlign w:val="bottom"/>
            <w:tcBorders>
              <w:top w:val="single" w:sz="8" w:color="auto"/>
            </w:tcBorders>
            <w:shd w:val="clear" w:color="auto" w:fill="CCFFCC"/>
          </w:tcPr>
          <w:p>
            <w:pPr>
              <w:spacing w:after="0"/>
              <w:rPr>
                <w:sz w:val="12"/>
                <w:szCs w:val="12"/>
                <w:color w:val="auto"/>
              </w:rPr>
            </w:pPr>
          </w:p>
        </w:tc>
        <w:tc>
          <w:tcPr>
            <w:tcW w:w="120" w:type="dxa"/>
            <w:vAlign w:val="bottom"/>
            <w:tcBorders>
              <w:top w:val="single" w:sz="8" w:color="CCFFCC"/>
            </w:tcBorders>
            <w:shd w:val="clear" w:color="auto" w:fill="CCFFCC"/>
          </w:tcPr>
          <w:p>
            <w:pPr>
              <w:spacing w:after="0"/>
              <w:rPr>
                <w:sz w:val="12"/>
                <w:szCs w:val="12"/>
                <w:color w:val="auto"/>
              </w:rPr>
            </w:pPr>
          </w:p>
        </w:tc>
        <w:tc>
          <w:tcPr>
            <w:tcW w:w="24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Volatility</w:t>
            </w:r>
          </w:p>
        </w:tc>
        <w:tc>
          <w:tcPr>
            <w:tcW w:w="100" w:type="dxa"/>
            <w:vAlign w:val="bottom"/>
            <w:tcBorders>
              <w:top w:val="single" w:sz="8" w:color="CCFFCC"/>
            </w:tcBorders>
            <w:shd w:val="clear" w:color="auto" w:fill="CCFFCC"/>
          </w:tcPr>
          <w:p>
            <w:pPr>
              <w:spacing w:after="0"/>
              <w:rPr>
                <w:sz w:val="12"/>
                <w:szCs w:val="12"/>
                <w:color w:val="auto"/>
              </w:rPr>
            </w:pPr>
          </w:p>
        </w:tc>
        <w:tc>
          <w:tcPr>
            <w:tcW w:w="20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51.91% – 57.04%</w:t>
            </w:r>
          </w:p>
        </w:tc>
        <w:tc>
          <w:tcPr>
            <w:tcW w:w="100" w:type="dxa"/>
            <w:vAlign w:val="bottom"/>
            <w:tcBorders>
              <w:top w:val="single" w:sz="8" w:color="CCFFCC"/>
            </w:tcBorders>
            <w:shd w:val="clear" w:color="auto" w:fill="CCFFCC"/>
          </w:tcPr>
          <w:p>
            <w:pPr>
              <w:spacing w:after="0"/>
              <w:rPr>
                <w:sz w:val="12"/>
                <w:szCs w:val="12"/>
                <w:color w:val="auto"/>
              </w:rPr>
            </w:pPr>
          </w:p>
        </w:tc>
      </w:tr>
      <w:tr>
        <w:trPr>
          <w:trHeight w:val="149"/>
        </w:trPr>
        <w:tc>
          <w:tcPr>
            <w:tcW w:w="40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rPr>
                <w:sz w:val="12"/>
                <w:szCs w:val="12"/>
                <w:color w:val="auto"/>
              </w:rPr>
            </w:pPr>
          </w:p>
        </w:tc>
        <w:tc>
          <w:tcPr>
            <w:tcW w:w="262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Risk free interest rate</w:t>
            </w:r>
          </w:p>
        </w:tc>
        <w:tc>
          <w:tcPr>
            <w:tcW w:w="2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0.16% – 0.98%</w:t>
            </w:r>
          </w:p>
        </w:tc>
      </w:tr>
      <w:tr>
        <w:trPr>
          <w:trHeight w:val="149"/>
        </w:trPr>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Special Bridge Warrants, Conversion Warrants,</w:t>
            </w:r>
          </w:p>
        </w:tc>
        <w:tc>
          <w:tcPr>
            <w:tcW w:w="12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Black-Scholes-Merton and the</w:t>
            </w:r>
          </w:p>
        </w:tc>
        <w:tc>
          <w:tcPr>
            <w:tcW w:w="2620" w:type="dxa"/>
            <w:vAlign w:val="bottom"/>
            <w:gridSpan w:val="3"/>
            <w:shd w:val="clear" w:color="auto" w:fill="CCFFCC"/>
          </w:tcPr>
          <w:p>
            <w:pPr>
              <w:ind w:left="120"/>
              <w:spacing w:after="0" w:line="149" w:lineRule="exact"/>
              <w:rPr>
                <w:sz w:val="20"/>
                <w:szCs w:val="20"/>
                <w:color w:val="auto"/>
              </w:rPr>
            </w:pPr>
            <w:r>
              <w:rPr>
                <w:rFonts w:ascii="Arial" w:cs="Arial" w:eastAsia="Arial" w:hAnsi="Arial"/>
                <w:sz w:val="14"/>
                <w:szCs w:val="14"/>
                <w:color w:val="auto"/>
              </w:rPr>
              <w:t>Expected term, in years</w:t>
            </w:r>
          </w:p>
        </w:tc>
        <w:tc>
          <w:tcPr>
            <w:tcW w:w="2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1.24 – 3.80</w:t>
            </w:r>
          </w:p>
        </w:tc>
      </w:tr>
      <w:tr>
        <w:trPr>
          <w:trHeight w:val="149"/>
        </w:trPr>
        <w:tc>
          <w:tcPr>
            <w:tcW w:w="40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6"/>
              </w:rPr>
              <w:t>Preferential Reload Warrants and the derivative Series 1 Warrants</w:t>
            </w:r>
          </w:p>
        </w:tc>
        <w:tc>
          <w:tcPr>
            <w:tcW w:w="120" w:type="dxa"/>
            <w:vAlign w:val="bottom"/>
            <w:shd w:val="clear" w:color="auto" w:fill="CCFFCC"/>
          </w:tcPr>
          <w:p>
            <w:pPr>
              <w:spacing w:after="0"/>
              <w:rPr>
                <w:sz w:val="12"/>
                <w:szCs w:val="12"/>
                <w:color w:val="auto"/>
              </w:rPr>
            </w:pPr>
          </w:p>
        </w:tc>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Monte-Carlo models</w:t>
            </w:r>
          </w:p>
        </w:tc>
        <w:tc>
          <w:tcPr>
            <w:tcW w:w="120" w:type="dxa"/>
            <w:vAlign w:val="bottom"/>
            <w:shd w:val="clear" w:color="auto" w:fill="CCFFCC"/>
          </w:tcPr>
          <w:p>
            <w:pPr>
              <w:spacing w:after="0"/>
              <w:rPr>
                <w:sz w:val="12"/>
                <w:szCs w:val="12"/>
                <w:color w:val="auto"/>
              </w:rPr>
            </w:pPr>
          </w:p>
        </w:tc>
        <w:tc>
          <w:tcPr>
            <w:tcW w:w="25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Dividend yield</w:t>
            </w:r>
          </w:p>
        </w:tc>
        <w:tc>
          <w:tcPr>
            <w:tcW w:w="2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38"/>
        </w:trPr>
        <w:tc>
          <w:tcPr>
            <w:tcW w:w="40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5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500" w:type="dxa"/>
            <w:vAlign w:val="bottom"/>
            <w:gridSpan w:val="2"/>
            <w:shd w:val="clear" w:color="auto" w:fill="CCFFCC"/>
          </w:tcPr>
          <w:p>
            <w:pPr>
              <w:spacing w:after="0" w:line="138" w:lineRule="exact"/>
              <w:rPr>
                <w:sz w:val="20"/>
                <w:szCs w:val="20"/>
                <w:color w:val="auto"/>
              </w:rPr>
            </w:pPr>
            <w:r>
              <w:rPr>
                <w:rFonts w:ascii="Arial" w:cs="Arial" w:eastAsia="Arial" w:hAnsi="Arial"/>
                <w:sz w:val="14"/>
                <w:szCs w:val="14"/>
                <w:color w:val="auto"/>
              </w:rPr>
              <w:t>Probability and timing of down-round</w:t>
            </w:r>
          </w:p>
        </w:tc>
        <w:tc>
          <w:tcPr>
            <w:tcW w:w="2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59"/>
        </w:trPr>
        <w:tc>
          <w:tcPr>
            <w:tcW w:w="40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52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2500" w:type="dxa"/>
            <w:vAlign w:val="bottom"/>
            <w:gridSpan w:val="2"/>
            <w:shd w:val="clear" w:color="auto" w:fill="CCFFCC"/>
          </w:tcPr>
          <w:p>
            <w:pPr>
              <w:spacing w:after="0" w:line="159" w:lineRule="exact"/>
              <w:rPr>
                <w:sz w:val="20"/>
                <w:szCs w:val="20"/>
                <w:color w:val="auto"/>
              </w:rPr>
            </w:pPr>
            <w:r>
              <w:rPr>
                <w:rFonts w:ascii="Arial" w:cs="Arial" w:eastAsia="Arial" w:hAnsi="Arial"/>
                <w:sz w:val="14"/>
                <w:szCs w:val="14"/>
                <w:color w:val="auto"/>
              </w:rPr>
              <w:t>triggering event</w:t>
            </w:r>
          </w:p>
        </w:tc>
        <w:tc>
          <w:tcPr>
            <w:tcW w:w="2160" w:type="dxa"/>
            <w:vAlign w:val="bottom"/>
            <w:gridSpan w:val="2"/>
            <w:shd w:val="clear" w:color="auto" w:fill="CCFFCC"/>
          </w:tcPr>
          <w:p>
            <w:pPr>
              <w:ind w:left="220"/>
              <w:spacing w:after="0" w:line="159" w:lineRule="exact"/>
              <w:rPr>
                <w:sz w:val="20"/>
                <w:szCs w:val="20"/>
                <w:color w:val="auto"/>
              </w:rPr>
            </w:pPr>
            <w:r>
              <w:rPr>
                <w:rFonts w:ascii="Arial" w:cs="Arial" w:eastAsia="Arial" w:hAnsi="Arial"/>
                <w:sz w:val="14"/>
                <w:szCs w:val="14"/>
                <w:color w:val="auto"/>
                <w:w w:val="90"/>
              </w:rPr>
              <w:t>5% occurrence in December 2013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Sensitivity of Level 3 measurements to changes in significant unobservable inputs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inputs to estimate the fair value of the Company’s derivative warrant liability are the current market price of the Company’s shares of common stock, the exercise price of the warrant, its remaining expected term, the volatility of the Company’s common stock market price, the Company’s estimations regarding the probability and timing of a down-round protection triggering event and the risk-free interest rate. Significant changes in any of those inputs in isolation can result in a significant change in the fair value measurement. Generally, a positive change in the market price of the Company’s common stock, and an increase in the volatility of the Company’s shares of common stock, or an increase in the remaining term of the warrant, or an increase of a probability of a down-round triggering event would each result in a directionally similar change in the estimated fair value of the Company’s warrants and thus an increase in the associated liability and vice-versa. An increase in the risk-free interest rate or a decrease in the positive differential between the warrant’s exercise price and the market price of the Company’s shares of common stock would result in a decrease in the estimated fair value measurement of the warrants and thus a decrease in the associated liability. The Company has not, nor plans to, declare dividends on its shares of common stock, and thus, there is no change in the estimated fair value of the warrants due to the dividend assumption.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Business Combination</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July 19, 2012, I/P consummated the Merger with the Legal Parent, as also described in Note 1. The consideration consisted of various equity instruments, including: shares of common stock, preferred stock, options and warrants. The purpose of the Merger was to increase the combined company's intellectual property portfolio and array of products, to gain access to capital markets, among other reasons. Upon completion of the Merger, (i) all then outstanding 6,169,661 common stock shares of I/P, par value $0.0001 per share, were exchanged for 18,617,569, shares of the Company’s common stock, par value $0.01 per share, and (ii) all then outstanding shares of Series A Convertible Preferred Stock of I/P, par value $0.0001 per share, were exchanged for 6,673 shares of the Legal Parent’s Series A Convertible Preferred Stock, par value $0.01 per share, which shares were convertible into 20,136,445 shares of common stock of the Legal Parent. In addition, the Legal Parent issued to the holders of I/P capital stock an aggregate of 15,959,838 warrants to purchase an aggregate of 15,959,838 shares of the Company’s common stock with an exercise price of $1.76 per share. The Company recorded such warrants as a derivative long-term liability in the total amount of $21,954. In addition, all outstanding and unexercised options to purchase I/P common stock, whether vested or unvested, were converted into 41,178 options to purchase the Company’s common stock. Immediately following the completion of the Merger, the former stockholders of I/P owned approximately 55.04% of the outstanding common stock of the combined company (or 67.61% of the outstanding shares of the Company’s common stock, calculated on a fully diluted basis), and the Legal Parent’s stockholders prior to the Merger owned approximately 44.96% of the outstanding common stock of the combined company (or 32.39% of the outstanding shares of its common stock calculated on a fully diluted basis). For accounting purposes, I/P was identified as the accounting “acquirer”, as it is defined in FASB Topic ASC 805. The total purchase price of $75,654 was allocated to the assets acquired and liabilities assumed of the Legal Parent. Registration and issuance cost, in the total amount of $463, was recorded against the additional paid-in capital.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2460" w:type="dxa"/>
            <w:vAlign w:val="bottom"/>
            <w:gridSpan w:val="4"/>
          </w:tcPr>
          <w:p>
            <w:pPr>
              <w:ind w:left="80"/>
              <w:spacing w:after="0"/>
              <w:rPr>
                <w:sz w:val="20"/>
                <w:szCs w:val="20"/>
                <w:color w:val="auto"/>
              </w:rPr>
            </w:pPr>
            <w:r>
              <w:rPr>
                <w:rFonts w:ascii="Arial" w:cs="Arial" w:eastAsia="Arial" w:hAnsi="Arial"/>
                <w:sz w:val="18"/>
                <w:szCs w:val="18"/>
                <w:b w:val="1"/>
                <w:bCs w:val="1"/>
                <w:color w:val="auto"/>
                <w:w w:val="97"/>
              </w:rPr>
              <w:t>Allocation of purchase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Current assets, net of current liabilities</w:t>
            </w:r>
          </w:p>
        </w:tc>
        <w:tc>
          <w:tcPr>
            <w:tcW w:w="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2,586</w:t>
            </w: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Long-term deposit</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rPr>
              <w:t>Property and equipment</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Technology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10,133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65,965</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bottom w:val="single" w:sz="8" w:color="CCFFCC"/>
            </w:tcBorders>
          </w:tcPr>
          <w:p>
            <w:pPr>
              <w:spacing w:after="0"/>
              <w:rPr>
                <w:sz w:val="20"/>
                <w:szCs w:val="20"/>
                <w:color w:val="auto"/>
              </w:rPr>
            </w:pPr>
            <w:r>
              <w:rPr>
                <w:rFonts w:ascii="Arial" w:cs="Arial" w:eastAsia="Arial" w:hAnsi="Arial"/>
                <w:sz w:val="18"/>
                <w:szCs w:val="18"/>
                <w:b w:val="1"/>
                <w:bCs w:val="1"/>
                <w:color w:val="auto"/>
              </w:rPr>
              <w:t>Total assets acquired, net</w:t>
            </w:r>
          </w:p>
        </w:tc>
        <w:tc>
          <w:tcPr>
            <w:tcW w:w="80" w:type="dxa"/>
            <w:vAlign w:val="bottom"/>
            <w:tcBorders>
              <w:bottom w:val="single" w:sz="8" w:color="CCFFCC"/>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78,816</w:t>
            </w:r>
          </w:p>
        </w:tc>
        <w:tc>
          <w:tcPr>
            <w:tcW w:w="220" w:type="dxa"/>
            <w:vAlign w:val="bottom"/>
            <w:tcBorders>
              <w:bottom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w w:val="92"/>
              </w:rPr>
              <w:t>Fair value of outstanding warrants granted by Legal Parent prior to the Merger, classified as a long-term derivative liability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assumed, net</w:t>
            </w:r>
          </w:p>
        </w:tc>
        <w:tc>
          <w:tcPr>
            <w:tcW w:w="80" w:type="dxa"/>
            <w:vAlign w:val="bottom"/>
            <w:tcBorders>
              <w:top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auto"/>
            </w:tcBorders>
            <w:shd w:val="clear" w:color="auto" w:fill="CCFFCC"/>
          </w:tcPr>
          <w:p>
            <w:pPr>
              <w:spacing w:after="0"/>
              <w:rPr>
                <w:sz w:val="18"/>
                <w:szCs w:val="18"/>
                <w:color w:val="auto"/>
              </w:rPr>
            </w:pPr>
          </w:p>
        </w:tc>
        <w:tc>
          <w:tcPr>
            <w:tcW w:w="1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(3,162)</w:t>
            </w:r>
          </w:p>
        </w:tc>
        <w:tc>
          <w:tcPr>
            <w:tcW w:w="220" w:type="dxa"/>
            <w:vAlign w:val="bottom"/>
            <w:tcBorders>
              <w:top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75,654</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Measurement of consideration:</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vested stock options granted to employees, management and consultants, classified as equity</w:t>
            </w:r>
          </w:p>
        </w:tc>
        <w:tc>
          <w:tcPr>
            <w:tcW w:w="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7,364</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color w:val="auto"/>
              </w:rPr>
              <w:t>Fair value of outstanding warrants granted by the Legal Parent prior to the Merger, classified as equity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10,079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40" w:type="dxa"/>
            <w:vAlign w:val="bottom"/>
            <w:shd w:val="clear" w:color="auto" w:fill="CCFFCC"/>
          </w:tcPr>
          <w:p>
            <w:pPr>
              <w:spacing w:after="0"/>
              <w:rPr>
                <w:sz w:val="20"/>
                <w:szCs w:val="20"/>
                <w:color w:val="auto"/>
              </w:rPr>
            </w:pPr>
            <w:r>
              <w:rPr>
                <w:rFonts w:ascii="Arial" w:cs="Arial" w:eastAsia="Arial" w:hAnsi="Arial"/>
                <w:sz w:val="18"/>
                <w:szCs w:val="18"/>
                <w:color w:val="auto"/>
                <w:w w:val="90"/>
              </w:rPr>
              <w:t>Fair value of Vringo shares of common stock and vested penny options granted to employees, management and consultants</w:t>
            </w:r>
          </w:p>
        </w:tc>
        <w:tc>
          <w:tcPr>
            <w:tcW w:w="80" w:type="dxa"/>
            <w:vAlign w:val="bottom"/>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58,211</w:t>
            </w:r>
          </w:p>
        </w:tc>
        <w:tc>
          <w:tcPr>
            <w:tcW w:w="2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Arial" w:cs="Arial" w:eastAsia="Arial" w:hAnsi="Arial"/>
                <w:sz w:val="18"/>
                <w:szCs w:val="18"/>
                <w:b w:val="1"/>
                <w:bCs w:val="1"/>
                <w:color w:val="auto"/>
              </w:rPr>
              <w:t>Total estimated purchase price</w:t>
            </w: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75,654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8960" w:type="dxa"/>
            <w:vAlign w:val="bottom"/>
            <w:gridSpan w:val="2"/>
          </w:tcPr>
          <w:p>
            <w:pPr>
              <w:jc w:val="right"/>
              <w:ind w:right="305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1440" w:gutter="0" w:footer="0" w:header="0"/>
        </w:sectPr>
      </w:pPr>
    </w:p>
    <w:bookmarkStart w:id="12" w:name="page13"/>
    <w:bookmarkEnd w:id="12"/>
    <w:p>
      <w:pPr>
        <w:jc w:val="both"/>
        <w:ind w:firstLine="648"/>
        <w:spacing w:after="0" w:line="290" w:lineRule="auto"/>
        <w:rPr>
          <w:sz w:val="20"/>
          <w:szCs w:val="20"/>
          <w:color w:val="auto"/>
        </w:rPr>
      </w:pPr>
      <w:r>
        <w:rPr>
          <w:rFonts w:ascii="Arial" w:cs="Arial" w:eastAsia="Arial" w:hAnsi="Arial"/>
          <w:sz w:val="16"/>
          <w:szCs w:val="16"/>
          <w:color w:val="auto"/>
        </w:rPr>
        <w:t>The fair values of the identified intangible assets were estimated using an income approach. Under the income approach, an intangible asset’s fair value is equal to the present value of future economic benefits to be derived from ownership of the asset. Indications of value are developed by discounting future net cash flows to their present value at market-based rates of return. The goodwill recognized as a result of the acquisition is primarily attributable to the value of the workforce and other intangible asset arising as a result of operational synergies, products, and similar factors which could not be separately identified. The useful life of the intangible assets for amortization purposes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intangible assets. Goodwill recognized is not deductible for income tax purposes. Had the acquisition taken place on Inception, the revenue in the consolidated statement of operations and the consolidated net loss would have been as follows:</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2"/>
              </w:rPr>
              <w:t>Cumulative from Inception</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 period ended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2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 period ended</w:t>
            </w:r>
          </w:p>
        </w:tc>
      </w:tr>
      <w:tr>
        <w:trPr>
          <w:trHeight w:val="234"/>
        </w:trPr>
        <w:tc>
          <w:tcPr>
            <w:tcW w:w="2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89"/>
              </w:rPr>
              <w:t>to September 30, 2013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 2012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 2012</w:t>
            </w:r>
          </w:p>
        </w:tc>
      </w:tr>
      <w:tr>
        <w:trPr>
          <w:trHeight w:val="210"/>
        </w:trPr>
        <w:tc>
          <w:tcPr>
            <w:tcW w:w="2720" w:type="dxa"/>
            <w:vAlign w:val="bottom"/>
            <w:tcBorders>
              <w:bottom w:val="single" w:sz="8" w:color="CCFFC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auto"/>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Net Loss</w:t>
            </w:r>
          </w:p>
        </w:tc>
        <w:tc>
          <w:tcPr>
            <w:tcW w:w="40" w:type="dxa"/>
            <w:vAlign w:val="bottom"/>
            <w:tcBorders>
              <w:bottom w:val="single" w:sz="8" w:color="CCFFCC"/>
            </w:tcBorders>
          </w:tcPr>
          <w:p>
            <w:pPr>
              <w:spacing w:after="0"/>
              <w:rPr>
                <w:sz w:val="18"/>
                <w:szCs w:val="18"/>
                <w:color w:val="auto"/>
              </w:rPr>
            </w:pPr>
          </w:p>
        </w:tc>
        <w:tc>
          <w:tcPr>
            <w:tcW w:w="6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7"/>
              </w:rPr>
              <w:t>Net Loss</w:t>
            </w:r>
          </w:p>
        </w:tc>
        <w:tc>
          <w:tcPr>
            <w:tcW w:w="60" w:type="dxa"/>
            <w:vAlign w:val="bottom"/>
            <w:tcBorders>
              <w:bottom w:val="single" w:sz="8" w:color="CCFFCC"/>
            </w:tcBorders>
          </w:tcPr>
          <w:p>
            <w:pPr>
              <w:spacing w:after="0"/>
              <w:rPr>
                <w:sz w:val="18"/>
                <w:szCs w:val="18"/>
                <w:color w:val="auto"/>
              </w:rPr>
            </w:pPr>
          </w:p>
        </w:tc>
        <w:tc>
          <w:tcPr>
            <w:tcW w:w="40" w:type="dxa"/>
            <w:vAlign w:val="bottom"/>
            <w:tcBorders>
              <w:bottom w:val="single" w:sz="8" w:color="CCFFC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Revenue</w:t>
            </w:r>
          </w:p>
        </w:tc>
        <w:tc>
          <w:tcPr>
            <w:tcW w:w="100" w:type="dxa"/>
            <w:vAlign w:val="bottom"/>
            <w:tcBorders>
              <w:top w:val="single" w:sz="8" w:color="auto"/>
              <w:bottom w:val="single" w:sz="8" w:color="CCFF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Net Loss</w:t>
            </w:r>
          </w:p>
        </w:tc>
        <w:tc>
          <w:tcPr>
            <w:tcW w:w="140" w:type="dxa"/>
            <w:vAlign w:val="bottom"/>
            <w:tcBorders>
              <w:bottom w:val="single" w:sz="8" w:color="CCFFCC"/>
            </w:tcBorders>
          </w:tcPr>
          <w:p>
            <w:pPr>
              <w:spacing w:after="0"/>
              <w:rPr>
                <w:sz w:val="18"/>
                <w:szCs w:val="18"/>
                <w:color w:val="auto"/>
              </w:rPr>
            </w:pPr>
          </w:p>
        </w:tc>
      </w:tr>
      <w:tr>
        <w:trPr>
          <w:trHeight w:val="210"/>
        </w:trPr>
        <w:tc>
          <w:tcPr>
            <w:tcW w:w="2720" w:type="dxa"/>
            <w:vAlign w:val="bottom"/>
            <w:shd w:val="clear" w:color="auto" w:fill="CCFFCC"/>
          </w:tcPr>
          <w:p>
            <w:pPr>
              <w:spacing w:after="0"/>
              <w:rPr>
                <w:sz w:val="20"/>
                <w:szCs w:val="20"/>
                <w:color w:val="auto"/>
              </w:rPr>
            </w:pPr>
            <w:r>
              <w:rPr>
                <w:rFonts w:ascii="Arial" w:cs="Arial" w:eastAsia="Arial" w:hAnsi="Arial"/>
                <w:sz w:val="18"/>
                <w:szCs w:val="18"/>
                <w:color w:val="auto"/>
              </w:rPr>
              <w:t>Total amount</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2,285</w:t>
            </w:r>
          </w:p>
        </w:tc>
        <w:tc>
          <w:tcPr>
            <w:tcW w:w="12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(73,855)</w:t>
            </w:r>
          </w:p>
        </w:tc>
        <w:tc>
          <w:tcPr>
            <w:tcW w:w="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(18,298)</w:t>
            </w:r>
          </w:p>
        </w:tc>
        <w:tc>
          <w:tcPr>
            <w:tcW w:w="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FFCC"/>
          </w:tcPr>
          <w:p>
            <w:pPr>
              <w:spacing w:after="0"/>
              <w:rPr>
                <w:sz w:val="18"/>
                <w:szCs w:val="18"/>
                <w:color w:val="auto"/>
              </w:rPr>
            </w:pPr>
          </w:p>
        </w:tc>
        <w:tc>
          <w:tcPr>
            <w:tcW w:w="2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(6,632)</w:t>
            </w:r>
          </w:p>
        </w:tc>
        <w:tc>
          <w:tcPr>
            <w:tcW w:w="14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 forma adjustment consists of amortization of acquired technology. The amortization, for the period from Inception through September 30, 2013 would have been $3,964. The amortization for the three and nine month period ended September 30, 2012 would have been $422 and $1,267, respectively. The above pro forma disclosure excludes the possible impact of valuation of equity and derivative instruments valued in connection with the Merger.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Pre-Merger common stock share amounts and balance sheet disclosures were retrospectively restated to reflect Vringo’s equity instruments after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Merger.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Common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information about the Company's issued and outstanding common stock from Inception through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0" w:type="dxa"/>
            <w:vAlign w:val="bottom"/>
          </w:tcPr>
          <w:p>
            <w:pPr>
              <w:spacing w:after="0"/>
              <w:rPr>
                <w:sz w:val="20"/>
                <w:szCs w:val="20"/>
                <w:color w:val="auto"/>
              </w:rPr>
            </w:pPr>
          </w:p>
        </w:tc>
        <w:tc>
          <w:tcPr>
            <w:tcW w:w="2020" w:type="dxa"/>
            <w:vAlign w:val="bottom"/>
            <w:gridSpan w:val="3"/>
          </w:tcPr>
          <w:p>
            <w:pPr>
              <w:ind w:left="60"/>
              <w:spacing w:after="0"/>
              <w:rPr>
                <w:sz w:val="20"/>
                <w:szCs w:val="20"/>
                <w:color w:val="auto"/>
              </w:rPr>
            </w:pPr>
            <w:r>
              <w:rPr>
                <w:rFonts w:ascii="Arial" w:cs="Arial" w:eastAsia="Arial" w:hAnsi="Arial"/>
                <w:sz w:val="18"/>
                <w:szCs w:val="18"/>
                <w:b w:val="1"/>
                <w:bCs w:val="1"/>
                <w:color w:val="auto"/>
                <w:w w:val="90"/>
              </w:rPr>
              <w:t>Shares of common stock</w:t>
            </w: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June 8, 2011 (Inception)</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at less than fair value to officers, directors and consultants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8,768,014</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Issuance of shares of common stock</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8,204,963</w:t>
            </w:r>
          </w:p>
        </w:tc>
        <w:tc>
          <w:tcPr>
            <w:tcW w:w="100" w:type="dxa"/>
            <w:vAlign w:val="bottom"/>
            <w:shd w:val="clear" w:color="auto" w:fill="CCFFCC"/>
          </w:tcPr>
          <w:p>
            <w:pPr>
              <w:spacing w:after="0"/>
              <w:rPr>
                <w:sz w:val="18"/>
                <w:szCs w:val="18"/>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December 31, 2011</w:t>
            </w:r>
          </w:p>
        </w:tc>
        <w:tc>
          <w:tcPr>
            <w:tcW w:w="60" w:type="dxa"/>
            <w:vAlign w:val="bottom"/>
          </w:tcPr>
          <w:p>
            <w:pPr>
              <w:spacing w:after="0"/>
              <w:rPr>
                <w:sz w:val="18"/>
                <w:szCs w:val="18"/>
                <w:color w:val="auto"/>
              </w:rPr>
            </w:pPr>
          </w:p>
        </w:tc>
        <w:tc>
          <w:tcPr>
            <w:tcW w:w="1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16,972,977</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mezzanine equity</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890,192</w:t>
            </w:r>
          </w:p>
        </w:tc>
        <w:tc>
          <w:tcPr>
            <w:tcW w:w="10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Grant of shares to consultants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265,000</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Legal Parent’s shares of common stock, recorded upon Merger</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15,206,118</w:t>
            </w:r>
          </w:p>
        </w:tc>
        <w:tc>
          <w:tcPr>
            <w:tcW w:w="10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250,000 warrants, issued and exercised prior to the Merger</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754,400</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Post-Merger exercise of warrants</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6,832,150</w:t>
            </w:r>
          </w:p>
        </w:tc>
        <w:tc>
          <w:tcPr>
            <w:tcW w:w="10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stock options and vesting of RSUs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726,346</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Conversion of Series A Preferred Convertible Preferred stock, classified as equity</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20,136,445</w:t>
            </w:r>
          </w:p>
        </w:tc>
        <w:tc>
          <w:tcPr>
            <w:tcW w:w="10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w w:val="91"/>
              </w:rPr>
              <w:t>Issuance of shares of common stock in connection with $31,148 received in a private financing round, net of issuance cost of $52</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9,600,000</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w w:val="91"/>
              </w:rPr>
              <w:t>Issuance of shares of common stock in connection with $44,962 received in a private financing round, net of issuance cost of $39</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10,344,998</w:t>
            </w:r>
          </w:p>
        </w:tc>
        <w:tc>
          <w:tcPr>
            <w:tcW w:w="100" w:type="dxa"/>
            <w:vAlign w:val="bottom"/>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Shares issued for acquisition of patents, see Note 3</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160,600</w:t>
            </w:r>
          </w:p>
        </w:tc>
        <w:tc>
          <w:tcPr>
            <w:tcW w:w="100" w:type="dxa"/>
            <w:vAlign w:val="bottom"/>
          </w:tcPr>
          <w:p>
            <w:pPr>
              <w:spacing w:after="0"/>
              <w:rPr>
                <w:sz w:val="18"/>
                <w:szCs w:val="18"/>
                <w:color w:val="auto"/>
              </w:rPr>
            </w:pPr>
          </w:p>
        </w:tc>
      </w:tr>
      <w:tr>
        <w:trPr>
          <w:trHeight w:val="210"/>
        </w:trPr>
        <w:tc>
          <w:tcPr>
            <w:tcW w:w="94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 2012</w:t>
            </w:r>
          </w:p>
        </w:tc>
        <w:tc>
          <w:tcPr>
            <w:tcW w:w="60" w:type="dxa"/>
            <w:vAlign w:val="bottom"/>
            <w:tcBorders>
              <w:top w:val="single" w:sz="8" w:color="CCFFCC"/>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81,889,226</w:t>
            </w:r>
          </w:p>
        </w:tc>
        <w:tc>
          <w:tcPr>
            <w:tcW w:w="100" w:type="dxa"/>
            <w:vAlign w:val="bottom"/>
            <w:tcBorders>
              <w:top w:val="single" w:sz="8" w:color="CCFFCC"/>
            </w:tcBorders>
            <w:shd w:val="clear" w:color="auto" w:fill="CCFFCC"/>
          </w:tcPr>
          <w:p>
            <w:pPr>
              <w:spacing w:after="0"/>
              <w:rPr>
                <w:sz w:val="18"/>
                <w:szCs w:val="18"/>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Exercise of warrants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421,493</w:t>
            </w:r>
          </w:p>
        </w:tc>
        <w:tc>
          <w:tcPr>
            <w:tcW w:w="100" w:type="dxa"/>
            <w:vAlign w:val="bottom"/>
          </w:tcPr>
          <w:p>
            <w:pPr>
              <w:spacing w:after="0"/>
              <w:rPr>
                <w:sz w:val="18"/>
                <w:szCs w:val="18"/>
                <w:color w:val="auto"/>
              </w:rPr>
            </w:pPr>
          </w:p>
        </w:tc>
      </w:tr>
      <w:tr>
        <w:trPr>
          <w:trHeight w:val="216"/>
        </w:trPr>
        <w:tc>
          <w:tcPr>
            <w:tcW w:w="9400" w:type="dxa"/>
            <w:vAlign w:val="bottom"/>
            <w:shd w:val="clear" w:color="auto" w:fill="CCFFCC"/>
          </w:tcPr>
          <w:p>
            <w:pPr>
              <w:spacing w:after="0"/>
              <w:rPr>
                <w:sz w:val="20"/>
                <w:szCs w:val="20"/>
                <w:color w:val="auto"/>
              </w:rPr>
            </w:pPr>
            <w:r>
              <w:rPr>
                <w:rFonts w:ascii="Arial" w:cs="Arial" w:eastAsia="Arial" w:hAnsi="Arial"/>
                <w:sz w:val="18"/>
                <w:szCs w:val="18"/>
                <w:color w:val="auto"/>
              </w:rPr>
              <w:t>Exercise of stock options and vesting of RSUs</w:t>
            </w:r>
          </w:p>
        </w:tc>
        <w:tc>
          <w:tcPr>
            <w:tcW w:w="19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1,810,005</w:t>
            </w:r>
          </w:p>
        </w:tc>
        <w:tc>
          <w:tcPr>
            <w:tcW w:w="100" w:type="dxa"/>
            <w:vAlign w:val="bottom"/>
            <w:shd w:val="clear" w:color="auto" w:fill="CCFFCC"/>
          </w:tcPr>
          <w:p>
            <w:pPr>
              <w:spacing w:after="0"/>
              <w:rPr>
                <w:sz w:val="18"/>
                <w:szCs w:val="18"/>
                <w:color w:val="auto"/>
              </w:rPr>
            </w:pPr>
          </w:p>
        </w:tc>
      </w:tr>
      <w:tr>
        <w:trPr>
          <w:trHeight w:val="210"/>
        </w:trPr>
        <w:tc>
          <w:tcPr>
            <w:tcW w:w="9400" w:type="dxa"/>
            <w:vAlign w:val="bottom"/>
          </w:tcPr>
          <w:p>
            <w:pPr>
              <w:spacing w:after="0"/>
              <w:rPr>
                <w:sz w:val="20"/>
                <w:szCs w:val="20"/>
                <w:color w:val="auto"/>
              </w:rPr>
            </w:pPr>
            <w:r>
              <w:rPr>
                <w:rFonts w:ascii="Arial" w:cs="Arial" w:eastAsia="Arial" w:hAnsi="Arial"/>
                <w:sz w:val="18"/>
                <w:szCs w:val="18"/>
                <w:b w:val="1"/>
                <w:bCs w:val="1"/>
                <w:color w:val="auto"/>
              </w:rPr>
              <w:t>Balance as of September 30, 2013</w:t>
            </w:r>
          </w:p>
        </w:tc>
        <w:tc>
          <w:tcPr>
            <w:tcW w:w="60" w:type="dxa"/>
            <w:vAlign w:val="bottom"/>
          </w:tcPr>
          <w:p>
            <w:pPr>
              <w:spacing w:after="0"/>
              <w:rPr>
                <w:sz w:val="18"/>
                <w:szCs w:val="18"/>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84,120,724</w:t>
            </w:r>
          </w:p>
        </w:tc>
        <w:tc>
          <w:tcPr>
            <w:tcW w:w="100" w:type="dxa"/>
            <w:vAlign w:val="bottom"/>
          </w:tcPr>
          <w:p>
            <w:pPr>
              <w:spacing w:after="0"/>
              <w:rPr>
                <w:sz w:val="18"/>
                <w:szCs w:val="18"/>
                <w:color w:val="auto"/>
              </w:rPr>
            </w:pPr>
          </w:p>
        </w:tc>
      </w:tr>
      <w:tr>
        <w:trPr>
          <w:trHeight w:val="20"/>
        </w:trPr>
        <w:tc>
          <w:tcPr>
            <w:tcW w:w="9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Equity Incentive Plan</w:t>
      </w:r>
    </w:p>
    <w:p>
      <w:pPr>
        <w:spacing w:after="0" w:line="22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August 2011, I/P adopted its 2011 Equity and Performance Incentive Plan (the “I/P 2011 Plan”). The I/P 2011 Plan provided for the issuance of stock options and restricted stock to the Company’s directors, employees and consultants. Cancelled, expired or forfeited grants may be reissued under the I/P 2011 Plan. The number of shares available under I/P 2011 Plan was subject to adjustments for certain changes. Following the Merger with the Legal Parent, the I/P 2011 Plan was assumed by the Company.</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19, 2012, following the Merger with the Legal Parent, the Company’s stockholders approved the 2012 Employee, Director and Consultant Equity Incentive Plan (“2012 Plan”), replacing the existing 2006 Stock Option Plan of the Legal Parent, and the remaining 9,100,000 authorized shares thereunder were cancelled. The Company’s 2012 Plan was approved in order to ensure full compliance with legal and tax requirements under U.S. law. The number of shares subject to the 2012 Plan is the sum of: (i) 15,600,000 shares of common stock, which constitutes 6,500,000 new shares and 9,100,000 previously authorized but unissued shares under the 2006 Stock Option Plan and (ii) any shares of common stock that are represented by awards granted under the Legal Parent’s 2006 Stock Option Plan that are forfeited, expired or are cancelled without delivery of shares of common stock or which result in the forfeiture of shares of common stock back to the Company, or the equivalent of such number of shares after the administrator, in its sole discretion, has interpreted the effect of any stock split, stock dividend, combination, recapitalization or similar transaction in accordance with the 2012 Plan; provided, however, that no more than 3,200,000 shares shall be added to the 2012 Plan. As of September 30, 2013, 4,802,211 shares were available for future grants under the 2012 Plan.</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788"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 Stock options and RSUs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common stock options granted for the nine month period ended September 30,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No. of</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Share price at</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80" w:type="dxa"/>
            <w:vAlign w:val="bottom"/>
            <w:gridSpan w:val="3"/>
          </w:tcPr>
          <w:p>
            <w:pPr>
              <w:ind w:left="460"/>
              <w:spacing w:after="0"/>
              <w:rPr>
                <w:sz w:val="20"/>
                <w:szCs w:val="20"/>
                <w:color w:val="auto"/>
              </w:rPr>
            </w:pPr>
            <w:r>
              <w:rPr>
                <w:rFonts w:ascii="Arial" w:cs="Arial" w:eastAsia="Arial" w:hAnsi="Arial"/>
                <w:sz w:val="13"/>
                <w:szCs w:val="13"/>
                <w:b w:val="1"/>
                <w:bCs w:val="1"/>
                <w:color w:val="auto"/>
              </w:rPr>
              <w:t>Assumptions used in Black-Scholes option pricing</w:t>
            </w:r>
          </w:p>
        </w:tc>
      </w:tr>
      <w:tr>
        <w:trPr>
          <w:trHeight w:val="153"/>
        </w:trPr>
        <w:tc>
          <w:tcPr>
            <w:tcW w:w="2040" w:type="dxa"/>
            <w:vAlign w:val="bottom"/>
          </w:tcPr>
          <w:p>
            <w:pPr>
              <w:ind w:left="900"/>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3"/>
                <w:szCs w:val="13"/>
                <w:color w:val="auto"/>
              </w:rPr>
            </w:pPr>
          </w:p>
        </w:tc>
        <w:tc>
          <w:tcPr>
            <w:tcW w:w="1120" w:type="dxa"/>
            <w:vAlign w:val="bottom"/>
            <w:gridSpan w:val="2"/>
          </w:tcPr>
          <w:p>
            <w:pPr>
              <w:ind w:left="220"/>
              <w:spacing w:after="0"/>
              <w:rPr>
                <w:sz w:val="20"/>
                <w:szCs w:val="20"/>
                <w:color w:val="auto"/>
              </w:rPr>
            </w:pPr>
            <w:r>
              <w:rPr>
                <w:rFonts w:ascii="Arial" w:cs="Arial" w:eastAsia="Arial" w:hAnsi="Arial"/>
                <w:sz w:val="13"/>
                <w:szCs w:val="13"/>
                <w:b w:val="1"/>
                <w:bCs w:val="1"/>
                <w:color w:val="auto"/>
              </w:rPr>
              <w:t>Grant date</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0"/>
              </w:rPr>
              <w:t>options</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Exercise price</w:t>
            </w: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grant date</w:t>
            </w:r>
          </w:p>
        </w:tc>
        <w:tc>
          <w:tcPr>
            <w:tcW w:w="1120" w:type="dxa"/>
            <w:vAlign w:val="bottom"/>
            <w:gridSpan w:val="2"/>
          </w:tcPr>
          <w:p>
            <w:pPr>
              <w:ind w:left="140"/>
              <w:spacing w:after="0"/>
              <w:rPr>
                <w:sz w:val="20"/>
                <w:szCs w:val="20"/>
                <w:color w:val="auto"/>
              </w:rPr>
            </w:pPr>
            <w:r>
              <w:rPr>
                <w:rFonts w:ascii="Arial" w:cs="Arial" w:eastAsia="Arial" w:hAnsi="Arial"/>
                <w:sz w:val="13"/>
                <w:szCs w:val="13"/>
                <w:b w:val="1"/>
                <w:bCs w:val="1"/>
                <w:color w:val="auto"/>
              </w:rPr>
              <w:t>Vesting terms</w:t>
            </w:r>
          </w:p>
        </w:tc>
        <w:tc>
          <w:tcPr>
            <w:tcW w:w="2360" w:type="dxa"/>
            <w:vAlign w:val="bottom"/>
          </w:tcPr>
          <w:p>
            <w:pPr>
              <w:ind w:left="1620"/>
              <w:spacing w:after="0"/>
              <w:rPr>
                <w:sz w:val="20"/>
                <w:szCs w:val="20"/>
                <w:color w:val="auto"/>
              </w:rPr>
            </w:pPr>
            <w:r>
              <w:rPr>
                <w:rFonts w:ascii="Arial" w:cs="Arial" w:eastAsia="Arial" w:hAnsi="Arial"/>
                <w:sz w:val="13"/>
                <w:szCs w:val="13"/>
                <w:b w:val="1"/>
                <w:bCs w:val="1"/>
                <w:color w:val="auto"/>
              </w:rPr>
              <w:t>model</w:t>
            </w: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14"/>
        </w:trPr>
        <w:tc>
          <w:tcPr>
            <w:tcW w:w="2040" w:type="dxa"/>
            <w:vAlign w:val="bottom"/>
            <w:tcBorders>
              <w:top w:val="single" w:sz="8" w:color="auto"/>
            </w:tcBorders>
            <w:shd w:val="clear" w:color="auto" w:fill="CCFFCC"/>
          </w:tcPr>
          <w:p>
            <w:pPr>
              <w:spacing w:after="0" w:line="114" w:lineRule="exact"/>
              <w:rPr>
                <w:sz w:val="20"/>
                <w:szCs w:val="20"/>
                <w:color w:val="auto"/>
              </w:rPr>
            </w:pPr>
            <w:r>
              <w:rPr>
                <w:rFonts w:ascii="Arial" w:cs="Arial" w:eastAsia="Arial" w:hAnsi="Arial"/>
                <w:sz w:val="13"/>
                <w:szCs w:val="13"/>
                <w:color w:val="auto"/>
                <w:w w:val="88"/>
              </w:rPr>
              <w:t>Management, Directors and Employees</w:t>
            </w:r>
          </w:p>
        </w:tc>
        <w:tc>
          <w:tcPr>
            <w:tcW w:w="100" w:type="dxa"/>
            <w:vAlign w:val="bottom"/>
            <w:tcBorders>
              <w:top w:val="single" w:sz="8" w:color="CCFFCC"/>
            </w:tcBorders>
            <w:shd w:val="clear" w:color="auto" w:fill="CCFFCC"/>
          </w:tcPr>
          <w:p>
            <w:pPr>
              <w:spacing w:after="0"/>
              <w:rPr>
                <w:sz w:val="9"/>
                <w:szCs w:val="9"/>
                <w:color w:val="auto"/>
              </w:rPr>
            </w:pPr>
          </w:p>
        </w:tc>
        <w:tc>
          <w:tcPr>
            <w:tcW w:w="1020" w:type="dxa"/>
            <w:vAlign w:val="bottom"/>
            <w:tcBorders>
              <w:top w:val="single" w:sz="8" w:color="auto"/>
            </w:tcBorders>
            <w:shd w:val="clear" w:color="auto" w:fill="CCFFCC"/>
          </w:tcPr>
          <w:p>
            <w:pPr>
              <w:jc w:val="center"/>
              <w:ind w:left="37"/>
              <w:spacing w:after="0" w:line="114" w:lineRule="exact"/>
              <w:rPr>
                <w:sz w:val="20"/>
                <w:szCs w:val="20"/>
                <w:color w:val="auto"/>
              </w:rPr>
            </w:pPr>
            <w:r>
              <w:rPr>
                <w:rFonts w:ascii="Arial" w:cs="Arial" w:eastAsia="Arial" w:hAnsi="Arial"/>
                <w:sz w:val="13"/>
                <w:szCs w:val="13"/>
                <w:color w:val="auto"/>
                <w:w w:val="86"/>
              </w:rPr>
              <w:t>January-</w:t>
            </w:r>
          </w:p>
        </w:tc>
        <w:tc>
          <w:tcPr>
            <w:tcW w:w="100" w:type="dxa"/>
            <w:vAlign w:val="bottom"/>
            <w:tcBorders>
              <w:top w:val="single" w:sz="8" w:color="CCFFCC"/>
            </w:tcBorders>
            <w:shd w:val="clear" w:color="auto" w:fill="CCFFCC"/>
          </w:tcPr>
          <w:p>
            <w:pPr>
              <w:spacing w:after="0"/>
              <w:rPr>
                <w:sz w:val="9"/>
                <w:szCs w:val="9"/>
                <w:color w:val="auto"/>
              </w:rPr>
            </w:pPr>
          </w:p>
        </w:tc>
        <w:tc>
          <w:tcPr>
            <w:tcW w:w="102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102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102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1020" w:type="dxa"/>
            <w:vAlign w:val="bottom"/>
            <w:tcBorders>
              <w:top w:val="single" w:sz="8" w:color="auto"/>
            </w:tcBorders>
            <w:shd w:val="clear" w:color="auto" w:fill="CCFFCC"/>
          </w:tcPr>
          <w:p>
            <w:pPr>
              <w:jc w:val="center"/>
              <w:ind w:left="57"/>
              <w:spacing w:after="0" w:line="114" w:lineRule="exact"/>
              <w:rPr>
                <w:sz w:val="20"/>
                <w:szCs w:val="20"/>
                <w:color w:val="auto"/>
              </w:rPr>
            </w:pPr>
            <w:r>
              <w:rPr>
                <w:rFonts w:ascii="Arial" w:cs="Arial" w:eastAsia="Arial" w:hAnsi="Arial"/>
                <w:sz w:val="13"/>
                <w:szCs w:val="13"/>
                <w:color w:val="auto"/>
                <w:w w:val="87"/>
              </w:rPr>
              <w:t>Over 0.67-</w:t>
            </w:r>
          </w:p>
        </w:tc>
        <w:tc>
          <w:tcPr>
            <w:tcW w:w="100" w:type="dxa"/>
            <w:vAlign w:val="bottom"/>
            <w:tcBorders>
              <w:top w:val="single" w:sz="8" w:color="CCFFCC"/>
            </w:tcBorders>
            <w:shd w:val="clear" w:color="auto" w:fill="CCFFCC"/>
          </w:tcPr>
          <w:p>
            <w:pPr>
              <w:spacing w:after="0"/>
              <w:rPr>
                <w:sz w:val="9"/>
                <w:szCs w:val="9"/>
                <w:color w:val="auto"/>
              </w:rPr>
            </w:pPr>
          </w:p>
        </w:tc>
        <w:tc>
          <w:tcPr>
            <w:tcW w:w="2360" w:type="dxa"/>
            <w:vAlign w:val="bottom"/>
            <w:tcBorders>
              <w:top w:val="single" w:sz="8" w:color="auto"/>
            </w:tcBorders>
            <w:shd w:val="clear" w:color="auto" w:fill="CCFFCC"/>
          </w:tcPr>
          <w:p>
            <w:pPr>
              <w:spacing w:after="0"/>
              <w:rPr>
                <w:sz w:val="9"/>
                <w:szCs w:val="9"/>
                <w:color w:val="auto"/>
              </w:rPr>
            </w:pPr>
          </w:p>
        </w:tc>
        <w:tc>
          <w:tcPr>
            <w:tcW w:w="1220" w:type="dxa"/>
            <w:vAlign w:val="bottom"/>
            <w:tcBorders>
              <w:top w:val="single" w:sz="8" w:color="auto"/>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r>
      <w:tr>
        <w:trPr>
          <w:trHeight w:val="135"/>
        </w:trPr>
        <w:tc>
          <w:tcPr>
            <w:tcW w:w="2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center"/>
              <w:spacing w:after="0" w:line="135" w:lineRule="exact"/>
              <w:rPr>
                <w:sz w:val="20"/>
                <w:szCs w:val="20"/>
                <w:color w:val="auto"/>
              </w:rPr>
            </w:pPr>
            <w:r>
              <w:rPr>
                <w:rFonts w:ascii="Arial" w:cs="Arial" w:eastAsia="Arial" w:hAnsi="Arial"/>
                <w:sz w:val="13"/>
                <w:szCs w:val="13"/>
                <w:color w:val="auto"/>
                <w:w w:val="85"/>
              </w:rPr>
              <w:t>September 2013</w:t>
            </w:r>
          </w:p>
        </w:tc>
        <w:tc>
          <w:tcPr>
            <w:tcW w:w="102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3,090,833</w:t>
            </w: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$2.85-$3.24</w:t>
            </w: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$2.85-$3.24</w:t>
            </w:r>
          </w:p>
        </w:tc>
        <w:tc>
          <w:tcPr>
            <w:tcW w:w="10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center"/>
              <w:spacing w:after="0" w:line="135" w:lineRule="exact"/>
              <w:rPr>
                <w:sz w:val="20"/>
                <w:szCs w:val="20"/>
                <w:color w:val="auto"/>
              </w:rPr>
            </w:pPr>
            <w:r>
              <w:rPr>
                <w:rFonts w:ascii="Arial" w:cs="Arial" w:eastAsia="Arial" w:hAnsi="Arial"/>
                <w:sz w:val="13"/>
                <w:szCs w:val="13"/>
                <w:color w:val="auto"/>
                <w:w w:val="84"/>
              </w:rPr>
              <w:t>3 years</w:t>
            </w:r>
          </w:p>
        </w:tc>
        <w:tc>
          <w:tcPr>
            <w:tcW w:w="2360" w:type="dxa"/>
            <w:vAlign w:val="bottom"/>
            <w:shd w:val="clear" w:color="auto" w:fill="CCFFCC"/>
          </w:tcPr>
          <w:p>
            <w:pPr>
              <w:ind w:left="120"/>
              <w:spacing w:after="0" w:line="135" w:lineRule="exact"/>
              <w:rPr>
                <w:sz w:val="20"/>
                <w:szCs w:val="20"/>
                <w:color w:val="auto"/>
              </w:rPr>
            </w:pPr>
            <w:r>
              <w:rPr>
                <w:rFonts w:ascii="Arial" w:cs="Arial" w:eastAsia="Arial" w:hAnsi="Arial"/>
                <w:sz w:val="13"/>
                <w:szCs w:val="13"/>
                <w:color w:val="auto"/>
              </w:rPr>
              <w:t>Volatility</w:t>
            </w:r>
          </w:p>
        </w:tc>
        <w:tc>
          <w:tcPr>
            <w:tcW w:w="13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61.93%-70.51%</w:t>
            </w:r>
          </w:p>
        </w:tc>
      </w:tr>
      <w:tr>
        <w:trPr>
          <w:trHeight w:val="135"/>
        </w:trPr>
        <w:tc>
          <w:tcPr>
            <w:tcW w:w="2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360" w:type="dxa"/>
            <w:vAlign w:val="bottom"/>
            <w:shd w:val="clear" w:color="auto" w:fill="CCFFCC"/>
          </w:tcPr>
          <w:p>
            <w:pPr>
              <w:ind w:left="120"/>
              <w:spacing w:after="0" w:line="135" w:lineRule="exact"/>
              <w:rPr>
                <w:sz w:val="20"/>
                <w:szCs w:val="20"/>
                <w:color w:val="auto"/>
              </w:rPr>
            </w:pPr>
            <w:r>
              <w:rPr>
                <w:rFonts w:ascii="Arial" w:cs="Arial" w:eastAsia="Arial" w:hAnsi="Arial"/>
                <w:sz w:val="13"/>
                <w:szCs w:val="13"/>
                <w:color w:val="auto"/>
              </w:rPr>
              <w:t>Risk free interest rate</w:t>
            </w:r>
          </w:p>
        </w:tc>
        <w:tc>
          <w:tcPr>
            <w:tcW w:w="13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0.85%-2.06%</w:t>
            </w:r>
          </w:p>
        </w:tc>
      </w:tr>
      <w:tr>
        <w:trPr>
          <w:trHeight w:val="135"/>
        </w:trPr>
        <w:tc>
          <w:tcPr>
            <w:tcW w:w="2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360" w:type="dxa"/>
            <w:vAlign w:val="bottom"/>
            <w:shd w:val="clear" w:color="auto" w:fill="CCFFCC"/>
          </w:tcPr>
          <w:p>
            <w:pPr>
              <w:ind w:left="120"/>
              <w:spacing w:after="0" w:line="135" w:lineRule="exact"/>
              <w:rPr>
                <w:sz w:val="20"/>
                <w:szCs w:val="20"/>
                <w:color w:val="auto"/>
              </w:rPr>
            </w:pPr>
            <w:r>
              <w:rPr>
                <w:rFonts w:ascii="Arial" w:cs="Arial" w:eastAsia="Arial" w:hAnsi="Arial"/>
                <w:sz w:val="13"/>
                <w:szCs w:val="13"/>
                <w:color w:val="auto"/>
              </w:rPr>
              <w:t>Expected term, in years</w:t>
            </w:r>
          </w:p>
        </w:tc>
        <w:tc>
          <w:tcPr>
            <w:tcW w:w="13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5.71-10.00</w:t>
            </w:r>
          </w:p>
        </w:tc>
      </w:tr>
      <w:tr>
        <w:trPr>
          <w:trHeight w:val="149"/>
        </w:trPr>
        <w:tc>
          <w:tcPr>
            <w:tcW w:w="2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360" w:type="dxa"/>
            <w:vAlign w:val="bottom"/>
            <w:shd w:val="clear" w:color="auto" w:fill="CCFFCC"/>
          </w:tcPr>
          <w:p>
            <w:pPr>
              <w:ind w:left="120"/>
              <w:spacing w:after="0"/>
              <w:rPr>
                <w:sz w:val="20"/>
                <w:szCs w:val="20"/>
                <w:color w:val="auto"/>
              </w:rPr>
            </w:pPr>
            <w:r>
              <w:rPr>
                <w:rFonts w:ascii="Arial" w:cs="Arial" w:eastAsia="Arial" w:hAnsi="Arial"/>
                <w:sz w:val="13"/>
                <w:szCs w:val="13"/>
                <w:color w:val="auto"/>
              </w:rPr>
              <w:t>Dividend yield</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0.00%</w:t>
            </w:r>
          </w:p>
        </w:tc>
      </w:tr>
      <w:tr>
        <w:trPr>
          <w:trHeight w:val="121"/>
        </w:trPr>
        <w:tc>
          <w:tcPr>
            <w:tcW w:w="2040" w:type="dxa"/>
            <w:vAlign w:val="bottom"/>
          </w:tcPr>
          <w:p>
            <w:pPr>
              <w:spacing w:after="0" w:line="121" w:lineRule="exact"/>
              <w:rPr>
                <w:sz w:val="20"/>
                <w:szCs w:val="20"/>
                <w:color w:val="auto"/>
              </w:rPr>
            </w:pPr>
            <w:r>
              <w:rPr>
                <w:rFonts w:ascii="Arial" w:cs="Arial" w:eastAsia="Arial" w:hAnsi="Arial"/>
                <w:sz w:val="13"/>
                <w:szCs w:val="13"/>
                <w:color w:val="auto"/>
              </w:rPr>
              <w:t>Consultants</w:t>
            </w:r>
          </w:p>
        </w:tc>
        <w:tc>
          <w:tcPr>
            <w:tcW w:w="100" w:type="dxa"/>
            <w:vAlign w:val="bottom"/>
          </w:tcPr>
          <w:p>
            <w:pPr>
              <w:spacing w:after="0"/>
              <w:rPr>
                <w:sz w:val="10"/>
                <w:szCs w:val="10"/>
                <w:color w:val="auto"/>
              </w:rPr>
            </w:pPr>
          </w:p>
        </w:tc>
        <w:tc>
          <w:tcPr>
            <w:tcW w:w="1120" w:type="dxa"/>
            <w:vAlign w:val="bottom"/>
            <w:gridSpan w:val="2"/>
          </w:tcPr>
          <w:p>
            <w:pPr>
              <w:jc w:val="center"/>
              <w:spacing w:after="0" w:line="121" w:lineRule="exact"/>
              <w:rPr>
                <w:sz w:val="20"/>
                <w:szCs w:val="20"/>
                <w:color w:val="auto"/>
              </w:rPr>
            </w:pPr>
            <w:r>
              <w:rPr>
                <w:rFonts w:ascii="Arial" w:cs="Arial" w:eastAsia="Arial" w:hAnsi="Arial"/>
                <w:sz w:val="13"/>
                <w:szCs w:val="13"/>
                <w:color w:val="auto"/>
                <w:w w:val="83"/>
              </w:rPr>
              <w:t>January-June</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2040" w:type="dxa"/>
            <w:vAlign w:val="bottom"/>
          </w:tcPr>
          <w:p>
            <w:pPr>
              <w:spacing w:after="0"/>
              <w:rPr>
                <w:sz w:val="11"/>
                <w:szCs w:val="11"/>
                <w:color w:val="auto"/>
              </w:rPr>
            </w:pPr>
          </w:p>
        </w:tc>
        <w:tc>
          <w:tcPr>
            <w:tcW w:w="1120" w:type="dxa"/>
            <w:vAlign w:val="bottom"/>
            <w:gridSpan w:val="2"/>
          </w:tcPr>
          <w:p>
            <w:pPr>
              <w:jc w:val="center"/>
              <w:ind w:left="137"/>
              <w:spacing w:after="0" w:line="135" w:lineRule="exact"/>
              <w:rPr>
                <w:sz w:val="20"/>
                <w:szCs w:val="20"/>
                <w:color w:val="auto"/>
              </w:rPr>
            </w:pPr>
            <w:r>
              <w:rPr>
                <w:rFonts w:ascii="Arial" w:cs="Arial" w:eastAsia="Arial" w:hAnsi="Arial"/>
                <w:sz w:val="13"/>
                <w:szCs w:val="13"/>
                <w:color w:val="auto"/>
                <w:w w:val="82"/>
              </w:rPr>
              <w:t>2013</w:t>
            </w:r>
          </w:p>
        </w:tc>
        <w:tc>
          <w:tcPr>
            <w:tcW w:w="100" w:type="dxa"/>
            <w:vAlign w:val="bottom"/>
          </w:tcPr>
          <w:p>
            <w:pPr>
              <w:spacing w:after="0"/>
              <w:rPr>
                <w:sz w:val="11"/>
                <w:szCs w:val="11"/>
                <w:color w:val="auto"/>
              </w:rPr>
            </w:pPr>
          </w:p>
        </w:tc>
        <w:tc>
          <w:tcPr>
            <w:tcW w:w="102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132,500</w:t>
            </w:r>
          </w:p>
        </w:tc>
        <w:tc>
          <w:tcPr>
            <w:tcW w:w="100" w:type="dxa"/>
            <w:vAlign w:val="bottom"/>
          </w:tcPr>
          <w:p>
            <w:pPr>
              <w:spacing w:after="0"/>
              <w:rPr>
                <w:sz w:val="11"/>
                <w:szCs w:val="11"/>
                <w:color w:val="auto"/>
              </w:rPr>
            </w:pP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$2.90-$3.30</w:t>
            </w:r>
          </w:p>
        </w:tc>
        <w:tc>
          <w:tcPr>
            <w:tcW w:w="100" w:type="dxa"/>
            <w:vAlign w:val="bottom"/>
          </w:tcPr>
          <w:p>
            <w:pPr>
              <w:spacing w:after="0"/>
              <w:rPr>
                <w:sz w:val="11"/>
                <w:szCs w:val="11"/>
                <w:color w:val="auto"/>
              </w:rPr>
            </w:pP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$2.90-$3.30</w:t>
            </w:r>
          </w:p>
        </w:tc>
        <w:tc>
          <w:tcPr>
            <w:tcW w:w="100" w:type="dxa"/>
            <w:vAlign w:val="bottom"/>
          </w:tcPr>
          <w:p>
            <w:pPr>
              <w:spacing w:after="0"/>
              <w:rPr>
                <w:sz w:val="11"/>
                <w:szCs w:val="11"/>
                <w:color w:val="auto"/>
              </w:rPr>
            </w:pPr>
          </w:p>
        </w:tc>
        <w:tc>
          <w:tcPr>
            <w:tcW w:w="1120" w:type="dxa"/>
            <w:vAlign w:val="bottom"/>
            <w:gridSpan w:val="2"/>
          </w:tcPr>
          <w:p>
            <w:pPr>
              <w:jc w:val="center"/>
              <w:spacing w:after="0" w:line="135" w:lineRule="exact"/>
              <w:rPr>
                <w:sz w:val="20"/>
                <w:szCs w:val="20"/>
                <w:color w:val="auto"/>
              </w:rPr>
            </w:pPr>
            <w:r>
              <w:rPr>
                <w:rFonts w:ascii="Arial" w:cs="Arial" w:eastAsia="Arial" w:hAnsi="Arial"/>
                <w:sz w:val="13"/>
                <w:szCs w:val="13"/>
                <w:color w:val="auto"/>
                <w:w w:val="86"/>
              </w:rPr>
              <w:t>Over 0-2.5 years</w:t>
            </w:r>
          </w:p>
        </w:tc>
        <w:tc>
          <w:tcPr>
            <w:tcW w:w="2360" w:type="dxa"/>
            <w:vAlign w:val="bottom"/>
          </w:tcPr>
          <w:p>
            <w:pPr>
              <w:ind w:left="120"/>
              <w:spacing w:after="0" w:line="135" w:lineRule="exact"/>
              <w:rPr>
                <w:sz w:val="20"/>
                <w:szCs w:val="20"/>
                <w:color w:val="auto"/>
              </w:rPr>
            </w:pPr>
            <w:r>
              <w:rPr>
                <w:rFonts w:ascii="Arial" w:cs="Arial" w:eastAsia="Arial" w:hAnsi="Arial"/>
                <w:sz w:val="13"/>
                <w:szCs w:val="13"/>
                <w:color w:val="auto"/>
              </w:rPr>
              <w:t>Volatility</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63.87%-65.96%</w:t>
            </w: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ind w:left="120"/>
              <w:spacing w:after="0" w:line="135" w:lineRule="exact"/>
              <w:rPr>
                <w:sz w:val="20"/>
                <w:szCs w:val="20"/>
                <w:color w:val="auto"/>
              </w:rPr>
            </w:pPr>
            <w:r>
              <w:rPr>
                <w:rFonts w:ascii="Arial" w:cs="Arial" w:eastAsia="Arial" w:hAnsi="Arial"/>
                <w:sz w:val="13"/>
                <w:szCs w:val="13"/>
                <w:color w:val="auto"/>
              </w:rPr>
              <w:t>Risk free interest rate</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2.16%-2.62%</w:t>
            </w:r>
          </w:p>
        </w:tc>
      </w:tr>
      <w:tr>
        <w:trPr>
          <w:trHeight w:val="135"/>
        </w:trPr>
        <w:tc>
          <w:tcPr>
            <w:tcW w:w="2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60" w:type="dxa"/>
            <w:vAlign w:val="bottom"/>
          </w:tcPr>
          <w:p>
            <w:pPr>
              <w:ind w:left="120"/>
              <w:spacing w:after="0" w:line="135" w:lineRule="exact"/>
              <w:rPr>
                <w:sz w:val="20"/>
                <w:szCs w:val="20"/>
                <w:color w:val="auto"/>
              </w:rPr>
            </w:pPr>
            <w:r>
              <w:rPr>
                <w:rFonts w:ascii="Arial" w:cs="Arial" w:eastAsia="Arial" w:hAnsi="Arial"/>
                <w:sz w:val="13"/>
                <w:szCs w:val="13"/>
                <w:color w:val="auto"/>
              </w:rPr>
              <w:t>Remaining expected term, in years</w:t>
            </w:r>
          </w:p>
        </w:tc>
        <w:tc>
          <w:tcPr>
            <w:tcW w:w="13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9.25-9.75</w:t>
            </w:r>
          </w:p>
        </w:tc>
      </w:tr>
      <w:tr>
        <w:trPr>
          <w:trHeight w:val="160"/>
        </w:trPr>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60" w:type="dxa"/>
            <w:vAlign w:val="bottom"/>
          </w:tcPr>
          <w:p>
            <w:pPr>
              <w:ind w:left="120"/>
              <w:spacing w:after="0"/>
              <w:rPr>
                <w:sz w:val="20"/>
                <w:szCs w:val="20"/>
                <w:color w:val="auto"/>
              </w:rPr>
            </w:pPr>
            <w:r>
              <w:rPr>
                <w:rFonts w:ascii="Arial" w:cs="Arial" w:eastAsia="Arial" w:hAnsi="Arial"/>
                <w:sz w:val="13"/>
                <w:szCs w:val="13"/>
                <w:color w:val="auto"/>
              </w:rPr>
              <w:t>Dividend yield</w:t>
            </w:r>
          </w:p>
        </w:tc>
        <w:tc>
          <w:tcPr>
            <w:tcW w:w="1320" w:type="dxa"/>
            <w:vAlign w:val="bottom"/>
            <w:gridSpan w:val="2"/>
          </w:tcPr>
          <w:p>
            <w:pPr>
              <w:jc w:val="right"/>
              <w:ind w:right="100"/>
              <w:spacing w:after="0"/>
              <w:rPr>
                <w:sz w:val="20"/>
                <w:szCs w:val="20"/>
                <w:color w:val="auto"/>
              </w:rPr>
            </w:pPr>
            <w:r>
              <w:rPr>
                <w:rFonts w:ascii="Arial" w:cs="Arial" w:eastAsia="Arial" w:hAnsi="Arial"/>
                <w:sz w:val="13"/>
                <w:szCs w:val="13"/>
                <w:color w:val="auto"/>
              </w:rPr>
              <w:t>0.00%</w:t>
            </w:r>
          </w:p>
        </w:tc>
      </w:tr>
    </w:tbl>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illustrates the RSUs granted for the nine month period ended September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Share price at grant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gridSpan w:val="2"/>
          </w:tcPr>
          <w:p>
            <w:pPr>
              <w:ind w:left="1300"/>
              <w:spacing w:after="0"/>
              <w:rPr>
                <w:sz w:val="20"/>
                <w:szCs w:val="20"/>
                <w:color w:val="auto"/>
              </w:rPr>
            </w:pPr>
            <w:r>
              <w:rPr>
                <w:rFonts w:ascii="Arial" w:cs="Arial" w:eastAsia="Arial" w:hAnsi="Arial"/>
                <w:sz w:val="18"/>
                <w:szCs w:val="18"/>
                <w:b w:val="1"/>
                <w:bCs w:val="1"/>
                <w:color w:val="auto"/>
              </w:rPr>
              <w:t>Title</w:t>
            </w:r>
          </w:p>
        </w:tc>
        <w:tc>
          <w:tcPr>
            <w:tcW w:w="1940" w:type="dxa"/>
            <w:vAlign w:val="bottom"/>
            <w:gridSpan w:val="2"/>
          </w:tcPr>
          <w:p>
            <w:pPr>
              <w:ind w:left="480"/>
              <w:spacing w:after="0"/>
              <w:rPr>
                <w:sz w:val="20"/>
                <w:szCs w:val="20"/>
                <w:color w:val="auto"/>
              </w:rPr>
            </w:pPr>
            <w:r>
              <w:rPr>
                <w:rFonts w:ascii="Arial" w:cs="Arial" w:eastAsia="Arial" w:hAnsi="Arial"/>
                <w:sz w:val="18"/>
                <w:szCs w:val="18"/>
                <w:b w:val="1"/>
                <w:bCs w:val="1"/>
                <w:color w:val="auto"/>
              </w:rPr>
              <w:t>Grant date</w:t>
            </w:r>
          </w:p>
        </w:tc>
        <w:tc>
          <w:tcPr>
            <w:tcW w:w="1580" w:type="dxa"/>
            <w:vAlign w:val="bottom"/>
            <w:gridSpan w:val="2"/>
          </w:tcPr>
          <w:p>
            <w:pPr>
              <w:ind w:left="260"/>
              <w:spacing w:after="0"/>
              <w:rPr>
                <w:sz w:val="20"/>
                <w:szCs w:val="20"/>
                <w:color w:val="auto"/>
              </w:rPr>
            </w:pPr>
            <w:r>
              <w:rPr>
                <w:rFonts w:ascii="Arial" w:cs="Arial" w:eastAsia="Arial" w:hAnsi="Arial"/>
                <w:sz w:val="18"/>
                <w:szCs w:val="18"/>
                <w:b w:val="1"/>
                <w:bCs w:val="1"/>
                <w:color w:val="auto"/>
              </w:rPr>
              <w:t>No. of RSUs</w:t>
            </w:r>
          </w:p>
        </w:tc>
        <w:tc>
          <w:tcPr>
            <w:tcW w:w="1460" w:type="dxa"/>
            <w:vAlign w:val="bottom"/>
          </w:tcPr>
          <w:p>
            <w:pPr>
              <w:ind w:left="180"/>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Pr>
          <w:p>
            <w:pPr>
              <w:spacing w:after="0"/>
              <w:rPr>
                <w:sz w:val="20"/>
                <w:szCs w:val="20"/>
                <w:color w:val="auto"/>
              </w:rPr>
            </w:pPr>
          </w:p>
        </w:tc>
        <w:tc>
          <w:tcPr>
            <w:tcW w:w="16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date</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Vesting terms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8"/>
              </w:rPr>
              <w:t>Management, directors and employees</w:t>
            </w:r>
          </w:p>
        </w:tc>
        <w:tc>
          <w:tcPr>
            <w:tcW w:w="194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rPr>
              <w:t>February-May 2013</w:t>
            </w:r>
          </w:p>
        </w:tc>
        <w:tc>
          <w:tcPr>
            <w:tcW w:w="146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656,250</w:t>
            </w: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ind w:left="7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190"/>
              <w:spacing w:after="0"/>
              <w:rPr>
                <w:sz w:val="20"/>
                <w:szCs w:val="20"/>
                <w:color w:val="auto"/>
              </w:rPr>
            </w:pPr>
            <w:r>
              <w:rPr>
                <w:rFonts w:ascii="Arial" w:cs="Arial" w:eastAsia="Arial" w:hAnsi="Arial"/>
                <w:sz w:val="18"/>
                <w:szCs w:val="18"/>
                <w:color w:val="auto"/>
              </w:rPr>
              <w:t>$2.95-$3.18</w:t>
            </w:r>
          </w:p>
        </w:tc>
        <w:tc>
          <w:tcPr>
            <w:tcW w:w="1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w w:val="98"/>
              </w:rPr>
              <w:t>Over 0.67-3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Consultants</w:t>
            </w:r>
          </w:p>
        </w:tc>
        <w:tc>
          <w:tcPr>
            <w:tcW w:w="1940" w:type="dxa"/>
            <w:vAlign w:val="bottom"/>
            <w:gridSpan w:val="2"/>
            <w:shd w:val="clear" w:color="auto" w:fill="CCFFCC"/>
          </w:tcPr>
          <w:p>
            <w:pPr>
              <w:ind w:left="500"/>
              <w:spacing w:after="0"/>
              <w:rPr>
                <w:sz w:val="20"/>
                <w:szCs w:val="20"/>
                <w:color w:val="auto"/>
              </w:rPr>
            </w:pPr>
            <w:r>
              <w:rPr>
                <w:rFonts w:ascii="Arial" w:cs="Arial" w:eastAsia="Arial" w:hAnsi="Arial"/>
                <w:sz w:val="18"/>
                <w:szCs w:val="18"/>
                <w:color w:val="auto"/>
              </w:rPr>
              <w:t>January 2013</w:t>
            </w:r>
          </w:p>
        </w:tc>
        <w:tc>
          <w:tcPr>
            <w:tcW w:w="146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33,000</w:t>
            </w:r>
          </w:p>
        </w:tc>
        <w:tc>
          <w:tcPr>
            <w:tcW w:w="120" w:type="dxa"/>
            <w:vAlign w:val="bottom"/>
            <w:shd w:val="clear" w:color="auto" w:fill="CCFFCC"/>
          </w:tcPr>
          <w:p>
            <w:pPr>
              <w:spacing w:after="0"/>
              <w:rPr>
                <w:sz w:val="18"/>
                <w:szCs w:val="18"/>
                <w:color w:val="auto"/>
              </w:rPr>
            </w:pPr>
          </w:p>
        </w:tc>
        <w:tc>
          <w:tcPr>
            <w:tcW w:w="1460" w:type="dxa"/>
            <w:vAlign w:val="bottom"/>
            <w:shd w:val="clear" w:color="auto" w:fill="CCFFCC"/>
          </w:tcPr>
          <w:p>
            <w:pPr>
              <w:ind w:left="7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FFCC"/>
          </w:tcPr>
          <w:p>
            <w:pPr>
              <w:jc w:val="right"/>
              <w:ind w:right="43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Over 0.75 years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options granted to officers, directors and certain key employees are subject to acceleration of vesting of 75% - 100% (according to the agreement signed with each optionee), upon a subsequent change of control.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RSU and stock option activity for the nine month period ended September 30, 2013: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RSUs</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60" w:type="dxa"/>
            <w:vAlign w:val="bottom"/>
          </w:tcPr>
          <w:p>
            <w:pPr>
              <w:spacing w:after="0"/>
              <w:rPr>
                <w:sz w:val="10"/>
                <w:szCs w:val="10"/>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No. of</w:t>
            </w:r>
          </w:p>
        </w:tc>
        <w:tc>
          <w:tcPr>
            <w:tcW w:w="11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20" w:type="dxa"/>
            <w:vAlign w:val="bottom"/>
          </w:tcPr>
          <w:p>
            <w:pPr>
              <w:spacing w:after="0"/>
              <w:rPr>
                <w:sz w:val="10"/>
                <w:szCs w:val="10"/>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 of</w:t>
            </w:r>
          </w:p>
        </w:tc>
        <w:tc>
          <w:tcPr>
            <w:tcW w:w="60" w:type="dxa"/>
            <w:vAlign w:val="bottom"/>
          </w:tcPr>
          <w:p>
            <w:pPr>
              <w:spacing w:after="0"/>
              <w:rPr>
                <w:sz w:val="10"/>
                <w:szCs w:val="10"/>
                <w:color w:val="auto"/>
              </w:rPr>
            </w:pPr>
          </w:p>
        </w:tc>
        <w:tc>
          <w:tcPr>
            <w:tcW w:w="1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4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0"/>
                <w:szCs w:val="10"/>
                <w:color w:val="auto"/>
              </w:rPr>
            </w:pPr>
          </w:p>
        </w:tc>
        <w:tc>
          <w:tcPr>
            <w:tcW w:w="11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8"/>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11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grant date fair</w:t>
            </w:r>
          </w:p>
        </w:tc>
        <w:tc>
          <w:tcPr>
            <w:tcW w:w="0" w:type="dxa"/>
            <w:vAlign w:val="bottom"/>
          </w:tcPr>
          <w:p>
            <w:pPr>
              <w:spacing w:after="0"/>
              <w:rPr>
                <w:sz w:val="1"/>
                <w:szCs w:val="1"/>
                <w:color w:val="auto"/>
              </w:rPr>
            </w:pPr>
          </w:p>
        </w:tc>
      </w:tr>
      <w:tr>
        <w:trPr>
          <w:trHeight w:val="171"/>
        </w:trPr>
        <w:tc>
          <w:tcPr>
            <w:tcW w:w="356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RSUs</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value</w:t>
            </w:r>
          </w:p>
        </w:tc>
        <w:tc>
          <w:tcPr>
            <w:tcW w:w="11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options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exercise price</w:t>
            </w:r>
          </w:p>
        </w:tc>
        <w:tc>
          <w:tcPr>
            <w:tcW w:w="1460" w:type="dxa"/>
            <w:vAlign w:val="bottom"/>
          </w:tcPr>
          <w:p>
            <w:pPr>
              <w:ind w:left="560"/>
              <w:spacing w:after="0"/>
              <w:rPr>
                <w:sz w:val="20"/>
                <w:szCs w:val="20"/>
                <w:color w:val="auto"/>
              </w:rPr>
            </w:pPr>
            <w:r>
              <w:rPr>
                <w:rFonts w:ascii="Arial" w:cs="Arial" w:eastAsia="Arial" w:hAnsi="Arial"/>
                <w:sz w:val="14"/>
                <w:szCs w:val="14"/>
                <w:b w:val="1"/>
                <w:bCs w:val="1"/>
                <w:color w:val="auto"/>
              </w:rPr>
              <w:t>range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42"/>
        </w:trPr>
        <w:tc>
          <w:tcPr>
            <w:tcW w:w="3560" w:type="dxa"/>
            <w:vAlign w:val="bottom"/>
            <w:tcBorders>
              <w:top w:val="single" w:sz="8" w:color="CCFFCC"/>
            </w:tcBorders>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Outstanding at January 1, 2013</w:t>
            </w:r>
          </w:p>
        </w:tc>
        <w:tc>
          <w:tcPr>
            <w:tcW w:w="116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3,125,000</w:t>
            </w:r>
          </w:p>
        </w:tc>
        <w:tc>
          <w:tcPr>
            <w:tcW w:w="120" w:type="dxa"/>
            <w:vAlign w:val="bottom"/>
            <w:tcBorders>
              <w:top w:val="single" w:sz="8" w:color="CCFFCC"/>
            </w:tcBorders>
            <w:shd w:val="clear" w:color="auto" w:fill="CCFFCC"/>
          </w:tcPr>
          <w:p>
            <w:pPr>
              <w:spacing w:after="0"/>
              <w:rPr>
                <w:sz w:val="12"/>
                <w:szCs w:val="12"/>
                <w:color w:val="auto"/>
              </w:rPr>
            </w:pPr>
          </w:p>
        </w:tc>
        <w:tc>
          <w:tcPr>
            <w:tcW w:w="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3.72</w:t>
            </w:r>
          </w:p>
        </w:tc>
        <w:tc>
          <w:tcPr>
            <w:tcW w:w="120" w:type="dxa"/>
            <w:vAlign w:val="bottom"/>
            <w:tcBorders>
              <w:top w:val="single" w:sz="8" w:color="CCFFCC"/>
            </w:tcBorders>
            <w:shd w:val="clear" w:color="auto" w:fill="CCFFCC"/>
          </w:tcPr>
          <w:p>
            <w:pPr>
              <w:spacing w:after="0"/>
              <w:rPr>
                <w:sz w:val="12"/>
                <w:szCs w:val="12"/>
                <w:color w:val="auto"/>
              </w:rPr>
            </w:pPr>
          </w:p>
        </w:tc>
        <w:tc>
          <w:tcPr>
            <w:tcW w:w="11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9,149,105</w:t>
            </w:r>
          </w:p>
        </w:tc>
        <w:tc>
          <w:tcPr>
            <w:tcW w:w="60" w:type="dxa"/>
            <w:vAlign w:val="bottom"/>
            <w:tcBorders>
              <w:top w:val="single" w:sz="8" w:color="CCFFCC"/>
            </w:tcBorders>
            <w:shd w:val="clear" w:color="auto" w:fill="CCFFCC"/>
          </w:tcPr>
          <w:p>
            <w:pPr>
              <w:spacing w:after="0"/>
              <w:rPr>
                <w:sz w:val="12"/>
                <w:szCs w:val="12"/>
                <w:color w:val="auto"/>
              </w:rPr>
            </w:pPr>
          </w:p>
        </w:tc>
        <w:tc>
          <w:tcPr>
            <w:tcW w:w="6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FFCC"/>
          </w:tcPr>
          <w:p>
            <w:pPr>
              <w:jc w:val="right"/>
              <w:spacing w:after="0" w:line="142" w:lineRule="exact"/>
              <w:rPr>
                <w:sz w:val="20"/>
                <w:szCs w:val="20"/>
                <w:color w:val="auto"/>
              </w:rPr>
            </w:pPr>
            <w:r>
              <w:rPr>
                <w:rFonts w:ascii="Arial" w:cs="Arial" w:eastAsia="Arial" w:hAnsi="Arial"/>
                <w:sz w:val="14"/>
                <w:szCs w:val="14"/>
                <w:color w:val="auto"/>
              </w:rPr>
              <w:t>3.33</w:t>
            </w:r>
          </w:p>
        </w:tc>
        <w:tc>
          <w:tcPr>
            <w:tcW w:w="120" w:type="dxa"/>
            <w:vAlign w:val="bottom"/>
            <w:tcBorders>
              <w:top w:val="single" w:sz="8" w:color="CCFFCC"/>
            </w:tcBorders>
            <w:shd w:val="clear" w:color="auto" w:fill="CCFFCC"/>
          </w:tcPr>
          <w:p>
            <w:pPr>
              <w:spacing w:after="0"/>
              <w:rPr>
                <w:sz w:val="12"/>
                <w:szCs w:val="12"/>
                <w:color w:val="auto"/>
              </w:rPr>
            </w:pPr>
          </w:p>
        </w:tc>
        <w:tc>
          <w:tcPr>
            <w:tcW w:w="1460" w:type="dxa"/>
            <w:vAlign w:val="bottom"/>
            <w:tcBorders>
              <w:top w:val="single" w:sz="8" w:color="auto"/>
            </w:tcBorders>
            <w:shd w:val="clear" w:color="auto" w:fill="CCFFCC"/>
          </w:tcPr>
          <w:p>
            <w:pPr>
              <w:ind w:left="620"/>
              <w:spacing w:after="0" w:line="142" w:lineRule="exact"/>
              <w:rPr>
                <w:sz w:val="20"/>
                <w:szCs w:val="20"/>
                <w:color w:val="auto"/>
              </w:rPr>
            </w:pPr>
            <w:r>
              <w:rPr>
                <w:rFonts w:ascii="Arial" w:cs="Arial" w:eastAsia="Arial" w:hAnsi="Arial"/>
                <w:sz w:val="14"/>
                <w:szCs w:val="14"/>
                <w:color w:val="auto"/>
                <w:w w:val="95"/>
              </w:rPr>
              <w:t>$0.01 – $5.50</w:t>
            </w:r>
          </w:p>
        </w:tc>
        <w:tc>
          <w:tcPr>
            <w:tcW w:w="120" w:type="dxa"/>
            <w:vAlign w:val="bottom"/>
            <w:tcBorders>
              <w:top w:val="single" w:sz="8" w:color="CCFFCC"/>
            </w:tcBorders>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CFFCC"/>
          </w:tcPr>
          <w:p>
            <w:pPr>
              <w:jc w:val="right"/>
              <w:ind w:right="8"/>
              <w:spacing w:after="0" w:line="142" w:lineRule="exact"/>
              <w:rPr>
                <w:sz w:val="20"/>
                <w:szCs w:val="20"/>
                <w:color w:val="auto"/>
              </w:rPr>
            </w:pPr>
            <w:r>
              <w:rPr>
                <w:rFonts w:ascii="Arial" w:cs="Arial" w:eastAsia="Arial" w:hAnsi="Arial"/>
                <w:sz w:val="14"/>
                <w:szCs w:val="14"/>
                <w:color w:val="auto"/>
              </w:rPr>
              <w:t>2.57</w:t>
            </w:r>
          </w:p>
        </w:tc>
        <w:tc>
          <w:tcPr>
            <w:tcW w:w="100" w:type="dxa"/>
            <w:vAlign w:val="bottom"/>
            <w:tcBorders>
              <w:top w:val="single" w:sz="8" w:color="CCFFCC"/>
            </w:tcBorders>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Granted</w:t>
            </w:r>
          </w:p>
        </w:tc>
        <w:tc>
          <w:tcPr>
            <w:tcW w:w="1160" w:type="dxa"/>
            <w:vAlign w:val="bottom"/>
          </w:tcPr>
          <w:p>
            <w:pPr>
              <w:jc w:val="right"/>
              <w:spacing w:after="0"/>
              <w:rPr>
                <w:sz w:val="20"/>
                <w:szCs w:val="20"/>
                <w:color w:val="auto"/>
              </w:rPr>
            </w:pPr>
            <w:r>
              <w:rPr>
                <w:rFonts w:ascii="Arial" w:cs="Arial" w:eastAsia="Arial" w:hAnsi="Arial"/>
                <w:sz w:val="14"/>
                <w:szCs w:val="14"/>
                <w:color w:val="auto"/>
              </w:rPr>
              <w:t>689,250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3,223,333</w:t>
            </w:r>
          </w:p>
        </w:tc>
        <w:tc>
          <w:tcPr>
            <w:tcW w:w="60" w:type="dxa"/>
            <w:vAlign w:val="bottom"/>
          </w:tcPr>
          <w:p>
            <w:pPr>
              <w:spacing w:after="0"/>
              <w:rPr>
                <w:sz w:val="14"/>
                <w:szCs w:val="14"/>
                <w:color w:val="auto"/>
              </w:rPr>
            </w:pP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4"/>
                <w:szCs w:val="14"/>
                <w:color w:val="auto"/>
              </w:rPr>
            </w:pPr>
          </w:p>
        </w:tc>
        <w:tc>
          <w:tcPr>
            <w:tcW w:w="1460" w:type="dxa"/>
            <w:vAlign w:val="bottom"/>
          </w:tcPr>
          <w:p>
            <w:pPr>
              <w:ind w:left="620"/>
              <w:spacing w:after="0"/>
              <w:rPr>
                <w:sz w:val="20"/>
                <w:szCs w:val="20"/>
                <w:color w:val="auto"/>
              </w:rPr>
            </w:pPr>
            <w:r>
              <w:rPr>
                <w:rFonts w:ascii="Arial" w:cs="Arial" w:eastAsia="Arial" w:hAnsi="Arial"/>
                <w:sz w:val="14"/>
                <w:szCs w:val="14"/>
                <w:color w:val="auto"/>
                <w:w w:val="95"/>
              </w:rPr>
              <w:t>$2.85 – $3.30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CFFCC"/>
          </w:tcPr>
          <w:p>
            <w:pPr>
              <w:spacing w:after="0"/>
              <w:rPr>
                <w:sz w:val="20"/>
                <w:szCs w:val="20"/>
                <w:color w:val="auto"/>
              </w:rPr>
            </w:pPr>
            <w:r>
              <w:rPr>
                <w:rFonts w:ascii="Arial" w:cs="Arial" w:eastAsia="Arial" w:hAnsi="Arial"/>
                <w:sz w:val="14"/>
                <w:szCs w:val="14"/>
                <w:color w:val="auto"/>
              </w:rPr>
              <w:t>Vested/Exercised</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(1,092,270)</w:t>
            </w:r>
          </w:p>
        </w:tc>
        <w:tc>
          <w:tcPr>
            <w:tcW w:w="12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FFCC"/>
          </w:tcPr>
          <w:p>
            <w:pPr>
              <w:spacing w:after="0"/>
              <w:rPr>
                <w:sz w:val="14"/>
                <w:szCs w:val="14"/>
                <w:color w:val="auto"/>
              </w:rPr>
            </w:pP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(717,735)</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CCFFCC"/>
          </w:tcPr>
          <w:p>
            <w:pPr>
              <w:spacing w:after="0"/>
              <w:rPr>
                <w:sz w:val="14"/>
                <w:szCs w:val="14"/>
                <w:color w:val="auto"/>
              </w:rPr>
            </w:pPr>
          </w:p>
        </w:tc>
        <w:tc>
          <w:tcPr>
            <w:tcW w:w="1460" w:type="dxa"/>
            <w:vAlign w:val="bottom"/>
            <w:shd w:val="clear" w:color="auto" w:fill="CCFFCC"/>
          </w:tcPr>
          <w:p>
            <w:pPr>
              <w:ind w:left="620"/>
              <w:spacing w:after="0"/>
              <w:rPr>
                <w:sz w:val="20"/>
                <w:szCs w:val="20"/>
                <w:color w:val="auto"/>
              </w:rPr>
            </w:pPr>
            <w:r>
              <w:rPr>
                <w:rFonts w:ascii="Arial" w:cs="Arial" w:eastAsia="Arial" w:hAnsi="Arial"/>
                <w:sz w:val="14"/>
                <w:szCs w:val="14"/>
                <w:color w:val="auto"/>
                <w:w w:val="95"/>
              </w:rPr>
              <w:t>$0.01 – $3.18</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2.96</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20"/>
                <w:szCs w:val="20"/>
                <w:color w:val="auto"/>
              </w:rPr>
            </w:pPr>
            <w:r>
              <w:rPr>
                <w:rFonts w:ascii="Arial" w:cs="Arial" w:eastAsia="Arial" w:hAnsi="Arial"/>
                <w:sz w:val="14"/>
                <w:szCs w:val="14"/>
                <w:color w:val="auto"/>
              </w:rPr>
              <w:t>Forfeited</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(310,209)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4"/>
                <w:szCs w:val="14"/>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(417,821)</w:t>
            </w:r>
          </w:p>
        </w:tc>
        <w:tc>
          <w:tcPr>
            <w:tcW w:w="16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4"/>
                <w:szCs w:val="14"/>
                <w:color w:val="auto"/>
              </w:rPr>
            </w:pPr>
          </w:p>
        </w:tc>
        <w:tc>
          <w:tcPr>
            <w:tcW w:w="1460" w:type="dxa"/>
            <w:vAlign w:val="bottom"/>
          </w:tcPr>
          <w:p>
            <w:pPr>
              <w:ind w:left="620"/>
              <w:spacing w:after="0"/>
              <w:rPr>
                <w:sz w:val="20"/>
                <w:szCs w:val="20"/>
                <w:color w:val="auto"/>
              </w:rPr>
            </w:pPr>
            <w:r>
              <w:rPr>
                <w:rFonts w:ascii="Arial" w:cs="Arial" w:eastAsia="Arial" w:hAnsi="Arial"/>
                <w:sz w:val="14"/>
                <w:szCs w:val="14"/>
                <w:color w:val="auto"/>
                <w:w w:val="95"/>
              </w:rPr>
              <w:t>$0.01 – $5.50</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shd w:val="clear" w:color="auto" w:fill="CCFFCC"/>
          </w:tcPr>
          <w:p>
            <w:pPr>
              <w:spacing w:after="0"/>
              <w:rPr>
                <w:sz w:val="20"/>
                <w:szCs w:val="20"/>
                <w:color w:val="auto"/>
              </w:rPr>
            </w:pPr>
            <w:r>
              <w:rPr>
                <w:rFonts w:ascii="Arial" w:cs="Arial" w:eastAsia="Arial" w:hAnsi="Arial"/>
                <w:sz w:val="14"/>
                <w:szCs w:val="14"/>
                <w:color w:val="auto"/>
              </w:rPr>
              <w:t>Expired</w:t>
            </w: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(954,868)</w:t>
            </w:r>
          </w:p>
        </w:tc>
        <w:tc>
          <w:tcPr>
            <w:tcW w:w="160" w:type="dxa"/>
            <w:vAlign w:val="bottom"/>
            <w:gridSpan w:val="2"/>
            <w:shd w:val="clear" w:color="auto" w:fill="CCFFCC"/>
          </w:tcPr>
          <w:p>
            <w:pPr>
              <w:ind w:left="6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FFCC"/>
          </w:tcPr>
          <w:p>
            <w:pPr>
              <w:spacing w:after="0"/>
              <w:rPr>
                <w:sz w:val="14"/>
                <w:szCs w:val="14"/>
                <w:color w:val="auto"/>
              </w:rPr>
            </w:pPr>
          </w:p>
        </w:tc>
        <w:tc>
          <w:tcPr>
            <w:tcW w:w="1460" w:type="dxa"/>
            <w:vAlign w:val="bottom"/>
            <w:shd w:val="clear" w:color="auto" w:fill="CCFFCC"/>
          </w:tcPr>
          <w:p>
            <w:pPr>
              <w:ind w:left="620"/>
              <w:spacing w:after="0"/>
              <w:rPr>
                <w:sz w:val="20"/>
                <w:szCs w:val="20"/>
                <w:color w:val="auto"/>
              </w:rPr>
            </w:pPr>
            <w:r>
              <w:rPr>
                <w:rFonts w:ascii="Arial" w:cs="Arial" w:eastAsia="Arial" w:hAnsi="Arial"/>
                <w:sz w:val="14"/>
                <w:szCs w:val="14"/>
                <w:color w:val="auto"/>
                <w:w w:val="95"/>
              </w:rPr>
              <w:t>$0.01 – $5.50</w:t>
            </w:r>
          </w:p>
        </w:tc>
        <w:tc>
          <w:tcPr>
            <w:tcW w:w="220" w:type="dxa"/>
            <w:vAlign w:val="bottom"/>
            <w:gridSpan w:val="2"/>
            <w:shd w:val="clear" w:color="auto" w:fill="CCFFCC"/>
          </w:tcPr>
          <w:p>
            <w:pPr>
              <w:ind w:left="12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1.58</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560" w:type="dxa"/>
            <w:vAlign w:val="bottom"/>
            <w:tcBorders>
              <w:bottom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Outstanding at September 30, 2013</w:t>
            </w: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2,411,771</w:t>
            </w:r>
          </w:p>
        </w:tc>
        <w:tc>
          <w:tcPr>
            <w:tcW w:w="120" w:type="dxa"/>
            <w:vAlign w:val="bottom"/>
            <w:tcBorders>
              <w:bottom w:val="single" w:sz="8" w:color="CCFFC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3.61</w:t>
            </w:r>
          </w:p>
        </w:tc>
        <w:tc>
          <w:tcPr>
            <w:tcW w:w="120" w:type="dxa"/>
            <w:vAlign w:val="bottom"/>
            <w:tcBorders>
              <w:bottom w:val="single" w:sz="8" w:color="CCFFCC"/>
            </w:tcBorders>
          </w:tcPr>
          <w:p>
            <w:pPr>
              <w:spacing w:after="0"/>
              <w:rPr>
                <w:sz w:val="15"/>
                <w:szCs w:val="15"/>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10,282,014</w:t>
            </w:r>
          </w:p>
        </w:tc>
        <w:tc>
          <w:tcPr>
            <w:tcW w:w="60" w:type="dxa"/>
            <w:vAlign w:val="bottom"/>
            <w:tcBorders>
              <w:bottom w:val="single" w:sz="8" w:color="CCFFCC"/>
            </w:tcBorders>
          </w:tcPr>
          <w:p>
            <w:pPr>
              <w:spacing w:after="0"/>
              <w:rPr>
                <w:sz w:val="15"/>
                <w:szCs w:val="15"/>
                <w:color w:val="auto"/>
              </w:rPr>
            </w:pPr>
          </w:p>
        </w:tc>
        <w:tc>
          <w:tcPr>
            <w:tcW w:w="60" w:type="dxa"/>
            <w:vAlign w:val="bottom"/>
            <w:tcBorders>
              <w:bottom w:val="single" w:sz="8" w:color="CCFFC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w:t>
            </w:r>
          </w:p>
        </w:tc>
        <w:tc>
          <w:tcPr>
            <w:tcW w:w="120" w:type="dxa"/>
            <w:vAlign w:val="bottom"/>
            <w:tcBorders>
              <w:bottom w:val="single" w:sz="8" w:color="CCFFCC"/>
            </w:tcBorders>
          </w:tcPr>
          <w:p>
            <w:pPr>
              <w:spacing w:after="0"/>
              <w:rPr>
                <w:sz w:val="15"/>
                <w:szCs w:val="15"/>
                <w:color w:val="auto"/>
              </w:rPr>
            </w:pPr>
          </w:p>
        </w:tc>
        <w:tc>
          <w:tcPr>
            <w:tcW w:w="1460" w:type="dxa"/>
            <w:vAlign w:val="bottom"/>
            <w:tcBorders>
              <w:top w:val="single" w:sz="8" w:color="auto"/>
              <w:bottom w:val="single" w:sz="8" w:color="auto"/>
            </w:tcBorders>
          </w:tcPr>
          <w:p>
            <w:pPr>
              <w:ind w:left="620"/>
              <w:spacing w:after="0" w:line="142" w:lineRule="exact"/>
              <w:rPr>
                <w:sz w:val="20"/>
                <w:szCs w:val="20"/>
                <w:color w:val="auto"/>
              </w:rPr>
            </w:pPr>
            <w:r>
              <w:rPr>
                <w:rFonts w:ascii="Arial" w:cs="Arial" w:eastAsia="Arial" w:hAnsi="Arial"/>
                <w:sz w:val="14"/>
                <w:szCs w:val="14"/>
                <w:color w:val="auto"/>
                <w:w w:val="95"/>
              </w:rPr>
              <w:t>$0.01 – $5.50</w:t>
            </w:r>
          </w:p>
        </w:tc>
        <w:tc>
          <w:tcPr>
            <w:tcW w:w="120" w:type="dxa"/>
            <w:vAlign w:val="bottom"/>
            <w:tcBorders>
              <w:bottom w:val="single" w:sz="8" w:color="CCFFCC"/>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rPr>
              <w:t>2.53</w:t>
            </w:r>
          </w:p>
        </w:tc>
        <w:tc>
          <w:tcPr>
            <w:tcW w:w="100" w:type="dxa"/>
            <w:vAlign w:val="bottom"/>
            <w:tcBorders>
              <w:bottom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560" w:type="dxa"/>
            <w:vAlign w:val="bottom"/>
            <w:tcBorders>
              <w:bottom w:val="single" w:sz="8" w:color="CCFFCC"/>
            </w:tcBorders>
            <w:shd w:val="clear" w:color="auto" w:fill="CCFFCC"/>
          </w:tcPr>
          <w:p>
            <w:pPr>
              <w:spacing w:after="0" w:line="129" w:lineRule="exact"/>
              <w:rPr>
                <w:sz w:val="20"/>
                <w:szCs w:val="20"/>
                <w:color w:val="auto"/>
              </w:rPr>
            </w:pPr>
            <w:r>
              <w:rPr>
                <w:rFonts w:ascii="Arial" w:cs="Arial" w:eastAsia="Arial" w:hAnsi="Arial"/>
                <w:sz w:val="14"/>
                <w:szCs w:val="14"/>
                <w:b w:val="1"/>
                <w:bCs w:val="1"/>
                <w:color w:val="auto"/>
              </w:rPr>
              <w:t>Exercisable at September 30, 2013</w:t>
            </w:r>
          </w:p>
        </w:tc>
        <w:tc>
          <w:tcPr>
            <w:tcW w:w="116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1"/>
                <w:szCs w:val="11"/>
                <w:color w:val="auto"/>
              </w:rPr>
            </w:pPr>
          </w:p>
        </w:tc>
        <w:tc>
          <w:tcPr>
            <w:tcW w:w="120" w:type="dxa"/>
            <w:vAlign w:val="bottom"/>
            <w:tcBorders>
              <w:bottom w:val="single" w:sz="8" w:color="auto"/>
            </w:tcBorders>
            <w:shd w:val="clear" w:color="auto" w:fill="CCFFCC"/>
          </w:tcPr>
          <w:p>
            <w:pPr>
              <w:spacing w:after="0"/>
              <w:rPr>
                <w:sz w:val="11"/>
                <w:szCs w:val="11"/>
                <w:color w:val="auto"/>
              </w:rPr>
            </w:pPr>
          </w:p>
        </w:tc>
        <w:tc>
          <w:tcPr>
            <w:tcW w:w="104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FFCC"/>
            </w:tcBorders>
            <w:shd w:val="clear" w:color="auto" w:fill="CCFFCC"/>
          </w:tcPr>
          <w:p>
            <w:pPr>
              <w:spacing w:after="0"/>
              <w:rPr>
                <w:sz w:val="11"/>
                <w:szCs w:val="11"/>
                <w:color w:val="auto"/>
              </w:rPr>
            </w:pPr>
          </w:p>
        </w:tc>
        <w:tc>
          <w:tcPr>
            <w:tcW w:w="11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b w:val="1"/>
                <w:bCs w:val="1"/>
                <w:color w:val="auto"/>
              </w:rPr>
              <w:t>5,099,098</w:t>
            </w:r>
          </w:p>
        </w:tc>
        <w:tc>
          <w:tcPr>
            <w:tcW w:w="60" w:type="dxa"/>
            <w:vAlign w:val="bottom"/>
            <w:tcBorders>
              <w:bottom w:val="single" w:sz="8" w:color="CCFFCC"/>
            </w:tcBorders>
            <w:shd w:val="clear" w:color="auto" w:fill="CCFFCC"/>
          </w:tcPr>
          <w:p>
            <w:pPr>
              <w:spacing w:after="0"/>
              <w:rPr>
                <w:sz w:val="11"/>
                <w:szCs w:val="11"/>
                <w:color w:val="auto"/>
              </w:rPr>
            </w:pPr>
          </w:p>
        </w:tc>
        <w:tc>
          <w:tcPr>
            <w:tcW w:w="6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auto"/>
            </w:tcBorders>
            <w:shd w:val="clear" w:color="auto" w:fill="CCFFCC"/>
          </w:tcPr>
          <w:p>
            <w:pPr>
              <w:spacing w:after="0" w:line="129"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FFCC"/>
          </w:tcPr>
          <w:p>
            <w:pPr>
              <w:jc w:val="right"/>
              <w:spacing w:after="0" w:line="129" w:lineRule="exact"/>
              <w:rPr>
                <w:sz w:val="20"/>
                <w:szCs w:val="20"/>
                <w:color w:val="auto"/>
              </w:rPr>
            </w:pPr>
            <w:r>
              <w:rPr>
                <w:rFonts w:ascii="Arial" w:cs="Arial" w:eastAsia="Arial" w:hAnsi="Arial"/>
                <w:sz w:val="14"/>
                <w:szCs w:val="14"/>
                <w:color w:val="auto"/>
              </w:rPr>
              <w:t>3.04</w:t>
            </w:r>
          </w:p>
        </w:tc>
        <w:tc>
          <w:tcPr>
            <w:tcW w:w="120" w:type="dxa"/>
            <w:vAlign w:val="bottom"/>
            <w:tcBorders>
              <w:bottom w:val="single" w:sz="8" w:color="CCFFCC"/>
            </w:tcBorders>
            <w:shd w:val="clear" w:color="auto" w:fill="CCFFCC"/>
          </w:tcPr>
          <w:p>
            <w:pPr>
              <w:spacing w:after="0"/>
              <w:rPr>
                <w:sz w:val="11"/>
                <w:szCs w:val="11"/>
                <w:color w:val="auto"/>
              </w:rPr>
            </w:pPr>
          </w:p>
        </w:tc>
        <w:tc>
          <w:tcPr>
            <w:tcW w:w="1460" w:type="dxa"/>
            <w:vAlign w:val="bottom"/>
            <w:tcBorders>
              <w:bottom w:val="single" w:sz="8" w:color="auto"/>
            </w:tcBorders>
            <w:shd w:val="clear" w:color="auto" w:fill="CCFFCC"/>
          </w:tcPr>
          <w:p>
            <w:pPr>
              <w:ind w:left="620"/>
              <w:spacing w:after="0" w:line="129" w:lineRule="exact"/>
              <w:rPr>
                <w:sz w:val="20"/>
                <w:szCs w:val="20"/>
                <w:color w:val="auto"/>
              </w:rPr>
            </w:pPr>
            <w:r>
              <w:rPr>
                <w:rFonts w:ascii="Arial" w:cs="Arial" w:eastAsia="Arial" w:hAnsi="Arial"/>
                <w:sz w:val="14"/>
                <w:szCs w:val="14"/>
                <w:color w:val="auto"/>
                <w:w w:val="95"/>
              </w:rPr>
              <w:t>$0.01 – $5.50</w:t>
            </w:r>
          </w:p>
        </w:tc>
        <w:tc>
          <w:tcPr>
            <w:tcW w:w="12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104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cumulatively did not create tax benefits related to its stock-based compensation due to a full valuation allowance.</w:t>
      </w:r>
    </w:p>
    <w:p>
      <w:pPr>
        <w:spacing w:after="0" w:line="200" w:lineRule="exact"/>
        <w:rPr>
          <w:sz w:val="20"/>
          <w:szCs w:val="20"/>
          <w:color w:val="auto"/>
        </w:rPr>
      </w:pPr>
    </w:p>
    <w:p>
      <w:pPr>
        <w:spacing w:after="0" w:line="33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(d)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warrant activity for the nine month period ended September 30, 2013:</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 average</w:t>
            </w:r>
          </w:p>
        </w:tc>
        <w:tc>
          <w:tcPr>
            <w:tcW w:w="1600" w:type="dxa"/>
            <w:vAlign w:val="bottom"/>
            <w:gridSpan w:val="2"/>
          </w:tcPr>
          <w:p>
            <w:pPr>
              <w:ind w:left="42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48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No. of warrants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 price</w:t>
            </w:r>
          </w:p>
        </w:tc>
        <w:tc>
          <w:tcPr>
            <w:tcW w:w="1600" w:type="dxa"/>
            <w:vAlign w:val="bottom"/>
            <w:gridSpan w:val="2"/>
          </w:tcPr>
          <w:p>
            <w:pPr>
              <w:ind w:left="300"/>
              <w:spacing w:after="0"/>
              <w:rPr>
                <w:sz w:val="20"/>
                <w:szCs w:val="20"/>
                <w:color w:val="auto"/>
              </w:rPr>
            </w:pPr>
            <w:r>
              <w:rPr>
                <w:rFonts w:ascii="Arial" w:cs="Arial" w:eastAsia="Arial" w:hAnsi="Arial"/>
                <w:sz w:val="18"/>
                <w:szCs w:val="18"/>
                <w:b w:val="1"/>
                <w:bCs w:val="1"/>
                <w:color w:val="auto"/>
              </w:rPr>
              <w:t>price range</w:t>
            </w:r>
          </w:p>
        </w:tc>
      </w:tr>
      <w:tr>
        <w:trPr>
          <w:trHeight w:val="210"/>
        </w:trPr>
        <w:tc>
          <w:tcPr>
            <w:tcW w:w="484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January 1, 2013</w:t>
            </w:r>
          </w:p>
        </w:tc>
        <w:tc>
          <w:tcPr>
            <w:tcW w:w="14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18,863,261</w:t>
            </w:r>
          </w:p>
        </w:tc>
        <w:tc>
          <w:tcPr>
            <w:tcW w:w="60" w:type="dxa"/>
            <w:vAlign w:val="bottom"/>
            <w:tcBorders>
              <w:top w:val="single" w:sz="8" w:color="CCFFCC"/>
            </w:tcBorders>
            <w:shd w:val="clear" w:color="auto" w:fill="CCFFCC"/>
          </w:tcPr>
          <w:p>
            <w:pPr>
              <w:spacing w:after="0"/>
              <w:rPr>
                <w:sz w:val="18"/>
                <w:szCs w:val="18"/>
                <w:color w:val="auto"/>
              </w:rPr>
            </w:pPr>
          </w:p>
        </w:tc>
        <w:tc>
          <w:tcPr>
            <w:tcW w:w="60" w:type="dxa"/>
            <w:vAlign w:val="bottom"/>
            <w:tcBorders>
              <w:top w:val="single" w:sz="8" w:color="CCFFCC"/>
            </w:tcBorders>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FFCC"/>
            </w:tcBorders>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ind w:left="420"/>
              <w:spacing w:after="0"/>
              <w:rPr>
                <w:sz w:val="20"/>
                <w:szCs w:val="20"/>
                <w:color w:val="auto"/>
              </w:rPr>
            </w:pPr>
            <w:r>
              <w:rPr>
                <w:rFonts w:ascii="Arial" w:cs="Arial" w:eastAsia="Arial" w:hAnsi="Arial"/>
                <w:sz w:val="18"/>
                <w:szCs w:val="18"/>
                <w:color w:val="auto"/>
                <w:w w:val="94"/>
              </w:rPr>
              <w:t>$0.94 – $5.06</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(421,493)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1600" w:type="dxa"/>
            <w:vAlign w:val="bottom"/>
            <w:gridSpan w:val="2"/>
          </w:tcPr>
          <w:p>
            <w:pPr>
              <w:ind w:left="420"/>
              <w:spacing w:after="0"/>
              <w:rPr>
                <w:sz w:val="20"/>
                <w:szCs w:val="20"/>
                <w:color w:val="auto"/>
              </w:rPr>
            </w:pPr>
            <w:r>
              <w:rPr>
                <w:rFonts w:ascii="Arial" w:cs="Arial" w:eastAsia="Arial" w:hAnsi="Arial"/>
                <w:sz w:val="18"/>
                <w:szCs w:val="18"/>
                <w:color w:val="auto"/>
              </w:rPr>
              <w:t>$0.94 – $1.76</w:t>
            </w:r>
          </w:p>
        </w:tc>
      </w:tr>
      <w:tr>
        <w:trPr>
          <w:trHeight w:val="210"/>
        </w:trPr>
        <w:tc>
          <w:tcPr>
            <w:tcW w:w="484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September 30, 2013</w:t>
            </w:r>
          </w:p>
        </w:tc>
        <w:tc>
          <w:tcPr>
            <w:tcW w:w="1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18,441,768</w:t>
            </w: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60" w:type="dxa"/>
            <w:vAlign w:val="bottom"/>
            <w:tcBorders>
              <w:top w:val="single" w:sz="8" w:color="CCFFCC"/>
              <w:bottom w:val="single" w:sz="8" w:color="CCFFCC"/>
            </w:tcBorders>
            <w:shd w:val="clear" w:color="auto" w:fill="CCFFCC"/>
          </w:tcPr>
          <w:p>
            <w:pPr>
              <w:spacing w:after="0"/>
              <w:rPr>
                <w:sz w:val="18"/>
                <w:szCs w:val="18"/>
                <w:color w:val="auto"/>
              </w:rPr>
            </w:pPr>
          </w:p>
        </w:tc>
        <w:tc>
          <w:tcPr>
            <w:tcW w:w="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top w:val="single" w:sz="8" w:color="CCFFCC"/>
              <w:bottom w:val="single" w:sz="8" w:color="CCFFCC"/>
            </w:tcBorders>
            <w:shd w:val="clear" w:color="auto" w:fill="CCFFCC"/>
          </w:tcPr>
          <w:p>
            <w:pPr>
              <w:spacing w:after="0"/>
              <w:rPr>
                <w:sz w:val="18"/>
                <w:szCs w:val="18"/>
                <w:color w:val="auto"/>
              </w:rPr>
            </w:pPr>
          </w:p>
        </w:tc>
        <w:tc>
          <w:tcPr>
            <w:tcW w:w="1480" w:type="dxa"/>
            <w:vAlign w:val="bottom"/>
            <w:tcBorders>
              <w:top w:val="single" w:sz="8" w:color="auto"/>
              <w:bottom w:val="single" w:sz="8" w:color="auto"/>
            </w:tcBorders>
            <w:shd w:val="clear" w:color="auto" w:fill="CCFFCC"/>
          </w:tcPr>
          <w:p>
            <w:pPr>
              <w:ind w:left="420"/>
              <w:spacing w:after="0"/>
              <w:rPr>
                <w:sz w:val="20"/>
                <w:szCs w:val="20"/>
                <w:color w:val="auto"/>
              </w:rPr>
            </w:pPr>
            <w:r>
              <w:rPr>
                <w:rFonts w:ascii="Arial" w:cs="Arial" w:eastAsia="Arial" w:hAnsi="Arial"/>
                <w:sz w:val="18"/>
                <w:szCs w:val="18"/>
                <w:color w:val="auto"/>
                <w:w w:val="94"/>
              </w:rPr>
              <w:t>$0.94 – $5.06</w:t>
            </w:r>
          </w:p>
        </w:tc>
        <w:tc>
          <w:tcPr>
            <w:tcW w:w="120" w:type="dxa"/>
            <w:vAlign w:val="bottom"/>
            <w:tcBorders>
              <w:top w:val="single" w:sz="8" w:color="CCFFCC"/>
              <w:bottom w:val="single" w:sz="8" w:color="CCFFCC"/>
            </w:tcBorders>
            <w:shd w:val="clear" w:color="auto" w:fill="CCFFCC"/>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outstanding warrants consisted of the following:</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(1) Series 1 and Series 2 Warrants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part of the Merger, on July 19, 2012, the Legal Parent issued to I/P’s stockholders 8,299,115 warrants at an exercise price of $1.76 per share and contractual term of 5 years (“Series 1 Warrant”). These warrants bear down-round protection clauses and as a result, they were initially classified as a long-term derivative liability and recorded at fair value. In addition, I/P’s stockholders received another 7,660,722 warrants at an exercise price of $1.76 per share and contractual term of 5 years (“Series 2 Warrant”). As the Series 2 Warrants do not have down-round protection clauses, they were classified as equity.</w:t>
      </w:r>
    </w:p>
    <w:p>
      <w:pPr>
        <w:spacing w:after="0" w:line="188" w:lineRule="exact"/>
        <w:rPr>
          <w:sz w:val="20"/>
          <w:szCs w:val="20"/>
          <w:color w:val="auto"/>
        </w:rPr>
      </w:pPr>
    </w:p>
    <w:p>
      <w:pPr>
        <w:jc w:val="both"/>
        <w:ind w:left="660"/>
        <w:spacing w:after="0" w:line="276" w:lineRule="auto"/>
        <w:rPr>
          <w:sz w:val="20"/>
          <w:szCs w:val="20"/>
          <w:color w:val="auto"/>
        </w:rPr>
      </w:pPr>
      <w:r>
        <w:rPr>
          <w:rFonts w:ascii="Arial" w:cs="Arial" w:eastAsia="Arial" w:hAnsi="Arial"/>
          <w:sz w:val="17"/>
          <w:szCs w:val="17"/>
          <w:color w:val="auto"/>
        </w:rPr>
        <w:t>As part of the issuance of October 2012 Warrants, the down-round protection clause in 2,173,852 then outstanding Series 1 Warrants was removed. Because such warrants were no longer subject to down-round protection they were re-measured at fair value and classified as equity instruments. The overall impact of the removal of the down-round warrant protection, which was not material, was recorded during the nine month period ended September 30, 2013. As a result, during the nine month period ended September 30, 2013 the Company recorded an additional non-operating expense of $1,617, and re-classified $3,918 from derivative liabilities on account of warrants to stockholders’ equity.</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During the nine month period ended September 30, 2013, 152,157 Series 1 Warrants and 45,190 Series 2 Warrants were exercised. From Inception and through September 30, 2013, 4,807,257 Series 1 Warrants and 1,326,060 Series 2 Warrants were exercised.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(2) Conversion Warrants, Special Bridge Warrants and Reload Warrants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On July 19, 2012, the date of the Merger, Legal Parent’s outstanding warrants included: (i) 148,390 derivative warrants, at an exercise price of $0.94 per share, with a remaining contractual term of 2.44 years (the “Special Bridge Warrants”); (ii) 101,445 derivative warrants, at an exercise price of $0.94 per share, with a remaining contractual term of 2.44 years (the “Conversion Warrants”); (iii) 887,330 derivative warrants, at an exercise price of $1.76 per share, with a remaining contractual term of 4.55 years (the “Preferential Reload Warrants”); and (iv) 814,408 warrants, classified as equity, at an exercise price of $1.76 per share, with a remaining contractual term of 4.55 years (the “non-Preferential Reload Warrants”). During both the nine month period ended September 30, 2013, and from Inception through September 30, 2013, 127,192 Special Bridge Warrants and 86,954 Conversion Warrants were exercised. During the nine month period ended September 30, 2013, 10,000 non-Preferential Reload Warrants were exercised. From Inception and through September 30, 2013, 179,520 non-Preferential Reload Warrants and 726,721 Preferential Reload Warrants were exercised.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(3) Initial Public Offering Warrants</w:t>
      </w:r>
    </w:p>
    <w:p>
      <w:pPr>
        <w:spacing w:after="0" w:line="252"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Upon completion of its initial public offering, in June 2010, the Legal Parent issued 4,784,000 warrants at an exercise price of $5.06 per share. These warrants are publicly traded and are exercisable until June 21, 2015, at an exercise price of $5.06 per share. As of September 30, 2013, all of these warrants were outstanding and classified as equity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(4) October 2012 Warrants</w:t>
      </w:r>
    </w:p>
    <w:p>
      <w:pPr>
        <w:spacing w:after="0" w:line="252"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12, 2012, the Company entered into an agreement with certain of its warrant holders, pursuant to which, on October 23 and 24, 2012, the holders exercised in cash 3,721,062 of their outstanding warrants, with an exercise price of $1.76 per share. In exchange, the Company granted such warrant holders unregistered warrants of the Company to purchase an aggregate of 3,000,000 shares of the Company’s common stock, par value $0.01 per share, at an exercise price of $5.06 per share (the “October 2012 Warrants”). The contractual life of these warrants is 2.66 years and because such warrants do not bear any down-round protection clauses they were classified as equity instruments. October 2012 Warrants were valued using the following assumptions: volatility: 68.1%, share price: $3.50-$3.77, risk free interest rate: 0.724% and dividend yield: 0%. The fair value of warrants issued in exchange for the exercise of the Company’s derivative warrants was accounted for as an inducement, therefore an amount of $2,883, was recorded as a non-operating expense. As of September 30, 2013, all October 2012 warrants were outstanding.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Revenue from Settlement and Licensing Agreement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30, 2013, the Company’s subsidiary entered into a settlement and license agreement with Microsoft Corporation to resolve its patent litigation pending in the U.S. District Court for the Southern District of New York (I/P Engine, Inc. v. Microsoft Corporation, Case No. 1:13-cv-00688 (SDNY)). According to the agreement, Microsoft Corporation paid the Company $1,000 and agreed to pay 5% of any future amount Google pays for its use of the patents acquired from Lycos. The parties also agreed to a limitation on Microsoft Corporation's total liability, which would not impact the Company unless the amounts received from Google substantially exceed the judgment previously awarded. In addition, the parties also entered into a patent assignment agreement, pursuant to which Microsoft Corporation assigned six patents to I/P Engine. The assigned patents relate to telecommunications, data management, and other technology areas.</w:t>
      </w:r>
    </w:p>
    <w:p>
      <w:pPr>
        <w:spacing w:after="0" w:line="200" w:lineRule="exact"/>
        <w:rPr>
          <w:sz w:val="20"/>
          <w:szCs w:val="20"/>
          <w:color w:val="auto"/>
        </w:rPr>
      </w:pPr>
    </w:p>
    <w:p>
      <w:pPr>
        <w:spacing w:after="0" w:line="24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545"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Litigation and legal proceedings</w:t>
      </w:r>
    </w:p>
    <w:p>
      <w:pPr>
        <w:spacing w:after="0" w:line="225"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 retains the services of professional service providers, including law firms that specialize in intellectual property licensing, enforcement and patent law. These service providers are often retained on an hourly, monthly, project, contingent or a blended fee basis. In contingency fee arrangements, a portion of the legal fee is based on predetermined milestones or the Company’s actual collection of funds. The Company accrues contingent fees when it is probable that the milestones will be achieved and the fees can be reasonably estimated.</w:t>
      </w:r>
    </w:p>
    <w:p>
      <w:pPr>
        <w:spacing w:after="0" w:line="171"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 xml:space="preserve">From October 2012 through </w:t>
      </w:r>
      <w:r>
        <w:rPr>
          <w:rFonts w:ascii="Arial" w:cs="Arial" w:eastAsia="Arial" w:hAnsi="Arial"/>
          <w:sz w:val="15"/>
          <w:szCs w:val="15"/>
          <w:color w:val="auto"/>
        </w:rPr>
        <w:t>October 7</w:t>
      </w:r>
      <w:r>
        <w:rPr>
          <w:rFonts w:ascii="Arial" w:cs="Arial" w:eastAsia="Arial" w:hAnsi="Arial"/>
          <w:sz w:val="17"/>
          <w:szCs w:val="17"/>
          <w:color w:val="auto"/>
        </w:rPr>
        <w:t xml:space="preserve">, 2013, the Company’s subsidiaries filed patent infringement lawsuits against the subsidiaries of ZTE Corporation in the United Kingdom, France, Germany and Australia </w:t>
      </w:r>
      <w:r>
        <w:rPr>
          <w:rFonts w:ascii="Arial" w:cs="Arial" w:eastAsia="Arial" w:hAnsi="Arial"/>
          <w:sz w:val="15"/>
          <w:szCs w:val="15"/>
          <w:color w:val="auto"/>
        </w:rPr>
        <w:t>and against ASUSTeK Computer, Inc. and ASUS Computer GmbH in Germany</w:t>
      </w:r>
      <w:r>
        <w:rPr>
          <w:rFonts w:ascii="Arial" w:cs="Arial" w:eastAsia="Arial" w:hAnsi="Arial"/>
          <w:sz w:val="17"/>
          <w:szCs w:val="17"/>
          <w:color w:val="auto"/>
        </w:rPr>
        <w:t>.</w:t>
      </w:r>
    </w:p>
    <w:p>
      <w:pPr>
        <w:spacing w:after="0" w:line="174"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such jurisdictions, an unsuccessful plaintiff may be required to pay a portion of the other party’s legal fees. Pursuant to negotiation with ZTE’s United Kingdom subsidiary, the Company placed two guarantees, in November 2012 and May 2013, to ensure payment should a liability by Vringo Infrastructure arise as a result of the two cases it filed. Defendants estimated the total possible liability to be no more than $2,900 for each case.</w:t>
      </w:r>
    </w:p>
    <w:p>
      <w:pPr>
        <w:spacing w:after="0" w:line="147"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In addition, the Company may be required to grant additional guarantees, as necessary, in connection with its commenced proceedings against ZTE Corporation and its subsidiaries in Europe and Australia. It should be noted, however, that if the Company were successful on any court applications or the entirety of any litigation, ZTE Corporation would be responsible for a substantial portion of the Company’s legal fees.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Leases</w:t>
      </w:r>
    </w:p>
    <w:p>
      <w:pPr>
        <w:spacing w:after="0" w:line="22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The Company has entered into various operating lease agreements. Rent expense, which is primarily for its office spaces, for the nine month periods ended September 30, 2013 and 2012, was $175 and $62, respectively. Rent expense for the three month periods ended September 30, 2013 and 2012 was $68 and $40, respectively. The cumulative expense for the period from Inception until September 30, 2013, was $306.</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minimum lease payments under non-cancelable operating leases for office space, as of September 30, 2013, are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880" w:type="dxa"/>
            <w:vAlign w:val="bottom"/>
          </w:tcPr>
          <w:p>
            <w:pPr>
              <w:spacing w:after="0"/>
              <w:rPr>
                <w:sz w:val="20"/>
                <w:szCs w:val="20"/>
                <w:color w:val="auto"/>
              </w:rPr>
            </w:pPr>
            <w:r>
              <w:rPr>
                <w:rFonts w:ascii="Arial" w:cs="Arial" w:eastAsia="Arial" w:hAnsi="Arial"/>
                <w:sz w:val="18"/>
                <w:szCs w:val="18"/>
                <w:b w:val="1"/>
                <w:bCs w:val="1"/>
                <w:color w:val="auto"/>
              </w:rPr>
              <w:t>Period ending December 31,</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20" w:type="dxa"/>
            <w:vAlign w:val="bottom"/>
            <w:gridSpan w:val="2"/>
          </w:tcPr>
          <w:p>
            <w:pPr>
              <w:ind w:left="58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8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color w:val="auto"/>
              </w:rPr>
              <w:t>2013 (three months ending December 31, 2013)</w:t>
            </w:r>
          </w:p>
        </w:tc>
        <w:tc>
          <w:tcPr>
            <w:tcW w:w="20" w:type="dxa"/>
            <w:vAlign w:val="bottom"/>
            <w:tcBorders>
              <w:top w:val="single" w:sz="8" w:color="CCFFCC"/>
            </w:tcBorders>
            <w:shd w:val="clear" w:color="auto" w:fill="CCFFCC"/>
          </w:tcPr>
          <w:p>
            <w:pPr>
              <w:spacing w:after="0"/>
              <w:rPr>
                <w:sz w:val="18"/>
                <w:szCs w:val="18"/>
                <w:color w:val="auto"/>
              </w:rPr>
            </w:pPr>
          </w:p>
        </w:tc>
        <w:tc>
          <w:tcPr>
            <w:tcW w:w="620" w:type="dxa"/>
            <w:vAlign w:val="bottom"/>
            <w:tcBorders>
              <w:top w:val="single" w:sz="8" w:color="auto"/>
            </w:tcBorders>
            <w:shd w:val="clear" w:color="auto" w:fill="CCFFCC"/>
          </w:tcPr>
          <w:p>
            <w:pPr>
              <w:jc w:val="right"/>
              <w:ind w:right="51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FFCC"/>
            </w:tcBorders>
            <w:shd w:val="clear" w:color="auto" w:fill="CCFFCC"/>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r>
      <w:tr>
        <w:trPr>
          <w:trHeight w:val="216"/>
        </w:trPr>
        <w:tc>
          <w:tcPr>
            <w:tcW w:w="4880" w:type="dxa"/>
            <w:vAlign w:val="bottom"/>
            <w:shd w:val="clear" w:color="auto" w:fill="CCFFCC"/>
          </w:tcPr>
          <w:p>
            <w:pPr>
              <w:spacing w:after="0"/>
              <w:rPr>
                <w:sz w:val="20"/>
                <w:szCs w:val="20"/>
                <w:color w:val="auto"/>
              </w:rPr>
            </w:pPr>
            <w:r>
              <w:rPr>
                <w:rFonts w:ascii="Arial" w:cs="Arial" w:eastAsia="Arial" w:hAnsi="Arial"/>
                <w:sz w:val="18"/>
                <w:szCs w:val="18"/>
                <w:color w:val="auto"/>
              </w:rPr>
              <w:t>2015</w:t>
            </w:r>
          </w:p>
        </w:tc>
        <w:tc>
          <w:tcPr>
            <w:tcW w:w="20" w:type="dxa"/>
            <w:vAlign w:val="bottom"/>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spacing w:after="0"/>
              <w:rPr>
                <w:sz w:val="18"/>
                <w:szCs w:val="18"/>
                <w:color w:val="auto"/>
              </w:rPr>
            </w:pP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FFCC"/>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Risks and Uncertainties</w:t>
      </w:r>
    </w:p>
    <w:p>
      <w:pPr>
        <w:spacing w:after="0" w:line="229" w:lineRule="exact"/>
        <w:rPr>
          <w:sz w:val="20"/>
          <w:szCs w:val="20"/>
          <w:color w:val="auto"/>
        </w:rPr>
      </w:pPr>
    </w:p>
    <w:p>
      <w:pPr>
        <w:jc w:val="both"/>
        <w:ind w:left="700" w:hanging="432"/>
        <w:spacing w:after="0" w:line="279"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legislation, regulations or rulings that impact the patent enforcement process or the rights of patent holders, could negatively affect the Company’s current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the Company’s ability to assert its patent or other intellectual property rights.</w:t>
      </w:r>
    </w:p>
    <w:p>
      <w:pPr>
        <w:spacing w:after="0" w:line="171" w:lineRule="exact"/>
        <w:rPr>
          <w:rFonts w:ascii="Arial" w:cs="Arial" w:eastAsia="Arial" w:hAnsi="Arial"/>
          <w:sz w:val="17"/>
          <w:szCs w:val="17"/>
          <w:color w:val="auto"/>
        </w:rPr>
      </w:pPr>
    </w:p>
    <w:p>
      <w:pPr>
        <w:jc w:val="both"/>
        <w:ind w:left="700" w:right="20" w:hanging="443"/>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part of the Company’s ongoing legal proceedings, the validity and/or enforceability of its patents is often challenged in a court or an administrative proceeding, as it is almost universal practice for the defendant in a patent litigation to seek to challenge the validity of the patent asserted in the same or a parallel proceeding and/or in an administrative proceedings before the relevant jurisdiction’s patent office. Currently, several of the Company’s patents are being challenged in several jurisdictions.</w:t>
      </w:r>
    </w:p>
    <w:p>
      <w:pPr>
        <w:spacing w:after="0" w:line="186" w:lineRule="exact"/>
        <w:rPr>
          <w:rFonts w:ascii="Arial" w:cs="Arial" w:eastAsia="Arial" w:hAnsi="Arial"/>
          <w:sz w:val="18"/>
          <w:szCs w:val="18"/>
          <w:color w:val="auto"/>
        </w:rPr>
      </w:pPr>
    </w:p>
    <w:p>
      <w:pPr>
        <w:jc w:val="both"/>
        <w:ind w:left="700" w:hanging="432"/>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instruments which potentially subject the Company to significant concentrations of credit risk consist principally of cash, cash equivalents, short-term investments and accounts receivable. The Company maintains its cash, cash equivalents and short-term investments with various major financial institutions. These major financial institutions are located in the United States, Germany and Israel, and the Company’s policy is designed to limit exposure to any one institution.</w:t>
      </w:r>
    </w:p>
    <w:p>
      <w:pPr>
        <w:spacing w:after="0" w:line="186" w:lineRule="exact"/>
        <w:rPr>
          <w:rFonts w:ascii="Arial" w:cs="Arial" w:eastAsia="Arial" w:hAnsi="Arial"/>
          <w:sz w:val="18"/>
          <w:szCs w:val="18"/>
          <w:color w:val="auto"/>
        </w:rPr>
      </w:pPr>
    </w:p>
    <w:p>
      <w:pPr>
        <w:jc w:val="both"/>
        <w:ind w:left="700" w:hanging="443"/>
        <w:spacing w:after="0" w:line="264"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the Company’s expenses are denominated in NIS, British Pound and Euro. If the value of the U.S. dollar weakens against the value of these currencies, there will be a negative impact on the Company’s operating costs. In addition, the Company is subject to the risk of exchange rate fluctuations to the extent it holds monetary assets and liabilities in these currencies.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6" w:name="page17"/>
    <w:bookmarkEnd w:id="16"/>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filed on March 21, 2013 and any future reports we file with the Securities and Exchange Commission. The forward-looking statements set forth herein speak only as of the date of this report. Except as required by law, we undertake no obligation to update any forward-looking statements to reflect events or circumstances after the date of such statements. In this report, “Vringo,” the “Company,” “we,” “us,” and “our” refer to Vringo,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All references in this Quarterly Report on Form 10-Q to “we,” “us” and “our” refer to Vringo, Inc., a Delaware corporation, and its consolidated subsidiaries for periods after the closing of the Merger, and to I/P and its consolidated subsidiaries for periods prior to the closing of the Merger unless the context requires otherwise.</w:t>
      </w:r>
    </w:p>
    <w:p>
      <w:pPr>
        <w:spacing w:after="0" w:line="181"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We were incorporated in Delaware on January 9, 2006 and commenced operations during the first quarter of 2006. In March 2006, we formed a wholly-owned subsidiary, Vringo (Israel) Ltd., for the primary purpose of providing research and development services. On July 19, 2012, Innovate/Protect, Inc., (“I/P”) merged with us through an exchange of equity instruments of I/P for those of Vringo. The Merger was accounted for as a reverse acquisition under which I/P was considered the accounting acquirer of Vringo. As such, the financial statements of I/P are treated as the historical financial statements of the combined company, with the results of Vringo included from July 19, 2012.</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business strives to develop, acquire, license and protect innovation worldwide. Our attempts currently are focused on identification, acquisition and generation of economic benefits of intellectual property assets. We plan to continue to further expand our portfolio of intellectual property assets through acquisition and internal development of new technologies. We intend to monetize our rights in innovative technologies through a variety of value enhancing initiatives, including, but not limited to:</w:t>
      </w:r>
    </w:p>
    <w:p>
      <w:pPr>
        <w:spacing w:after="0" w:line="187" w:lineRule="exact"/>
        <w:rPr>
          <w:sz w:val="20"/>
          <w:szCs w:val="20"/>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licensing,</w:t>
      </w:r>
    </w:p>
    <w:p>
      <w:pPr>
        <w:spacing w:after="0" w:line="225"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strategic partnerships, and</w:t>
      </w:r>
    </w:p>
    <w:p>
      <w:pPr>
        <w:spacing w:after="0" w:line="225"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From the inception of I/P on June 8, 2011 (“Inception”) to date, we have raised approximately $97,378,000. These amounts have been used to finance our operations, as until now, we have not yet generated any significant revenues. From Inception through September 30, 2013, we recorded losses of approximately $57,059,000 and net cash used in operations was approximately $33,380,000. Our average monthly use of cash from operations for the nine month period ended September 30, 2013 was approximately $1,931,000. This is not necessarily indicative of the future use of our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Inception in June 2011, I/P acquired its initial patent assets from Lycos, Inc. (“Lycos”) through its wholly-owned subsidiary, I/P Engine, Inc. Such assets were comprised of eight patents relating to information filtering and search technologies. As one means of realizing the value of the patents acquired from Lycos, on September 15, 2011, I/P initiated (through its wholly-owned subsidiary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 On August 1, 2013, the District Court found that I/P Engine is entitled to supplemental damages from October 1, 2012 to November 20, 2012, in an amount to be determined; prejudgment interest from September 15, 2011 to November 20, 2012 in an amount to be determined; and post-judgment interest for Defendants' infringement in an amount to be determined. I/P Engine's motion for an award of post-judgment royalties is pending in the District Court.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505"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Motions by I/P Engine for awards of pre-judgment interest, post-judgment interest, supplemental damages, and post-judgment royalties are pending in U.S. District Court. I/P Engine and Defendants have filed appeals with the Court of Appeals for the Federal Circuit. The docket numbers for the appealable cases are 13-1307 and 13-1311. The parties' filings are available on PACER.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ongoing legal proceedings, the validity and/or enforceability of the patents is often challenged in a court or an administrative proceeding, as it is almost universal practice for the defendant in a patent litigation to seek to challenge the validity of the patent asserted in the same or parallel proceeding and/or in an administrative proceedings before the relevant patent office. Currently, several of our patents are being challenged in several jurisdictions.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March 15, 2012, Google submitted a request to the USPTO for ex parte reexamination of certain claims of U.S. Patent No. 6,314,420. On July 18, 2012, the USPTO issued a determination ordering a reexamination. On September 25, 2012, the USPTO issued a first, non-final office action where it adopted the rejections proposed by Google. Our response was filed on November 26, 2012. A final, appealable office action maintaining the rejections was mailed on May 3, 2013. An interview was held with the Examiner and on July 3, 2013 we filed a response. On September 13, 2013, the USPTO issued a certificate confirming that all of the claims in the '420 patent challenged by Google remain valid and unchanged. On September 20, 2013, the USPTO ordered a second reexamination of certain claims of the '420 patent based on a reference not relied upon by Google in the first reexamination. To date, the USPTO has not determined whether to reject the claims of the '420 patent.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20, 2012, Google submitted a request to the USPTO for ex parte reexamination of certain claims of U.S. Patent No. 6,775,664 based on four prior art references. On January 17, 2013, the USPTO ordered reexamination based on only one of the four references submitted by Google. On February 8, 2013, Google filed a second request for reexamination based on the three references not adopted by the USPTO in the first proceeding. On March 7, 2013, the USPTO ordered a second reexamination proceeding. On May 10, 2013, the USPTO issued a first, non-final office action in the first reexamination. On June 13, 2013, the USPTO decided to merge the two reexamination proceedings. On June 25, 2013, the May 10 office action was rescinded and a new non-final office action was issued, rejecting the challenged claims based on two of the four references originally cited by Google. Our response was timely filed on August 26, 2013. An interview was subsequently held with the Examiner on September 16, 2013. On November 5, 2013, the USPTO mailed a notice that it will issue a certificate confirming that all of the claims in the 6,775,664 patent challenged by Google remain valid and unchanged.</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(“Microsoft”). 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 paid us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sold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and handsets,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 million, a royalty of 35% of such excess would be payable to Nokia. The $22 million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and in Australia, alleging infringement of certain U.S., European and Australian patents.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5, 2012, Vringo Infrastructure, filed a suit in the UK High Court of Justice, Chancery Division, Patents Court, alleging infringement of European Patents (UK) 1,212,919; 1,166,589; and 1,808,029. ZTE (UK) Ltd.’s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On June 5, 2013, the Court held a case management conference and on June 6, 2013, made an order governing the schedule of the two UK suits. The first UK case will hold a trial with the trial period commencing on October 27, 2014 and the second UK case will hold a trial with the trial period commencing on June 8, 2015.</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9" w:gutter="0" w:footer="0" w:header="0"/>
        </w:sectPr>
      </w:pPr>
    </w:p>
    <w:bookmarkStart w:id="18" w:name="page19"/>
    <w:bookmarkEnd w:id="18"/>
    <w:p>
      <w:pPr>
        <w:jc w:val="both"/>
        <w:ind w:firstLine="648"/>
        <w:spacing w:after="0" w:line="269" w:lineRule="auto"/>
        <w:rPr>
          <w:sz w:val="20"/>
          <w:szCs w:val="20"/>
          <w:color w:val="auto"/>
        </w:rPr>
      </w:pPr>
      <w:r>
        <w:rPr>
          <w:rFonts w:ascii="Arial" w:cs="Arial" w:eastAsia="Arial" w:hAnsi="Arial"/>
          <w:sz w:val="17"/>
          <w:szCs w:val="17"/>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courts and the Federal Patents Court are heard by distinct appellate courts. Appeals from the district courts are heard by the Higher Regional Court, decisions of which can be appealed to the Supreme Court. Appeals from the Federal Patents Court are heard by the Supreme Court. Infringement actions are typically decided by the trial court within 8 to 13 months (although, depending upon the venue, they can take as long as 18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 Typically, in German infringement proceedings each party is allowed to make two filings to the Court prior to trial. After the plaintiff files its complaint, the defendant is given time to file its response. The parties are then given dates for the plaintiff to file its second filing (often called a “Replica”) and for the defendant to file its second filing (often called a “Rejoinder”). Typically there are no additional filings or documents allowed.</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15, 2012, Vringo Germany filed a suit in the Mannheim Regional Court in Germany, alleging infringement of European Patent (DE) 1,212,919. The litigation was expanded to include a second patent on February 21, 2013, alleging infringement of European Patent (DE) 1,186,119. At the Mannheim Court’s request, both cases were scheduled to be heard on the same day, October 15, 2013. On October 9, 2013, Vringo Germany was notified that the hearing on infringement that was scheduled for October 15, 2013 will now take place on November 12, 2013. On November 4, 2013, Vringo filed a further brief in the 1,212,919 proceedings introducing an additional independent patent claim and asserting infringement by ZTE eNode B infrastructure equipment used in 4G networks. In light of the additional products accused, the court has moved the hearing date for the 1,212,919 case to early next year, while the 1,186,119 case will still be heard on November 12, 2013.</w:t>
      </w:r>
    </w:p>
    <w:p>
      <w:pPr>
        <w:spacing w:after="0" w:line="21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To date, ZTE has not made an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with respect to either European Patent (DE) 1,212,919 or European Patent (DE) 1,186,119. Under German law, where a defendant alleges: (a) plaintiff has a dominant position under the relevant competition (a/k/a anti-trust) laws, for example, because of plaintiff’s assertion of a patent that is essential to a technical standard, and (b) plaintiff is not willing to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14, 2013, ZTE filed a nullity suit with respect to European Patent (DE) 1,212,919 in the Federal Patents Court, Munich, Germany, alleging invalidity of the patent. Vringo filed its responsive pleading on July 25, 2013 and Vringo received ZTE’s responsive pleading on September 13, 2013. The Court has not set a deadline for Vringo’s next brief. Trial in the nullity suit has not been scheduled and is not anticipated before July 1, 2014.</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in Munich, Germany. Vringo filed its intent to defend the validity of the patent on July 11, 2013. Vringo’s first responsive pleading is due on November 11, 2013. Trial in the nullity suit has not been scheduled and is not anticipated before July 1,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13, 2013, Vringo Germany filed a suit in the Regional Court of Düsseldorf, alleging infringement of European Patent (DE) 0,748,136.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Complaints in this action were filed against both ZTE Germany and ZTE China. A case management hearing is scheduled to take place on December 3, 2013.</w:t>
      </w:r>
    </w:p>
    <w:p>
      <w:pPr>
        <w:spacing w:after="0" w:line="23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In November and December 2012, ZTE initiated invalidity proceedings in China against Chinese Patents ZL00806049.5; ZL 00812876.6; and ZL200480044232.1, before the Patent Reexamination Board of the Patent Office of the People’s Republic of China. These patents are the Chinese equivalents of European Patents 1,212,919; 1,166,589; and 1,808,029. Vringo Infrastructure filed responses to these actions in January and February 2013. The oral hearing for ZL200480044232.1 (equivalent to European Patent 1,808,029) occurred on April 10, 2013. On July 3, 2013, our patent rights were upheld. We are currently awaiting information as to whether or not ZTE will appeal this decision. An oral hearing for ZL00806049.5 (equivalent to European Patent 1,166,589) occurred on May 9, 2013 and a ruling is still pending.</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29, 2013, Vringo Infrastructure filed a patent infringement lawsuit in France against ZTE,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French litigations follow a similar filing structure to German litigations (save that validity is not separated from infringement), with each side typically allotted two filings on the merits. Scheduling conferences occurred on June 25 and 27, 2013. The oral hearing in relation to European Patents (FR)</w:t>
      </w:r>
    </w:p>
    <w:p>
      <w:pPr>
        <w:jc w:val="both"/>
        <w:spacing w:after="0" w:line="224" w:lineRule="auto"/>
        <w:rPr>
          <w:sz w:val="20"/>
          <w:szCs w:val="20"/>
          <w:color w:val="auto"/>
        </w:rPr>
      </w:pPr>
      <w:r>
        <w:rPr>
          <w:rFonts w:ascii="Arial" w:cs="Arial" w:eastAsia="Arial" w:hAnsi="Arial"/>
          <w:sz w:val="18"/>
          <w:szCs w:val="18"/>
          <w:color w:val="auto"/>
        </w:rPr>
        <w:t>1,186,119 and 1,221,212 has been scheduled to take place on December 8, 2014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ZTE filed its first responsive pleading on the merits on October 29, 2013 and held a third scheduling conference on that same date. Subsequent pleadings are due for us on February 4, 2014 and for ZTE on May 20, 2014. The closing of the proceeding is set for June 10, 2014 and the oral hearing has been scheduled for December 8, 2014.</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jc w:val="both"/>
        <w:ind w:firstLine="648"/>
        <w:spacing w:after="0" w:line="305" w:lineRule="auto"/>
        <w:rPr>
          <w:sz w:val="20"/>
          <w:szCs w:val="20"/>
          <w:color w:val="auto"/>
        </w:rPr>
      </w:pPr>
      <w:r>
        <w:rPr>
          <w:rFonts w:ascii="Arial" w:cs="Arial" w:eastAsia="Arial" w:hAnsi="Arial"/>
          <w:sz w:val="16"/>
          <w:szCs w:val="16"/>
          <w:color w:val="auto"/>
        </w:rPr>
        <w:t>On June 11, 2013, Vringo Infrastructure filed a patent infringement lawsuit against ZTE (Australia) Pty Ltd. (ZTE Australia), an Australian subsidiary of ZTE Corporation. The lawsuit filed in the Federal Court of Australia in the New South Wales registry, alleges infringement by ZTE Australia of Australian Standard Patents AU 2005/212,893 and AU 773,182. The proceeding has been assigned Case No. NSD1010/2013. The patents in suit relate to telecommunications infrastructure equipment and mobile devices. The pleadings were completed on October 21, 2013 and a further directions conference (similar to a US Rule 16 conference) was held on November 4, 2013. We currently anticipate that the Court will set a trial date in the second half of 2014.</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entities Sociedad Anonima de Comunicaciones Zhong Xing ZTE Corporation, Sucursal en Espana, and ZhongXing Corporation, S.L. in the Commercial Court of Madrid, Spain, requiring the respondent companies to provide discovery relating to alleged infringement of Spanish Patent 2220484 (EP (ES) 1,186,119). ZTE refused service of the preliminary inquiry order and failed to oppose the order by the deadline of September 16, 2013. The Court will hold a hearing on November 11, 2013, at which time the respondent companies must produce financial, commercial, bank, and customs documents related to sales of certain ZTE base station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4, 2013, Vringo Germany filed a patent infringement lawsuit against ASUSTeK Computer, Inc. and ASUS Computer GmbH. The lawsuit, filed in the Düsseldorf Regional Court, alleges infringement of European Patent (DE) 0,748,136. The patent in suit relates to devices, including those with hotspot functionality, that provide data services between two different wireless/cellular networks. The schedule hearing for the rest of the case is set for December 3, 2013. The patent in suit relates to devices, including those with hotspot functionality, that provide data services between two different wireless/cellular networks. The schedule hearing for the rest of the case is set for December 3,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12, 2013, Vringo Infrastructure filed a patent infringement lawsuit against The ADT Corporation, ADT LLC, ADT Security Services, Inc., and Tyco Integrated Security, LLC in the United States District Court for the Southern District of Florida. The lawsuit alleges infringement of U.S. Patent No. 6,288,641, entitled "Assembly, and Associated Method, for Remotely Monitoring a Surveillance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Social Applications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developed a platform for the distribution of mobile applications which enable direct to consumer and business-to-business delivery models.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leverage these technologies and integrate these tools with mobile operators, content providers, and handset manufacturers.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Video Ringtone product, a client-server based suite of mobile tools, enables users to create, download and share video ringtones and provides our business partners with a consumer-friendly and easy-to-integrate monetization platform. The standard revenue model for our video ringtone service offered through the carriers is a subscription-based model where users pay a monthly fee for access to our service and additional fees for premium content. Our free version has been released as an advertisement-supported application on the Google Play marketplace and is available in markets where we have not entered into commercial arrangements with carriers or other partners. As of September, 2013, we have commercial video ringtone services with nine carriers and partners across the Middle East, Asia, India, Africa, and Europe.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Vringo mobile application also functions as a standalone direct-to-consumer offering and has been white labeled for media brands and entertainment companies, including two new partnerships established in the third quarter of 2013, with customers in the USA for custom versions of our Video Ringtone app.</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Facetones® social ringtone application generates social visual ringtone content automatically by aggregating and displaying a user’s friends’ pictures from social networks and then enhancing the standard ringtone and ringback tone with visual and video displays and functions. The product is available to consumers on several operating systems, most notably Android, and is delivered in various configurations, with a variety of monetization methods. We have developed several updated and customized versions of Facetones, including a version for Android which includes post-call engagement and advertising as well as our most recent release in partnership with Nokia’s Asha Full Touch 311 devices which launched in the second quarter of 2013 and exceeded 250,000 downloads in the third quarter. As of September 30, 2013, the Facetones® app reached over 2,000,000 downloads across all platforms. In the second quarter of 2013, the Facetones® app generated over 10,000,000 mobile impressions. Facetones® is furnished directly to consumers via leading mobile application stores and download sites, and offers revenue models ranging from advertising, licensing, and custom development projects.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2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financial statements include the accounts of I/P, Legal Parent and their wholly-owned subsidiaries, and are presented in accordance with generally accepted accounting principles in the United States of America ("U.S. GAAP"). All significant intercompany balances and transactions have been eliminated in consolidation. These financial statements include the results of operations of I/P and subsidiaries for all periods presented, with the results of operations of the Legal Parent and its subsidiaries for the period from July 19, 2012 (the effective date of the Merger) through September 30, 2013. Moreover, common stock amounts presented for comparative periods differ from those previously presented by I/P, due to application of accounting requirements applicable to a reverse acquisition.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manage an intellectual property portfolio consisting of over 500 patents and patent applications, covering telecom infrastructure, internet search and mobile technologies. These patents and patent applications have been developed internally and acquired from third parties. We innovate, acquire, license and protect technology and intellectual property rights worldwide. We continually strive to expand our portfolio of rights through acquisition and development both internally and with third parties. Our goal is to partner with innovators of compelling technologies.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153" w:gutter="0" w:footer="0" w:header="0"/>
        </w:sectPr>
      </w:pPr>
    </w:p>
    <w:bookmarkStart w:id="20" w:name="page21"/>
    <w:bookmarkEnd w:id="20"/>
    <w:p>
      <w:pPr>
        <w:jc w:val="both"/>
        <w:ind w:firstLine="648"/>
        <w:spacing w:after="0" w:line="290" w:lineRule="auto"/>
        <w:rPr>
          <w:sz w:val="20"/>
          <w:szCs w:val="20"/>
          <w:color w:val="auto"/>
        </w:rPr>
      </w:pPr>
      <w:r>
        <w:rPr>
          <w:rFonts w:ascii="Arial" w:cs="Arial" w:eastAsia="Arial" w:hAnsi="Arial"/>
          <w:sz w:val="16"/>
          <w:szCs w:val="16"/>
          <w:color w:val="auto"/>
        </w:rPr>
        <w:t>We continue to develop our products and partner with various with mobile operators and content providers. Our mobile solution, which encompasses a suite of mobile and PC-based tools, enables users to create, download and share video ringtones and provides our business partners with a consumer-friendly and easy-to-integrate monetization platform. Our Vringo video ringtone mobile app also functions as a standalone direct-to-consumer offering. Separately, we seek to continue to expand the distribution of our free, ad-supported, mobile application. We believe that our core technology and business relationships will allow us to distribute applications and services through mobile operators, handset makers, and application storefronts. In addition to the innovation contained in our mobile operations, we have begun a focused effort in the cognitive radio space, in order to leverage our existing intellectual capital, as well as partner with select innovators to create an efficient and effective research and development program in this cutting edge technology. We are also actively mining our portfolio for additional avenues through which we can effectively develop significant and useful technology.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potential acquisitions, we seek to purchase all of, or interests in, intellectual property in exchange for cash and/or securities of our company and/or interests in the monetization of those assets. Our revenue from this aspect of our business can be generated through licensing and litigation efforts. We engage in robust due diligence and a principled risk underwriting process to evaluate the merits and potential value of any acquisition or partnership. We seek to structure the terms of our acquisitions and partnerships in a manner that will achieve the highest risk-adjusted returns possible. We believe that our capital resources and potential access to capital, together with the experience of our management team and board, will allow us to assemble a portfolio of quality assets with short and long-term revenue opportunities.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Revenue from patent licensing and enforcement, subscription services and software development is recognized if collection is probable, persuasive evidence of an arrangement exists, the sales price is fixed or determinable and delivery of the service has been rendered. The Company uses management's best estimate of selling price for individual elements in multiple-element arrangements, where other sources of evidence are unavailable.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Cost of revenue mainly includes the costs and expenses incurred in connection with our patent licensing and enforcement activities, contingent legal fees paid to external patent counsel, other patent-related legal expenses paid to external patent counsel, licensing and enforcement related research, consulting and other expenses paid to third parties, the amortization of patent-related acquisition costs and of the acquired technology, the value to which was allocated upon consummation of the Merger. Cost of revenue also includes third party expenses directly related to providing our service in launched markets. Cost of revenue does not include expenses related to product development, integration and support, as these costs are included in research and development.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Research and development expenses consist primarily of the cost of our development and operations personnel, as well as of the cost of outsourced development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Marketing, general and administrative expenses include marketing, management and administrative personnel, public and investor relations, advertising, overhead/office cost and various professional fees, as well as insurance, depreciation and amortization.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Non-operating income (expenses) includes transaction gains (losses) from foreign exchange rate differences, interest on deposits, bank charges, as well as fair value adjustments of derivative liabilities on account of the Preferential Reload Warrants, Special Bridge Warrants, Series 1 Warrants and the Conversion Warrants. The value of such derivative liabilities is highly influenced by assumptions used in its valuation, as well as by our stock price at the period end (revaluation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effective tax rate differs from the statutory federal rate primarily due to differences between income and expense recognition prescribed by income tax regulations and generally accepted accounting principles. We utilize different methods and useful lives for depreciating and amortizing property and equipment and different methods and timing for certain expenses. Furthermore, permanent differences arise from certain income and expense items recorded for financial reporting purposes but not recognizable for income tax purposes.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subsidiary in Israel generates net taxable income from services it provides to us. It charges us for research, development, certain management and other services provided to us, plus a profit margin on such costs, which is currently 8%. In the zone where the production facilities of the subsidiary in Israel are located, the statutory tax rate is 12.5% in 2013 and expected to be 16% thereafter.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Three and nine month periods ended September 30, 2013 compared to the three and nine month periods ended September 30, 2012 and the development stage period (cumulative from Inception through September 30, 2013)</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Cumulative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3"/>
          </w:tcPr>
          <w:p>
            <w:pPr>
              <w:ind w:left="80"/>
              <w:spacing w:after="0"/>
              <w:rPr>
                <w:sz w:val="20"/>
                <w:szCs w:val="20"/>
                <w:color w:val="auto"/>
              </w:rPr>
            </w:pPr>
            <w:r>
              <w:rPr>
                <w:rFonts w:ascii="Arial" w:cs="Arial" w:eastAsia="Arial" w:hAnsi="Arial"/>
                <w:sz w:val="18"/>
                <w:szCs w:val="18"/>
                <w:color w:val="auto"/>
              </w:rPr>
              <w:t>Inception through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80" w:type="dxa"/>
            <w:vAlign w:val="bottom"/>
            <w:gridSpan w:val="8"/>
          </w:tcPr>
          <w:p>
            <w:pPr>
              <w:ind w:left="400"/>
              <w:spacing w:after="0"/>
              <w:rPr>
                <w:sz w:val="20"/>
                <w:szCs w:val="20"/>
                <w:color w:val="auto"/>
              </w:rPr>
            </w:pPr>
            <w:r>
              <w:rPr>
                <w:rFonts w:ascii="Arial" w:cs="Arial" w:eastAsia="Arial" w:hAnsi="Arial"/>
                <w:sz w:val="18"/>
                <w:szCs w:val="18"/>
                <w:color w:val="auto"/>
              </w:rPr>
              <w:t>Three months ended September 30,</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60" w:type="dxa"/>
            <w:vAlign w:val="bottom"/>
            <w:gridSpan w:val="7"/>
          </w:tcPr>
          <w:p>
            <w:pPr>
              <w:jc w:val="center"/>
              <w:ind w:right="170"/>
              <w:spacing w:after="0"/>
              <w:rPr>
                <w:sz w:val="20"/>
                <w:szCs w:val="20"/>
                <w:color w:val="auto"/>
              </w:rPr>
            </w:pPr>
            <w:r>
              <w:rPr>
                <w:rFonts w:ascii="Arial" w:cs="Arial" w:eastAsia="Arial" w:hAnsi="Arial"/>
                <w:sz w:val="18"/>
                <w:szCs w:val="18"/>
                <w:color w:val="auto"/>
                <w:w w:val="88"/>
              </w:rPr>
              <w:t>Nine months ended September 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2013</w:t>
            </w: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Change</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2013</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Change</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FFCC"/>
          </w:tcPr>
          <w:p>
            <w:pPr>
              <w:ind w:left="400"/>
              <w:spacing w:after="0"/>
              <w:rPr>
                <w:sz w:val="20"/>
                <w:szCs w:val="20"/>
                <w:color w:val="auto"/>
              </w:rPr>
            </w:pPr>
            <w:r>
              <w:rPr>
                <w:rFonts w:ascii="Arial" w:cs="Arial" w:eastAsia="Arial" w:hAnsi="Arial"/>
                <w:sz w:val="18"/>
                <w:szCs w:val="18"/>
                <w:color w:val="auto"/>
              </w:rPr>
              <w:t>50,000</w:t>
            </w:r>
          </w:p>
        </w:tc>
        <w:tc>
          <w:tcPr>
            <w:tcW w:w="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266,000</w:t>
            </w:r>
          </w:p>
        </w:tc>
        <w:tc>
          <w:tcPr>
            <w:tcW w:w="8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(216,000)</w:t>
            </w:r>
          </w:p>
        </w:tc>
        <w:tc>
          <w:tcPr>
            <w:tcW w:w="3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ind w:left="180"/>
              <w:spacing w:after="0"/>
              <w:rPr>
                <w:sz w:val="20"/>
                <w:szCs w:val="20"/>
                <w:color w:val="auto"/>
              </w:rPr>
            </w:pPr>
            <w:r>
              <w:rPr>
                <w:rFonts w:ascii="Arial" w:cs="Arial" w:eastAsia="Arial" w:hAnsi="Arial"/>
                <w:sz w:val="18"/>
                <w:szCs w:val="18"/>
                <w:color w:val="auto"/>
                <w:w w:val="94"/>
              </w:rPr>
              <w:t>1,276,000</w:t>
            </w:r>
          </w:p>
        </w:tc>
        <w:tc>
          <w:tcPr>
            <w:tcW w:w="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266,000</w:t>
            </w:r>
          </w:p>
        </w:tc>
        <w:tc>
          <w:tcPr>
            <w:tcW w:w="100" w:type="dxa"/>
            <w:vAlign w:val="bottom"/>
            <w:shd w:val="clear" w:color="auto" w:fill="CCFFCC"/>
          </w:tcPr>
          <w:p>
            <w:pPr>
              <w:spacing w:after="0"/>
              <w:rPr>
                <w:sz w:val="18"/>
                <w:szCs w:val="18"/>
                <w:color w:val="auto"/>
              </w:rPr>
            </w:pP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1,010,000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1,645,000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225"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During the three month period ended September 30, 2013, we recorded total revenues of $50,000 compared to $266,000 in the third quarter of 2012. The revenue recorded in the third quarter of 2013 consisted solely of subscription and content based revenue generated by Vringo mobile business compared to subscription and content sales based revenue of $76,000 in the third quarter of 2012 which represents Vringo mobile revenue from July 19, 2012, the date of the Merger, through September 30, 2012. In addition, in the third quarter of 2012, the recognized revenue consisted of: (i) revenue from a development project with Nokia of $90,000 and (ii) proceeds from partial settlement with AOL in the total amount of $100,000.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During the nine month periods ended September 30, 2013 and 2012, we recorded total revenues of $1,276,000 and $266,000, respectively. The increase was primarily due to a license and settlement agreement entered into with Microsoft, as disclosed in Note 7 to our accompanying consolidated financial statements. The increase was partially offset by revenue recorded in 2012 comprising of (i) revenue from a development project with Nokia of $90,000 and (ii) proceeds from partial settlement with AOL in the total amount of $100,000.</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2013</w:t>
      </w:r>
    </w:p>
    <w:p>
      <w:pPr>
        <w:spacing w:after="0" w:line="225" w:lineRule="exact"/>
        <w:rPr>
          <w:sz w:val="20"/>
          <w:szCs w:val="20"/>
          <w:color w:val="auto"/>
        </w:rPr>
      </w:pPr>
    </w:p>
    <w:p>
      <w:pPr>
        <w:jc w:val="both"/>
        <w:ind w:left="660" w:firstLine="720"/>
        <w:spacing w:after="0" w:line="259" w:lineRule="auto"/>
        <w:rPr>
          <w:sz w:val="20"/>
          <w:szCs w:val="20"/>
          <w:color w:val="auto"/>
        </w:rPr>
      </w:pPr>
      <w:r>
        <w:rPr>
          <w:rFonts w:ascii="Arial" w:cs="Arial" w:eastAsia="Arial" w:hAnsi="Arial"/>
          <w:sz w:val="18"/>
          <w:szCs w:val="18"/>
          <w:color w:val="auto"/>
        </w:rPr>
        <w:t>From Inception through September 30, 2013, total revenue amounted to $1,645,000. Cumulative revenue consisted of: (i) license and settlement agreement with Microsoft, (ii) subscription and content sales based revenue of $345,000, which represents Vringo mobile revenue from July 19, 2012, (iii) revenue from a development project with Nokia of $100,000 which was completed in 2012, and (iv) $100,000 from partial settlement with AOL entered into in the third quarter of 2012.</w:t>
      </w:r>
    </w:p>
    <w:p>
      <w:pPr>
        <w:spacing w:after="0" w:line="187"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 paid us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16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We seek to generate revenue through licensing or litigation, when required, which may be resolved through a settlement or collection. We also intend to continue to expand our planned operations through acquisitions and monetization of additional patents, other intellectual property or operating businesses. In particular, following the incorporation of our subsidiary in Germany and the acquisition of a patent portfolio from Nokia, we intend to expand our intellectual property monetization efforts worldwide.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60" w:type="dxa"/>
            <w:vAlign w:val="bottom"/>
            <w:gridSpan w:val="7"/>
          </w:tcPr>
          <w:p>
            <w:pPr>
              <w:jc w:val="right"/>
              <w:ind w:right="708"/>
              <w:spacing w:after="0"/>
              <w:rPr>
                <w:sz w:val="20"/>
                <w:szCs w:val="20"/>
                <w:color w:val="auto"/>
              </w:rPr>
            </w:pPr>
            <w:r>
              <w:rPr>
                <w:rFonts w:ascii="Arial" w:cs="Arial" w:eastAsia="Arial" w:hAnsi="Arial"/>
                <w:sz w:val="14"/>
                <w:szCs w:val="14"/>
                <w:color w:val="auto"/>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Change</w:t>
            </w:r>
          </w:p>
        </w:tc>
        <w:tc>
          <w:tcPr>
            <w:tcW w:w="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Cost of services provided</w:t>
            </w:r>
          </w:p>
        </w:tc>
        <w:tc>
          <w:tcPr>
            <w:tcW w:w="3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23,000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18,000</w:t>
            </w:r>
          </w:p>
        </w:tc>
        <w:tc>
          <w:tcPr>
            <w:tcW w:w="3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73,000</w:t>
            </w: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18,000</w:t>
            </w: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55,000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120,000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line="149" w:lineRule="exact"/>
              <w:rPr>
                <w:sz w:val="20"/>
                <w:szCs w:val="20"/>
                <w:color w:val="auto"/>
              </w:rPr>
            </w:pPr>
            <w:r>
              <w:rPr>
                <w:rFonts w:ascii="Arial" w:cs="Arial" w:eastAsia="Arial" w:hAnsi="Arial"/>
                <w:sz w:val="14"/>
                <w:szCs w:val="14"/>
                <w:color w:val="auto"/>
              </w:rPr>
              <w:t>Amortization of intangibles</w:t>
            </w:r>
          </w:p>
        </w:tc>
        <w:tc>
          <w:tcPr>
            <w:tcW w:w="3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1,276,000</w:t>
            </w: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878,000</w:t>
            </w:r>
          </w:p>
        </w:tc>
        <w:tc>
          <w:tcPr>
            <w:tcW w:w="3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line="149" w:lineRule="exact"/>
              <w:rPr>
                <w:sz w:val="20"/>
                <w:szCs w:val="20"/>
                <w:color w:val="auto"/>
              </w:rPr>
            </w:pPr>
            <w:r>
              <w:rPr>
                <w:rFonts w:ascii="Arial" w:cs="Arial" w:eastAsia="Arial" w:hAnsi="Arial"/>
                <w:sz w:val="14"/>
                <w:szCs w:val="14"/>
                <w:color w:val="auto"/>
              </w:rPr>
              <w:t>398,000</w:t>
            </w:r>
          </w:p>
        </w:tc>
        <w:tc>
          <w:tcPr>
            <w:tcW w:w="3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line="149" w:lineRule="exact"/>
              <w:rPr>
                <w:sz w:val="20"/>
                <w:szCs w:val="20"/>
                <w:color w:val="auto"/>
              </w:rPr>
            </w:pPr>
            <w:r>
              <w:rPr>
                <w:rFonts w:ascii="Arial" w:cs="Arial" w:eastAsia="Arial" w:hAnsi="Arial"/>
                <w:sz w:val="14"/>
                <w:szCs w:val="14"/>
                <w:color w:val="auto"/>
              </w:rPr>
              <w:t>3,800,000</w:t>
            </w:r>
          </w:p>
        </w:tc>
        <w:tc>
          <w:tcPr>
            <w:tcW w:w="80" w:type="dxa"/>
            <w:vAlign w:val="bottom"/>
          </w:tcPr>
          <w:p>
            <w:pPr>
              <w:spacing w:after="0"/>
              <w:rPr>
                <w:sz w:val="12"/>
                <w:szCs w:val="12"/>
                <w:color w:val="auto"/>
              </w:rPr>
            </w:pP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line="149" w:lineRule="exact"/>
              <w:rPr>
                <w:sz w:val="20"/>
                <w:szCs w:val="20"/>
                <w:color w:val="auto"/>
              </w:rPr>
            </w:pPr>
            <w:r>
              <w:rPr>
                <w:rFonts w:ascii="Arial" w:cs="Arial" w:eastAsia="Arial" w:hAnsi="Arial"/>
                <w:sz w:val="14"/>
                <w:szCs w:val="14"/>
                <w:color w:val="auto"/>
              </w:rPr>
              <w:t>1,189,000</w:t>
            </w:r>
          </w:p>
        </w:tc>
        <w:tc>
          <w:tcPr>
            <w:tcW w:w="10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line="149" w:lineRule="exact"/>
              <w:rPr>
                <w:sz w:val="20"/>
                <w:szCs w:val="20"/>
                <w:color w:val="auto"/>
              </w:rPr>
            </w:pPr>
            <w:r>
              <w:rPr>
                <w:rFonts w:ascii="Arial" w:cs="Arial" w:eastAsia="Arial" w:hAnsi="Arial"/>
                <w:sz w:val="14"/>
                <w:szCs w:val="14"/>
                <w:color w:val="auto"/>
              </w:rPr>
              <w:t>2,611,000</w:t>
            </w:r>
          </w:p>
        </w:tc>
        <w:tc>
          <w:tcPr>
            <w:tcW w:w="1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6,583,000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legal</w:t>
            </w:r>
          </w:p>
        </w:tc>
        <w:tc>
          <w:tcPr>
            <w:tcW w:w="3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5,426,000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2,519,000</w:t>
            </w:r>
          </w:p>
        </w:tc>
        <w:tc>
          <w:tcPr>
            <w:tcW w:w="3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2,907,000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15,684,000</w:t>
            </w: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4,769,000</w:t>
            </w: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10,915,000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26,927,000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w:t>
            </w:r>
          </w:p>
        </w:tc>
        <w:tc>
          <w:tcPr>
            <w:tcW w:w="3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6,725,000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3,415,000</w:t>
            </w:r>
          </w:p>
        </w:tc>
        <w:tc>
          <w:tcPr>
            <w:tcW w:w="3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3,310,000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19,557,000</w:t>
            </w: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5,976,000</w:t>
            </w: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13,581,000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33,630,000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225" w:lineRule="exact"/>
        <w:rPr>
          <w:sz w:val="20"/>
          <w:szCs w:val="20"/>
          <w:color w:val="auto"/>
        </w:rPr>
      </w:pPr>
    </w:p>
    <w:p>
      <w:pPr>
        <w:jc w:val="both"/>
        <w:ind w:left="660" w:firstLine="648"/>
        <w:spacing w:after="0" w:line="273" w:lineRule="auto"/>
        <w:rPr>
          <w:sz w:val="20"/>
          <w:szCs w:val="20"/>
          <w:color w:val="auto"/>
        </w:rPr>
      </w:pPr>
      <w:r>
        <w:rPr>
          <w:rFonts w:ascii="Arial" w:cs="Arial" w:eastAsia="Arial" w:hAnsi="Arial"/>
          <w:sz w:val="17"/>
          <w:szCs w:val="17"/>
          <w:color w:val="auto"/>
        </w:rPr>
        <w:t>During the three month period ended September 30, 2013, our cost of revenue was $6,725,000, which represents an increase of $3,310,000 (97%) from cost of revenue recorded for the three month period ended September 30, 2012. The increase in cost of revenue, compared to the third quarter of 2012, was mainly related to significant consulting and litigation costs, ($5,127,000, compared to $2,201,000 in the third quarter of 2012), mainly related to the commenced legal proceedings against ZTE, as well as increased amortization expenses related to patents acquired ($851,000, compared to $540,000 in the third quarter of 2012), and amortization of acquired Vringo technology, the value to which was allocated upon consummation of the Merger ($425,000, compared to $338,000 in the third quarter of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225"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During the nine month period ended September 30, 2013, our cost of revenue was $19,557,000, which represents an increase of $13,581,000 (227%) from cost of revenue recorded for the nine month period ended September 30, 2012. The increase in cost of revenue was mainly related to increased amortization expenses related to patents acquired ($2,538,000, compared to $852,000 in 2012), as well as due to amortization of acquired Vringo technology, the value to which was allocated upon consummation of the Merger ($1,262,000, compared to $338,000 in 2012). In addition, we incurred significant consulting and litigation costs, ($14,790,000, compared to $4,451,000 in 2012), mainly related to the more recently commenced legal proceedings against ZTE, and non-cash, stock-based compensation costs ($894,000, compared to $318,000 in 2012).</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68" w:right="239" w:bottom="0"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269240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2013</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From Inception through September 30, 2013, cost of revenue expenses amounted to $33,630,000. Of this amount, $120,000 was attributed to the cost of Vringo mobile products, $1,417,000 to non-cash, stock-based compensation expense, $2,025,000 was attributed to amortization of the acquired technology, $25,510,000 was attributed to operating legal expenses, mainly related to our patent monetization efforts and $4,542,000 was attributed to patent amortization.</w:t>
      </w:r>
    </w:p>
    <w:p>
      <w:pPr>
        <w:spacing w:after="0" w:line="187"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that our cost of revenue will increase over time, as we diversify the portfolio of our products and increase our intellectual property. With the goal of monetizing our intellectual property, we intend to commence new licensing and litigation campaigns which are expected to be costly.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8"/>
          </w:tcPr>
          <w:p>
            <w:pPr>
              <w:jc w:val="center"/>
              <w:ind w:right="280"/>
              <w:spacing w:after="0"/>
              <w:rPr>
                <w:sz w:val="20"/>
                <w:szCs w:val="20"/>
                <w:color w:val="auto"/>
              </w:rPr>
            </w:pPr>
            <w:r>
              <w:rPr>
                <w:rFonts w:ascii="Arial" w:cs="Arial" w:eastAsia="Arial" w:hAnsi="Arial"/>
                <w:sz w:val="14"/>
                <w:szCs w:val="14"/>
                <w:color w:val="auto"/>
                <w:w w:val="90"/>
              </w:rPr>
              <w:t>Three months ended 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Change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6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Research and development</w:t>
            </w:r>
          </w:p>
        </w:tc>
        <w:tc>
          <w:tcPr>
            <w:tcW w:w="3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700,000</w:t>
            </w:r>
          </w:p>
        </w:tc>
        <w:tc>
          <w:tcPr>
            <w:tcW w:w="3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997,000</w:t>
            </w:r>
          </w:p>
        </w:tc>
        <w:tc>
          <w:tcPr>
            <w:tcW w:w="3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(297,000)</w:t>
            </w:r>
          </w:p>
        </w:tc>
        <w:tc>
          <w:tcPr>
            <w:tcW w:w="3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2,110,000</w:t>
            </w: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997,000</w:t>
            </w: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1,113,000</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3,850,000</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three month period ended September 30, 2013 and 2012, our research and development expense amounted to $700,000 and $997,000, respectively. The decrease of $297,000 (or 30%) was primarily due to reduced development team cost ($210,000, compared to $454,000 in the third quarter of 2012), and related non cash, stock-based compensation cost ($177,000, compared to $452,000 in the third quarter of 2012). This decrease was offset by an increase in consulting costs ($285,000, compared to $14,000 in the third quarter of 2012). These expenses relate to the cost of our research and development efforts in the U.S.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225"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During the nine month period ended September 30, 2013, our research and development expense amounted to $2,110,000 and $997,000, respectively. The increase of $1,113,000 (or 112%) was primarily due to an increase in development team cost ($922,000, compared to $454,000 in 2012), an increase in consulting cost ($461,000, compared to $14,000 in 2012), and related non cash, stock-based compensation cost ($613,000, compared to $452,000 in 2012). These expenses mainly relate to post-Merger cost of the Vringo mobile research and development center in Israel.</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2013</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September 30, 2013, research and development expenses, in the total amount of $3,850,000, recorded following the Merger with I/P, consist primarily of the cost of our development team of $1,731,000, consulting expenses of $491,000 and related stock-based compensation cost $1,305,000.</w:t>
      </w:r>
    </w:p>
    <w:p>
      <w:pPr>
        <w:spacing w:after="0" w:line="181"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7"/>
          <w:szCs w:val="17"/>
          <w:color w:val="auto"/>
        </w:rPr>
        <w:t>We anticipate that research and development costs incurred in connection with our Vringo mobile services may decrease over time. In March 2013, we reduced research and development personnel in Israel. In addition, we now focus our efforts towards finding and developing new technologies and intellectual property. As part of this effort we are seeking to introduce new products or technology either through internal development or through merger or acquisition. As such, our other research and development costs may increase over time. We are currently focusing on research and development in the cognitive radio space including building on the technology licensed from Virginia Tech.</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general and administrative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8"/>
          </w:tcPr>
          <w:p>
            <w:pPr>
              <w:jc w:val="center"/>
              <w:ind w:right="280"/>
              <w:spacing w:after="0"/>
              <w:rPr>
                <w:sz w:val="20"/>
                <w:szCs w:val="20"/>
                <w:color w:val="auto"/>
              </w:rPr>
            </w:pPr>
            <w:r>
              <w:rPr>
                <w:rFonts w:ascii="Arial" w:cs="Arial" w:eastAsia="Arial" w:hAnsi="Arial"/>
                <w:sz w:val="14"/>
                <w:szCs w:val="14"/>
                <w:color w:val="auto"/>
                <w:w w:val="90"/>
              </w:rPr>
              <w:t>Three months ended 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ind w:left="600"/>
              <w:spacing w:after="0"/>
              <w:rPr>
                <w:sz w:val="20"/>
                <w:szCs w:val="20"/>
                <w:color w:val="auto"/>
              </w:rPr>
            </w:pPr>
            <w:r>
              <w:rPr>
                <w:rFonts w:ascii="Arial" w:cs="Arial" w:eastAsia="Arial" w:hAnsi="Arial"/>
                <w:sz w:val="14"/>
                <w:szCs w:val="14"/>
                <w:color w:val="auto"/>
                <w:w w:val="91"/>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Change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Marketing, general and</w:t>
            </w:r>
          </w:p>
        </w:tc>
        <w:tc>
          <w:tcPr>
            <w:tcW w:w="2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60" w:type="dxa"/>
            <w:vAlign w:val="bottom"/>
            <w:shd w:val="clear" w:color="auto" w:fill="CCFFCC"/>
          </w:tcPr>
          <w:p>
            <w:pPr>
              <w:spacing w:after="0"/>
              <w:rPr>
                <w:sz w:val="20"/>
                <w:szCs w:val="20"/>
                <w:color w:val="auto"/>
              </w:rPr>
            </w:pPr>
            <w:r>
              <w:rPr>
                <w:rFonts w:ascii="Arial" w:cs="Arial" w:eastAsia="Arial" w:hAnsi="Arial"/>
                <w:sz w:val="14"/>
                <w:szCs w:val="14"/>
                <w:color w:val="auto"/>
              </w:rPr>
              <w:t>administrative</w:t>
            </w:r>
          </w:p>
        </w:tc>
        <w:tc>
          <w:tcPr>
            <w:tcW w:w="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3,801,000</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6,364,000</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(2,563,000)</w:t>
            </w:r>
          </w:p>
        </w:tc>
        <w:tc>
          <w:tcPr>
            <w:tcW w:w="3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ind w:left="180"/>
              <w:spacing w:after="0"/>
              <w:rPr>
                <w:sz w:val="20"/>
                <w:szCs w:val="20"/>
                <w:color w:val="auto"/>
              </w:rPr>
            </w:pPr>
            <w:r>
              <w:rPr>
                <w:rFonts w:ascii="Arial" w:cs="Arial" w:eastAsia="Arial" w:hAnsi="Arial"/>
                <w:sz w:val="14"/>
                <w:szCs w:val="14"/>
                <w:color w:val="auto"/>
                <w:w w:val="99"/>
              </w:rPr>
              <w:t>11,806,000</w:t>
            </w:r>
          </w:p>
        </w:tc>
        <w:tc>
          <w:tcPr>
            <w:tcW w:w="80" w:type="dxa"/>
            <w:vAlign w:val="bottom"/>
            <w:shd w:val="clear" w:color="auto" w:fill="CCFFCC"/>
          </w:tcPr>
          <w:p>
            <w:pPr>
              <w:spacing w:after="0"/>
              <w:rPr>
                <w:sz w:val="14"/>
                <w:szCs w:val="14"/>
                <w:color w:val="auto"/>
              </w:rPr>
            </w:pP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7,508,000</w:t>
            </w:r>
          </w:p>
        </w:tc>
        <w:tc>
          <w:tcPr>
            <w:tcW w:w="100" w:type="dxa"/>
            <w:vAlign w:val="bottom"/>
            <w:shd w:val="clear" w:color="auto" w:fill="CCFFCC"/>
          </w:tcPr>
          <w:p>
            <w:pPr>
              <w:spacing w:after="0"/>
              <w:rPr>
                <w:sz w:val="14"/>
                <w:szCs w:val="14"/>
                <w:color w:val="auto"/>
              </w:rPr>
            </w:pPr>
          </w:p>
        </w:tc>
        <w:tc>
          <w:tcPr>
            <w:tcW w:w="34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4,298,000</w:t>
            </w:r>
          </w:p>
        </w:tc>
        <w:tc>
          <w:tcPr>
            <w:tcW w:w="100" w:type="dxa"/>
            <w:vAlign w:val="bottom"/>
            <w:shd w:val="clear" w:color="auto" w:fill="CCFFCC"/>
          </w:tcPr>
          <w:p>
            <w:pPr>
              <w:spacing w:after="0"/>
              <w:rPr>
                <w:sz w:val="14"/>
                <w:szCs w:val="14"/>
                <w:color w:val="auto"/>
              </w:rPr>
            </w:pPr>
          </w:p>
        </w:tc>
        <w:tc>
          <w:tcPr>
            <w:tcW w:w="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23,876,000</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225" w:lineRule="exact"/>
        <w:rPr>
          <w:sz w:val="20"/>
          <w:szCs w:val="20"/>
          <w:color w:val="auto"/>
        </w:rPr>
      </w:pPr>
    </w:p>
    <w:p>
      <w:pPr>
        <w:jc w:val="both"/>
        <w:ind w:left="660" w:firstLine="648"/>
        <w:spacing w:after="0" w:line="302" w:lineRule="auto"/>
        <w:rPr>
          <w:sz w:val="20"/>
          <w:szCs w:val="20"/>
          <w:color w:val="auto"/>
        </w:rPr>
      </w:pPr>
      <w:r>
        <w:rPr>
          <w:rFonts w:ascii="Arial" w:cs="Arial" w:eastAsia="Arial" w:hAnsi="Arial"/>
          <w:sz w:val="16"/>
          <w:szCs w:val="16"/>
          <w:color w:val="auto"/>
        </w:rPr>
        <w:t>During the three month period ended September 30, 2013, marketing, general and administrative expenses decreased by $2,563,000 (or -40%), to $3,801,000, from $6,364,000 recorded during the three month period ended September 30, 2012. Marketing, general and administrative expenses decreased mostly due to a decrease in stock-based compensation expense ($2,383,000, compared to $4,592,000 recorded in the third quarter of 2012, as well as due to a decrease in payroll expense ($661,000, compared to $941,000 recorded in the third quarter of 2012).</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During the nine month period ended September 30, 2013, marketing, general and administrative expenses increased by $4,298,000 (or 57%), to $11,806,000, from $7,508,000 recorded during the nine month period ended September 30, 2012. Marketing, general and administrative expenses increased mostly due to an increase in stock-based compensation expense ($7,468,000, compared to $4,762,000 recorded in 2012), as well as due to an increase in payroll expense ($1,930,000, compared to $1,274,000 recorded in 2012), incurred in connection with our post-Merger, combined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2013</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From Inception through September 30, 2013, marketing, general and administrative expenses amounted to $23,876,000. Of that amount, $3,732,000 was attributed to salaries and related expenses, $14,814,000 was attributed to non-cash stock-based compensation, $313,000 was attributed to merger and acquisition activity and $2,566,000 was attributed to various professional fees.</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our marketing, general and administrative expenses to increase, as our business continues to grow, on a post-Merger basis, due to increased administration, rent, office, accounting, legal and insurance costs. New merger and acquisition opportunities, should such arise, may also significantly increase our marketing, general and administrative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 net</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8"/>
          </w:tcPr>
          <w:p>
            <w:pPr>
              <w:jc w:val="center"/>
              <w:ind w:right="280"/>
              <w:spacing w:after="0"/>
              <w:rPr>
                <w:sz w:val="20"/>
                <w:szCs w:val="20"/>
                <w:color w:val="auto"/>
              </w:rPr>
            </w:pPr>
            <w:r>
              <w:rPr>
                <w:rFonts w:ascii="Arial" w:cs="Arial" w:eastAsia="Arial" w:hAnsi="Arial"/>
                <w:sz w:val="14"/>
                <w:szCs w:val="14"/>
                <w:color w:val="auto"/>
                <w:w w:val="90"/>
              </w:rPr>
              <w:t>Three months ended 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Change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Non-operating income</w:t>
            </w:r>
          </w:p>
        </w:tc>
        <w:tc>
          <w:tcPr>
            <w:tcW w:w="2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34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1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40" w:type="dxa"/>
            <w:vAlign w:val="bottom"/>
            <w:shd w:val="clear" w:color="auto" w:fill="CCFFCC"/>
          </w:tcPr>
          <w:p>
            <w:pPr>
              <w:spacing w:after="0"/>
              <w:rPr>
                <w:sz w:val="20"/>
                <w:szCs w:val="20"/>
                <w:color w:val="auto"/>
              </w:rPr>
            </w:pPr>
            <w:r>
              <w:rPr>
                <w:rFonts w:ascii="Arial" w:cs="Arial" w:eastAsia="Arial" w:hAnsi="Arial"/>
                <w:sz w:val="14"/>
                <w:szCs w:val="14"/>
                <w:color w:val="auto"/>
              </w:rPr>
              <w:t>(expense), net</w:t>
            </w: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645,000</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7,310,000</w:t>
            </w:r>
          </w:p>
        </w:tc>
        <w:tc>
          <w:tcPr>
            <w:tcW w:w="30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(6,665,000)</w:t>
            </w:r>
          </w:p>
        </w:tc>
        <w:tc>
          <w:tcPr>
            <w:tcW w:w="3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4"/>
                <w:szCs w:val="14"/>
                <w:color w:val="auto"/>
              </w:rPr>
              <w:t>(1,220,000)</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7,303,000</w:t>
            </w:r>
          </w:p>
        </w:tc>
        <w:tc>
          <w:tcPr>
            <w:tcW w:w="100" w:type="dxa"/>
            <w:vAlign w:val="bottom"/>
            <w:shd w:val="clear" w:color="auto" w:fill="CCFFCC"/>
          </w:tcPr>
          <w:p>
            <w:pPr>
              <w:spacing w:after="0"/>
              <w:rPr>
                <w:sz w:val="14"/>
                <w:szCs w:val="14"/>
                <w:color w:val="auto"/>
              </w:rPr>
            </w:pPr>
          </w:p>
        </w:tc>
        <w:tc>
          <w:tcPr>
            <w:tcW w:w="340" w:type="dxa"/>
            <w:vAlign w:val="bottom"/>
            <w:shd w:val="clear" w:color="auto" w:fill="CCFFCC"/>
          </w:tcPr>
          <w:p>
            <w:pPr>
              <w:jc w:val="right"/>
              <w:ind w:right="18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(8,523,000)</w:t>
            </w:r>
          </w:p>
        </w:tc>
        <w:tc>
          <w:tcPr>
            <w:tcW w:w="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2,754,000</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Three Months Ended September 30, 2013, Compared to Three Months Ended September 30, 2012</w:t>
      </w:r>
    </w:p>
    <w:p>
      <w:pPr>
        <w:spacing w:after="0" w:line="225" w:lineRule="exact"/>
        <w:rPr>
          <w:sz w:val="20"/>
          <w:szCs w:val="20"/>
          <w:color w:val="auto"/>
        </w:rPr>
      </w:pPr>
    </w:p>
    <w:p>
      <w:pPr>
        <w:jc w:val="both"/>
        <w:ind w:left="660" w:firstLine="693"/>
        <w:spacing w:after="0" w:line="291" w:lineRule="auto"/>
        <w:rPr>
          <w:sz w:val="20"/>
          <w:szCs w:val="20"/>
          <w:color w:val="auto"/>
        </w:rPr>
      </w:pPr>
      <w:r>
        <w:rPr>
          <w:rFonts w:ascii="Arial" w:cs="Arial" w:eastAsia="Arial" w:hAnsi="Arial"/>
          <w:sz w:val="16"/>
          <w:szCs w:val="16"/>
          <w:color w:val="auto"/>
        </w:rPr>
        <w:t>During the three month period ended September 30, 2013, we recorded non-operating income in the amount of $645,000, compared to non-operating income in the amount of $7,310,000 recorded in the three month period ended September 30, 2012. Following the Merger, in the third quarter of 2012, our non-operating income (expense), net, included mainly the impact of changes in fair value of our derivative warrants, the fair value of which is highly affected by our share price at the measurement date. Consequently, as of September 30, 2012, we recorded an income of $7,240,000 due to the decrease of our share price at quarter end, compared to the price on the date of the Merger. During the three month period ended September 30, 2013, we recorded approximately $689,000 income related to a decrease in fair value of our derivative warrant liability. The change was mainly due to a decrease in our share price as of the valuation date, compared to the end of the second quarter of 2013.</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Nine Months Ended September 30, 2013, Compared to Nine Months Ended September 30, 2012</w:t>
      </w:r>
    </w:p>
    <w:p>
      <w:pPr>
        <w:spacing w:after="0" w:line="252" w:lineRule="exact"/>
        <w:rPr>
          <w:sz w:val="20"/>
          <w:szCs w:val="20"/>
          <w:color w:val="auto"/>
        </w:rPr>
      </w:pPr>
    </w:p>
    <w:p>
      <w:pPr>
        <w:jc w:val="both"/>
        <w:ind w:left="660" w:firstLine="705"/>
        <w:spacing w:after="0" w:line="291" w:lineRule="auto"/>
        <w:rPr>
          <w:sz w:val="20"/>
          <w:szCs w:val="20"/>
          <w:color w:val="auto"/>
        </w:rPr>
      </w:pPr>
      <w:r>
        <w:rPr>
          <w:rFonts w:ascii="Arial" w:cs="Arial" w:eastAsia="Arial" w:hAnsi="Arial"/>
          <w:sz w:val="16"/>
          <w:szCs w:val="16"/>
          <w:color w:val="auto"/>
        </w:rPr>
        <w:t>During the nine month period ended September 30, 2013, we recorded non-operating expense in the amount of $1,220,000, compared to non-operating income in the amount of $7,303,000 recorded in the nine month period ended September 30, 2012. During the nine month period ended September 30, 2013, we recorded approximately a $397,000 income related to a decrease in fair value of our derivative warrant liability. In addition, as part of the issuance of October 2012 Warrants, down-round protection clause in certain then outstanding Series 1 Warrants were removed. The impact of the removal of the down-round warrant protection, which was not material, was recorded during the nine month period ended September 30, 2013. As a result, we recorded an additional, non-operating expense of $1,617,000. As of September 30, 2012, we recorded an income of $7,240,000 due to the decrease of our share price at quarter end, compared to the price on the date of the Merger.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From Inception Through September 30, 2013</w:t>
      </w:r>
    </w:p>
    <w:p>
      <w:pPr>
        <w:spacing w:after="0" w:line="225" w:lineRule="exact"/>
        <w:rPr>
          <w:sz w:val="20"/>
          <w:szCs w:val="20"/>
          <w:color w:val="auto"/>
        </w:rPr>
      </w:pPr>
    </w:p>
    <w:p>
      <w:pPr>
        <w:jc w:val="both"/>
        <w:ind w:left="660" w:right="20" w:firstLine="648"/>
        <w:spacing w:after="0" w:line="286" w:lineRule="auto"/>
        <w:rPr>
          <w:sz w:val="20"/>
          <w:szCs w:val="20"/>
          <w:color w:val="auto"/>
        </w:rPr>
      </w:pPr>
      <w:r>
        <w:rPr>
          <w:rFonts w:ascii="Arial" w:cs="Arial" w:eastAsia="Arial" w:hAnsi="Arial"/>
          <w:sz w:val="17"/>
          <w:szCs w:val="17"/>
          <w:color w:val="auto"/>
        </w:rPr>
        <w:t>Following the Merger, our non-operating income (expenses), net, included mainly the impact of changes in fair value of our derivative warrants, the fair value of which is highly affected by our share price at the measurement date. Consequently, as of September 30, 2013, we recorded income of $5,627,000 due to the decrease of our share price, compared to the share price on the date of issuance (i.e. Merger).</w:t>
      </w:r>
    </w:p>
    <w:p>
      <w:pPr>
        <w:spacing w:after="0" w:line="166" w:lineRule="exact"/>
        <w:rPr>
          <w:sz w:val="20"/>
          <w:szCs w:val="20"/>
          <w:color w:val="auto"/>
        </w:rPr>
      </w:pPr>
    </w:p>
    <w:p>
      <w:pPr>
        <w:jc w:val="both"/>
        <w:ind w:left="660" w:firstLine="648"/>
        <w:spacing w:after="0" w:line="255" w:lineRule="auto"/>
        <w:rPr>
          <w:sz w:val="20"/>
          <w:szCs w:val="20"/>
          <w:color w:val="auto"/>
        </w:rPr>
      </w:pPr>
      <w:r>
        <w:rPr>
          <w:rFonts w:ascii="Arial" w:cs="Arial" w:eastAsia="Arial" w:hAnsi="Arial"/>
          <w:sz w:val="18"/>
          <w:szCs w:val="18"/>
          <w:color w:val="auto"/>
        </w:rPr>
        <w:t>In October 2012, we entered into an agreement with certain of our warrant holders, pursuant to which such warrant holders exercised in cash their outstanding warrants into 3,721,062 shares of our common stock, with an exercise price of $1.76 per share, and agreed to delete down round protection clause in their then outstanding Series 1 Warrant agreements. In consideration, we issued such warrant holders unregistered warrants to purchase an aggregate of 3,000,000 of our shares of common stock at an exercise price of $5.06 per share. The newly issued warrants do not bear down-round protection clauses. As a result of this issuance, additional non-operational expense in the total amount of $2,883,000 was recorded (see also Note 6 to the accompanying financial statements).</w:t>
      </w:r>
    </w:p>
    <w:p>
      <w:pPr>
        <w:spacing w:after="0" w:line="193"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181818"/>
        </w:rPr>
        <w:t>We expect that our non-operating income (expenses), net, will remain highly volatile, as we may choose to fund our operations through additional financing. In particular, non-operating income (expenses), net, will be affected by the adjustments to fair value of our derivative instruments. Fair value of these derivative instruments depends on variety of assumptions, such as estimations regarding volatility, triggering of down-round protection and estimated future share price. An estimated increase in the price of our common stock increases the value of the warrants and thus results in a loss on our statement of operations. In addition, increase in estimated probability of a down-round protection, increases the value of the warrants and again results in a loss on our statement of operations. Also see Notes 4 and 6 to the accompanying financial statements.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072"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0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Cumulative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9"/>
              </w:rPr>
              <w:t>Inception through</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0" w:type="dxa"/>
            <w:vAlign w:val="bottom"/>
            <w:gridSpan w:val="9"/>
          </w:tcPr>
          <w:p>
            <w:pPr>
              <w:jc w:val="center"/>
              <w:ind w:right="280"/>
              <w:spacing w:after="0"/>
              <w:rPr>
                <w:sz w:val="20"/>
                <w:szCs w:val="20"/>
                <w:color w:val="auto"/>
              </w:rPr>
            </w:pPr>
            <w:r>
              <w:rPr>
                <w:rFonts w:ascii="Arial" w:cs="Arial" w:eastAsia="Arial" w:hAnsi="Arial"/>
                <w:sz w:val="14"/>
                <w:szCs w:val="14"/>
                <w:color w:val="auto"/>
                <w:w w:val="90"/>
              </w:rPr>
              <w:t>Three months ended September 30,</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color w:val="auto"/>
              </w:rPr>
              <w:t>Nine months ended September 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2013</w:t>
            </w: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color w:val="auto"/>
              </w:rPr>
              <w:t>Change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2013</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2012</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9"/>
              </w:rPr>
              <w:t>2013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0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Income tax benefit (expense)  $</w:t>
            </w:r>
          </w:p>
        </w:tc>
        <w:tc>
          <w:tcPr>
            <w:tcW w:w="94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(29,000)</w:t>
            </w:r>
          </w:p>
        </w:tc>
        <w:tc>
          <w:tcPr>
            <w:tcW w:w="3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76,000</w:t>
            </w:r>
          </w:p>
        </w:tc>
        <w:tc>
          <w:tcPr>
            <w:tcW w:w="3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(105,000)</w:t>
            </w:r>
          </w:p>
        </w:tc>
        <w:tc>
          <w:tcPr>
            <w:tcW w:w="30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(47,000)</w:t>
            </w:r>
          </w:p>
        </w:tc>
        <w:tc>
          <w:tcPr>
            <w:tcW w:w="26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CCFFCC"/>
          </w:tcPr>
          <w:p>
            <w:pPr>
              <w:jc w:val="right"/>
              <w:ind w:right="8"/>
              <w:spacing w:after="0" w:line="149" w:lineRule="exact"/>
              <w:rPr>
                <w:sz w:val="20"/>
                <w:szCs w:val="20"/>
                <w:color w:val="auto"/>
              </w:rPr>
            </w:pPr>
            <w:r>
              <w:rPr>
                <w:rFonts w:ascii="Arial" w:cs="Arial" w:eastAsia="Arial" w:hAnsi="Arial"/>
                <w:sz w:val="14"/>
                <w:szCs w:val="14"/>
                <w:color w:val="auto"/>
              </w:rPr>
              <w:t>76,000</w:t>
            </w:r>
          </w:p>
        </w:tc>
        <w:tc>
          <w:tcPr>
            <w:tcW w:w="100" w:type="dxa"/>
            <w:vAlign w:val="bottom"/>
            <w:shd w:val="clear" w:color="auto" w:fill="CCFFCC"/>
          </w:tcPr>
          <w:p>
            <w:pPr>
              <w:spacing w:after="0"/>
              <w:rPr>
                <w:sz w:val="12"/>
                <w:szCs w:val="12"/>
                <w:color w:val="auto"/>
              </w:rPr>
            </w:pPr>
          </w:p>
        </w:tc>
        <w:tc>
          <w:tcPr>
            <w:tcW w:w="340" w:type="dxa"/>
            <w:vAlign w:val="bottom"/>
            <w:shd w:val="clear" w:color="auto" w:fill="CCFFCC"/>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(123,000)</w:t>
            </w:r>
          </w:p>
        </w:tc>
        <w:tc>
          <w:tcPr>
            <w:tcW w:w="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(102,000)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firstLine="648"/>
        <w:spacing w:after="0" w:line="293" w:lineRule="auto"/>
        <w:rPr>
          <w:sz w:val="20"/>
          <w:szCs w:val="20"/>
          <w:color w:val="auto"/>
        </w:rPr>
      </w:pPr>
      <w:r>
        <w:rPr>
          <w:rFonts w:ascii="Arial" w:cs="Arial" w:eastAsia="Arial" w:hAnsi="Arial"/>
          <w:sz w:val="16"/>
          <w:szCs w:val="16"/>
          <w:color w:val="auto"/>
        </w:rPr>
        <w:t>During the three months ended September 30, 2013, we recorded income tax expense in the total amount of $29,000, compared to a $76,000 tax benefit recorded in the three month period ended September 30, 2012. During the nine months ended September 30, 2013, we recorded income tax expense in the total amount of $47,000, compared to a $76,000 tax benefit recorded in the nine month period ended September 30, 2012. In general, current taxes on income are mainly due to taxable profits generated by our subsidiary in Israel, as a result of the intercompany cost plus agreement between us and the subsidiary in Israel, whereby the subsidiary in Israel performs development and other services for us and is reimbursed for its expenses plus 8% profit. For financial statements purposes, these profits are eliminated upon consolidation.</w:t>
      </w:r>
    </w:p>
    <w:p>
      <w:pPr>
        <w:spacing w:after="0" w:line="165"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As of December 31, 2012, we had approximately $55,000,000 in aggregate total net tax loss carryforwards ("NOL") for U.S. federal state and local purposes expiring 20 years from the respective tax years to which they relate (beginning with 2006 for the Legal Parent and 2011 for I/P). The Tax Reform Act of 1986 imposed substantial restrictions on the utilization of NOL and tax credits in the event of an ownership change of a corporation. Thus, in accordance with Internal Revenue Code, Section 382, our initial public offering, financing activities, as well as the Merger, has significantly limited our ability to utilize such NOL’s and credit carryforwards.</w:t>
      </w:r>
    </w:p>
    <w:p>
      <w:pPr>
        <w:spacing w:after="0" w:line="188" w:lineRule="exact"/>
        <w:rPr>
          <w:sz w:val="20"/>
          <w:szCs w:val="20"/>
          <w:color w:val="auto"/>
        </w:rPr>
      </w:pPr>
    </w:p>
    <w:p>
      <w:pPr>
        <w:jc w:val="both"/>
        <w:ind w:left="660" w:firstLine="648"/>
        <w:spacing w:after="0" w:line="286" w:lineRule="auto"/>
        <w:rPr>
          <w:sz w:val="20"/>
          <w:szCs w:val="20"/>
          <w:color w:val="auto"/>
        </w:rPr>
      </w:pPr>
      <w:r>
        <w:rPr>
          <w:rFonts w:ascii="Arial" w:cs="Arial" w:eastAsia="Arial" w:hAnsi="Arial"/>
          <w:sz w:val="17"/>
          <w:szCs w:val="17"/>
          <w:color w:val="auto"/>
        </w:rPr>
        <w:t>We file our tax returns in the U.S. federal jurisdiction, as well as in various state and local jurisdictions. Vringo has open tax assessments for the years 2009 through 2012. As of September 30, 2013, all tax assessments for I/P are still open. The Israeli subsidiary files its income tax returns in Israel. As of September 30, 2013, the Israeli subsidiary has open tax assessments for the years 2009 through 2012.</w:t>
      </w:r>
    </w:p>
    <w:p>
      <w:pPr>
        <w:spacing w:after="0" w:line="166"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as in our opinion it is more likely than not that the tax loss carryforwards will not be utilized in the foreseeable future. No valuation allowance has been provided for the deferred tax assets of the Israeli subsidiary since as of September 30, 2013, they are more likely than not to be realized.</w:t>
      </w:r>
    </w:p>
    <w:p>
      <w:pPr>
        <w:spacing w:after="0" w:line="21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our tax expense in Israel to decrease, as the scope of services provided to us is expected to decrease, mainly due to reduction in operating and support personnel. We also expect our income tax expenses in the U.S. to increase, partially due to the potential increase in revenues, as well as due to increase in local taxes calculated based on equity and total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As of September 30, 2013, we had a cash balance of $40,436,000 and $37,596,000 in net working capital. The decrease of $16,524,000 in our cash balance from December 31, 2012, was mainly due to cash used by us in our business operations, in the total amount of approximately $17,384,000, offset by $1,539,000 received from the exercise of options and warrants.</w:t>
      </w:r>
    </w:p>
    <w:p>
      <w:pPr>
        <w:spacing w:after="0" w:line="181"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181818"/>
        </w:rPr>
        <w:t>During the nine month period ended September 30, 2013, 421,493 warrants to purchase an aggregate of 421,493 shares of our common stock</w:t>
      </w:r>
      <w:r>
        <w:rPr>
          <w:rFonts w:ascii="Arial" w:cs="Arial" w:eastAsia="Arial" w:hAnsi="Arial"/>
          <w:sz w:val="18"/>
          <w:szCs w:val="18"/>
          <w:color w:val="000000"/>
        </w:rPr>
        <w:t>, were exercised by our warrant holders, pursuant to which we received an additional $566,000. In addition, 717,735 options, to purchase</w:t>
      </w:r>
      <w:r>
        <w:rPr>
          <w:rFonts w:ascii="Arial" w:cs="Arial" w:eastAsia="Arial" w:hAnsi="Arial"/>
          <w:sz w:val="18"/>
          <w:szCs w:val="18"/>
          <w:color w:val="181818"/>
        </w:rPr>
        <w:t xml:space="preserve"> </w:t>
      </w:r>
      <w:r>
        <w:rPr>
          <w:rFonts w:ascii="Arial" w:cs="Arial" w:eastAsia="Arial" w:hAnsi="Arial"/>
          <w:sz w:val="18"/>
          <w:szCs w:val="18"/>
          <w:color w:val="000000"/>
        </w:rPr>
        <w:t>717,735 shares of our common stock, issued to employees, directors and management, were exercised. As a result, we received an additional $973,000.</w:t>
      </w:r>
    </w:p>
    <w:p>
      <w:pPr>
        <w:spacing w:after="0" w:line="187"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As of November 5, 2013, we had approximately $</w:t>
      </w:r>
      <w:r>
        <w:rPr>
          <w:rFonts w:ascii="Arial" w:cs="Arial" w:eastAsia="Arial" w:hAnsi="Arial"/>
          <w:sz w:val="18"/>
          <w:szCs w:val="18"/>
          <w:color w:val="auto"/>
          <w:highlight w:val="white"/>
        </w:rPr>
        <w:t>38,025,000</w:t>
      </w:r>
      <w:r>
        <w:rPr>
          <w:rFonts w:ascii="Arial" w:cs="Arial" w:eastAsia="Arial" w:hAnsi="Arial"/>
          <w:sz w:val="18"/>
          <w:szCs w:val="18"/>
          <w:color w:val="auto"/>
        </w:rPr>
        <w:t xml:space="preserve"> in cash, cash equivalents and short-term investments. Based on current operating plans, we expect to have sufficient funds for at least the next twelve months. In addition, we may choose to raise additional funds in connection with potential acquisitions of patent portfolios or other intellectual property assets that we may pursue. There can be no assurance, however, that any such opportunities will materialize.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4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00" w:type="dxa"/>
            <w:vAlign w:val="bottom"/>
            <w:gridSpan w:val="7"/>
            <w:vMerge w:val="restart"/>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6"/>
              </w:rPr>
              <w:t>from Inception through</w:t>
            </w:r>
          </w:p>
        </w:tc>
        <w:tc>
          <w:tcPr>
            <w:tcW w:w="0" w:type="dxa"/>
            <w:vAlign w:val="bottom"/>
          </w:tcPr>
          <w:p>
            <w:pPr>
              <w:spacing w:after="0"/>
              <w:rPr>
                <w:sz w:val="1"/>
                <w:szCs w:val="1"/>
                <w:color w:val="auto"/>
              </w:rPr>
            </w:pPr>
          </w:p>
        </w:tc>
      </w:tr>
      <w:tr>
        <w:trPr>
          <w:trHeight w:val="171"/>
        </w:trPr>
        <w:tc>
          <w:tcPr>
            <w:tcW w:w="49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Change</w:t>
            </w:r>
          </w:p>
        </w:tc>
        <w:tc>
          <w:tcPr>
            <w:tcW w:w="220" w:type="dxa"/>
            <w:vAlign w:val="bottom"/>
          </w:tcPr>
          <w:p>
            <w:pPr>
              <w:spacing w:after="0"/>
              <w:rPr>
                <w:sz w:val="17"/>
                <w:szCs w:val="17"/>
                <w:color w:val="auto"/>
              </w:rPr>
            </w:pPr>
          </w:p>
        </w:tc>
        <w:tc>
          <w:tcPr>
            <w:tcW w:w="13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(17,384,000)</w:t>
            </w: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(5,962,000)</w:t>
            </w:r>
          </w:p>
        </w:tc>
        <w:tc>
          <w:tcPr>
            <w:tcW w:w="360" w:type="dxa"/>
            <w:vAlign w:val="bottom"/>
            <w:shd w:val="clear" w:color="auto" w:fill="CCFFCC"/>
          </w:tcPr>
          <w:p>
            <w:pPr>
              <w:jc w:val="right"/>
              <w:ind w:right="2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(11,422,000)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(33,380,000)</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(692,000)</w:t>
            </w:r>
          </w:p>
        </w:tc>
        <w:tc>
          <w:tcPr>
            <w:tcW w:w="3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4"/>
                <w:szCs w:val="14"/>
                <w:color w:val="auto"/>
              </w:rPr>
              <w:t>(19,419,000)</w:t>
            </w: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18,727,000</w:t>
            </w:r>
          </w:p>
        </w:tc>
        <w:tc>
          <w:tcPr>
            <w:tcW w:w="100" w:type="dxa"/>
            <w:vAlign w:val="bottom"/>
          </w:tcPr>
          <w:p>
            <w:pPr>
              <w:spacing w:after="0"/>
              <w:rPr>
                <w:sz w:val="18"/>
                <w:szCs w:val="18"/>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(23,573,000)</w:t>
            </w:r>
          </w:p>
        </w:tc>
        <w:tc>
          <w:tcPr>
            <w:tcW w:w="0" w:type="dxa"/>
            <w:vAlign w:val="bottom"/>
          </w:tcPr>
          <w:p>
            <w:pPr>
              <w:spacing w:after="0"/>
              <w:rPr>
                <w:sz w:val="1"/>
                <w:szCs w:val="1"/>
                <w:color w:val="auto"/>
              </w:rPr>
            </w:pPr>
          </w:p>
        </w:tc>
      </w:tr>
      <w:tr>
        <w:trPr>
          <w:trHeight w:val="216"/>
        </w:trPr>
        <w:tc>
          <w:tcPr>
            <w:tcW w:w="4980" w:type="dxa"/>
            <w:vAlign w:val="bottom"/>
            <w:shd w:val="clear" w:color="auto" w:fill="CCFFCC"/>
          </w:tcPr>
          <w:p>
            <w:pPr>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1,539,000</w:t>
            </w:r>
          </w:p>
        </w:tc>
        <w:tc>
          <w:tcPr>
            <w:tcW w:w="40" w:type="dxa"/>
            <w:vAlign w:val="bottom"/>
            <w:shd w:val="clear" w:color="auto" w:fill="CCFFCC"/>
          </w:tcPr>
          <w:p>
            <w:pPr>
              <w:spacing w:after="0"/>
              <w:rPr>
                <w:sz w:val="18"/>
                <w:szCs w:val="18"/>
                <w:color w:val="auto"/>
              </w:rPr>
            </w:pPr>
          </w:p>
        </w:tc>
        <w:tc>
          <w:tcPr>
            <w:tcW w:w="3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29,717,000</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jc w:val="right"/>
              <w:ind w:right="2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(28,178,000)</w:t>
            </w:r>
          </w:p>
        </w:tc>
        <w:tc>
          <w:tcPr>
            <w:tcW w:w="2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97,378,000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nine month periods ended September 30, 2013 and 2012, net cash used in operating activities totaled $17,384,000 and $5,962,000, respectively. The $11,422,000 increase in net cash used in operating activities was mainly due to increased litigation costs, as well as an increase in cost of our in-house staff, hired since the Merger in July 19, 2012.</w:t>
      </w:r>
    </w:p>
    <w:p>
      <w:pPr>
        <w:spacing w:after="0" w:line="181"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expect our net cash used in operating activities to increase due to further development of our business, development of our products and enhancement of our intellectual property. As we expect to move towards greater revenue generation, we believe that these amounts will be offset over time by collection of revenue.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54" w:gutter="0" w:footer="0" w:header="0"/>
        </w:sectPr>
      </w:pPr>
    </w:p>
    <w:bookmarkStart w:id="26" w:name="page27"/>
    <w:bookmarkEnd w:id="26"/>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During the nine month periods ended September 30, 2013 and 2012, net cash used in investing activities totaled $692,000 and $19,419,000, respectively. The decrease in cash used in investing activities, in the total amount of $18,727,000, was primarily due to the acquisition of patents from Nokia in the total amount of $22,548,000, in the third quarter of 2012.</w:t>
      </w:r>
    </w:p>
    <w:p>
      <w:pPr>
        <w:spacing w:after="0" w:line="181"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We expect that net cash used in investing activities will increase as we intend to continue to acquire additional intellectual property assets and invest surplus cash, according to our investment policy.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660" w:firstLine="710"/>
        <w:spacing w:after="0" w:line="257" w:lineRule="auto"/>
        <w:rPr>
          <w:sz w:val="20"/>
          <w:szCs w:val="20"/>
          <w:color w:val="auto"/>
        </w:rPr>
      </w:pPr>
      <w:r>
        <w:rPr>
          <w:rFonts w:ascii="Arial" w:cs="Arial" w:eastAsia="Arial" w:hAnsi="Arial"/>
          <w:sz w:val="18"/>
          <w:szCs w:val="18"/>
          <w:color w:val="auto"/>
        </w:rPr>
        <w:t>During the nine month period ended September 30, 2013, net cash provided by financing activities totaled $1,539,000, which relates to funds received from the exercise of warrants and options in the total amount of $566,000 and $973,000, respectively. During the nine month period ended September 30, 2012, net cash provided by financing activities totaled $29,717,000, which mainly relates to a private financing round, in which we raised $31,148,000, offset by repayment of notes payable to Hudson Bay, and funds received from exercise of warrants and options in the total amount of $1,769,000.</w:t>
      </w:r>
    </w:p>
    <w:p>
      <w:pPr>
        <w:spacing w:after="0" w:line="188" w:lineRule="exact"/>
        <w:rPr>
          <w:sz w:val="20"/>
          <w:szCs w:val="20"/>
          <w:color w:val="auto"/>
        </w:rPr>
      </w:pPr>
    </w:p>
    <w:p>
      <w:pPr>
        <w:jc w:val="both"/>
        <w:ind w:left="660" w:firstLine="648"/>
        <w:spacing w:after="0" w:line="257" w:lineRule="auto"/>
        <w:rPr>
          <w:sz w:val="20"/>
          <w:szCs w:val="20"/>
          <w:color w:val="auto"/>
        </w:rPr>
      </w:pPr>
      <w:r>
        <w:rPr>
          <w:rFonts w:ascii="Arial" w:cs="Arial" w:eastAsia="Arial" w:hAnsi="Arial"/>
          <w:sz w:val="18"/>
          <w:szCs w:val="18"/>
          <w:color w:val="auto"/>
        </w:rPr>
        <w:t>A significant portion of our issued and outstanding warrants are currently “in the money” and the shares of common stock underlying such warrants held by non-affiliates are freely tradable, with the potential of up to $18.7 million of additional incoming funds. We may choose to raise additional funds in connection with any acquisition of patent portfolios or other intellectual property assets that we may pursue. There can be no assurance, however, that any such opportunity will materialize, and moreover, any such financing would likely be dilutive to our current stockholders.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operations</w:t>
      </w:r>
    </w:p>
    <w:p>
      <w:pPr>
        <w:spacing w:after="0" w:line="225" w:lineRule="exact"/>
        <w:rPr>
          <w:sz w:val="20"/>
          <w:szCs w:val="20"/>
          <w:color w:val="auto"/>
        </w:rPr>
      </w:pPr>
    </w:p>
    <w:p>
      <w:pPr>
        <w:jc w:val="both"/>
        <w:ind w:left="660" w:firstLine="648"/>
        <w:spacing w:after="0" w:line="264" w:lineRule="auto"/>
        <w:rPr>
          <w:sz w:val="20"/>
          <w:szCs w:val="20"/>
          <w:color w:val="auto"/>
        </w:rPr>
      </w:pPr>
      <w:r>
        <w:rPr>
          <w:rFonts w:ascii="Arial" w:cs="Arial" w:eastAsia="Arial" w:hAnsi="Arial"/>
          <w:sz w:val="18"/>
          <w:szCs w:val="18"/>
          <w:color w:val="auto"/>
        </w:rPr>
        <w:t>We are currently pursuing several potential strategic partners and have identified patent portfolios, other intellectual property assets and operating businesses that we may wish to acquire. In addition, we are continuing to explore further opportunities for strategic business alliances. However, there can be no assurance that any such opportunities will be consummated.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October 2012 through September 30, 2013, our subsidiaries filed patent infringement lawsuits against the subsidiaries of ZTE Corporation in the United Kingdom, France, Germany, and Australia. Should we be deemed the losing party in any of its applications to the court in the UK, we may be held responsible for a portion of the defendant’s legal fees for the relevant application or for the litigation. Pursuant to negotiation with ZTE’s UK subsidiary, in the United Kingdom, we placed two guarantees to ensure the payment of a potential liability by Vringo Infrastructure resulting for the two cases filed in the fourth quarter of 2012 and second quarter of 2013, which the defendants estimated to be approximately $2,900 each. In addition, we may be required to grant additional guarantees, as necessary, in connection with its commenced proceedings against ZTE Corporation in Europe and Australia. It should be noted, however, that if we were successful on any court applications or the entirety of any litigation, ZTE Corporation would be responsible for a substantial portion of our legal fees.</w:t>
      </w:r>
    </w:p>
    <w:p>
      <w:pPr>
        <w:spacing w:after="0" w:line="19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We do not participate in transactions that create relationships with unconsolidated entities or financial partnerships, often referred to as variable interest entities, which would have been established for the purpose of facilitating off-balance sheet arrangements.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our significant accounting policies are more fully described in the notes to our audited consolidated financial statements for the year ended December 31, 2012, we believe the following accounting policies to be the most critical in understanding the judgments and estimates we use in preparing our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accounted for the Merger in accordance with FASB Topic ASC 805 ”Business Combinations” and for identified goodwill and technology in accordance with FASB Topic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Additionally, we review our long-lived assets for recoverability in accordance with FASB Topic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identification and valuation of intangible assets and the determination of the estimated useful lives at the time of acquisition are based on various valuation methodologies including reviews of projected future cash flows. The use of alternative estimates and assumptions could increase or decrease the estimated fair value of our goodwill and other intangible assets, and potentially result in a different impact to our results of operations. Further, changes in business strategy and/or market conditions may significantly impact these judgments thereby impacting the fair value of these assets, which could result in an impairment of the goodwill and acquired intangible assets.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evaluate our long-lived tangible and intangible assets for impairment in accordance with FASB Topic ASC 350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Other</w:t>
      </w:r>
      <w:r>
        <w:rPr>
          <w:rFonts w:ascii="Arial" w:cs="Arial" w:eastAsia="Arial" w:hAnsi="Arial"/>
          <w:sz w:val="18"/>
          <w:szCs w:val="18"/>
          <w:color w:val="auto"/>
        </w:rPr>
        <w:t>” and FASB Topic ASC 360 “Property, Plant and Equipment” whenever events or changes in circumstances indicate that the carrying amount of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be recoverable. Goodwill is subject to an annual test for impairment, or for impairment testing up on the occurrence of triggering events. If such assets are considered to be impaired, the impairment to be recognized is measured by the amount by which the carrying amount of the assets exceeds the fair value of the assets. While we use available information to prepare our estimates and to perform impairment evaluations, the completion of annual impairment tests requires significant management judgments and estimates.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478"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Valuation of Financial Instruments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2013, we had 21,198 Special Bridge Warrants and 14,491 Conversion Warrants at an exercise price of $0.94, and 160,609 Preferential Reload Warrants and 2,318,006 Series 1 Warrants at an exercise price of $1.76 (see also Note 6 to the accompanying financial statements). The following table represents the assumptions, valuation models and inputs used, as of September 30,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1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Unobservable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60" w:type="dxa"/>
            <w:vAlign w:val="bottom"/>
          </w:tcPr>
          <w:p>
            <w:pPr>
              <w:ind w:left="14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91"/>
              </w:rPr>
              <w:t>Technique</w:t>
            </w:r>
          </w:p>
        </w:tc>
        <w:tc>
          <w:tcPr>
            <w:tcW w:w="1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ind w:left="500"/>
              <w:spacing w:after="0"/>
              <w:rPr>
                <w:sz w:val="20"/>
                <w:szCs w:val="20"/>
                <w:color w:val="auto"/>
              </w:rPr>
            </w:pPr>
            <w:r>
              <w:rPr>
                <w:rFonts w:ascii="Arial" w:cs="Arial" w:eastAsia="Arial" w:hAnsi="Arial"/>
                <w:sz w:val="14"/>
                <w:szCs w:val="14"/>
                <w:b w:val="1"/>
                <w:bCs w:val="1"/>
                <w:color w:val="auto"/>
              </w:rPr>
              <w:t>Range</w:t>
            </w:r>
          </w:p>
        </w:tc>
      </w:tr>
      <w:tr>
        <w:trPr>
          <w:trHeight w:val="142"/>
        </w:trPr>
        <w:tc>
          <w:tcPr>
            <w:tcW w:w="3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3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660" w:type="dxa"/>
            <w:vAlign w:val="bottom"/>
            <w:shd w:val="clear" w:color="auto" w:fill="CCFFCC"/>
          </w:tcPr>
          <w:p>
            <w:pPr>
              <w:spacing w:after="0"/>
              <w:rPr>
                <w:sz w:val="14"/>
                <w:szCs w:val="14"/>
                <w:color w:val="auto"/>
              </w:rPr>
            </w:pPr>
          </w:p>
        </w:tc>
        <w:tc>
          <w:tcPr>
            <w:tcW w:w="250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Volatility</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51.91% – 57.04%</w:t>
            </w:r>
          </w:p>
        </w:tc>
      </w:tr>
      <w:tr>
        <w:trPr>
          <w:trHeight w:val="162"/>
        </w:trPr>
        <w:tc>
          <w:tcPr>
            <w:tcW w:w="3660" w:type="dxa"/>
            <w:vAlign w:val="bottom"/>
            <w:shd w:val="clear" w:color="auto" w:fill="CCFFCC"/>
          </w:tcPr>
          <w:p>
            <w:pPr>
              <w:spacing w:after="0"/>
              <w:rPr>
                <w:sz w:val="20"/>
                <w:szCs w:val="20"/>
                <w:color w:val="auto"/>
              </w:rPr>
            </w:pPr>
            <w:r>
              <w:rPr>
                <w:rFonts w:ascii="Arial" w:cs="Arial" w:eastAsia="Arial" w:hAnsi="Arial"/>
                <w:sz w:val="14"/>
                <w:szCs w:val="14"/>
                <w:color w:val="auto"/>
              </w:rPr>
              <w:t>Special Bridge Warrants, Conversion Warrants,</w:t>
            </w:r>
          </w:p>
        </w:tc>
        <w:tc>
          <w:tcPr>
            <w:tcW w:w="120" w:type="dxa"/>
            <w:vAlign w:val="bottom"/>
            <w:shd w:val="clear" w:color="auto" w:fill="CCFFCC"/>
          </w:tcPr>
          <w:p>
            <w:pPr>
              <w:spacing w:after="0"/>
              <w:rPr>
                <w:sz w:val="14"/>
                <w:szCs w:val="14"/>
                <w:color w:val="auto"/>
              </w:rPr>
            </w:pPr>
          </w:p>
        </w:tc>
        <w:tc>
          <w:tcPr>
            <w:tcW w:w="3660" w:type="dxa"/>
            <w:vAlign w:val="bottom"/>
            <w:shd w:val="clear" w:color="auto" w:fill="CCFFCC"/>
          </w:tcPr>
          <w:p>
            <w:pPr>
              <w:spacing w:after="0"/>
              <w:rPr>
                <w:sz w:val="14"/>
                <w:szCs w:val="14"/>
                <w:color w:val="auto"/>
              </w:rPr>
            </w:pPr>
          </w:p>
        </w:tc>
        <w:tc>
          <w:tcPr>
            <w:tcW w:w="250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Risk free interest rate</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0.16% – 0.98%</w:t>
            </w:r>
          </w:p>
        </w:tc>
      </w:tr>
      <w:tr>
        <w:trPr>
          <w:trHeight w:val="162"/>
        </w:trPr>
        <w:tc>
          <w:tcPr>
            <w:tcW w:w="3660" w:type="dxa"/>
            <w:vAlign w:val="bottom"/>
            <w:shd w:val="clear" w:color="auto" w:fill="CCFFCC"/>
          </w:tcPr>
          <w:p>
            <w:pPr>
              <w:spacing w:after="0"/>
              <w:rPr>
                <w:sz w:val="20"/>
                <w:szCs w:val="20"/>
                <w:color w:val="auto"/>
              </w:rPr>
            </w:pPr>
            <w:r>
              <w:rPr>
                <w:rFonts w:ascii="Arial" w:cs="Arial" w:eastAsia="Arial" w:hAnsi="Arial"/>
                <w:sz w:val="14"/>
                <w:szCs w:val="14"/>
                <w:color w:val="auto"/>
              </w:rPr>
              <w:t>Preferential Reload Warrants and the derivative</w:t>
            </w:r>
          </w:p>
        </w:tc>
        <w:tc>
          <w:tcPr>
            <w:tcW w:w="120" w:type="dxa"/>
            <w:vAlign w:val="bottom"/>
            <w:shd w:val="clear" w:color="auto" w:fill="CCFFCC"/>
          </w:tcPr>
          <w:p>
            <w:pPr>
              <w:spacing w:after="0"/>
              <w:rPr>
                <w:sz w:val="14"/>
                <w:szCs w:val="14"/>
                <w:color w:val="auto"/>
              </w:rPr>
            </w:pPr>
          </w:p>
        </w:tc>
        <w:tc>
          <w:tcPr>
            <w:tcW w:w="3660" w:type="dxa"/>
            <w:vAlign w:val="bottom"/>
            <w:shd w:val="clear" w:color="auto" w:fill="CCFFCC"/>
          </w:tcPr>
          <w:p>
            <w:pPr>
              <w:spacing w:after="0"/>
              <w:rPr>
                <w:sz w:val="20"/>
                <w:szCs w:val="20"/>
                <w:color w:val="auto"/>
              </w:rPr>
            </w:pPr>
            <w:r>
              <w:rPr>
                <w:rFonts w:ascii="Arial" w:cs="Arial" w:eastAsia="Arial" w:hAnsi="Arial"/>
                <w:sz w:val="14"/>
                <w:szCs w:val="14"/>
                <w:color w:val="auto"/>
              </w:rPr>
              <w:t>Black-Scholes-Merton and the</w:t>
            </w:r>
          </w:p>
        </w:tc>
        <w:tc>
          <w:tcPr>
            <w:tcW w:w="2500" w:type="dxa"/>
            <w:vAlign w:val="bottom"/>
            <w:gridSpan w:val="3"/>
            <w:shd w:val="clear" w:color="auto" w:fill="CCFFCC"/>
          </w:tcPr>
          <w:p>
            <w:pPr>
              <w:ind w:left="120"/>
              <w:spacing w:after="0"/>
              <w:rPr>
                <w:sz w:val="20"/>
                <w:szCs w:val="20"/>
                <w:color w:val="auto"/>
              </w:rPr>
            </w:pPr>
            <w:r>
              <w:rPr>
                <w:rFonts w:ascii="Arial" w:cs="Arial" w:eastAsia="Arial" w:hAnsi="Arial"/>
                <w:sz w:val="14"/>
                <w:szCs w:val="14"/>
                <w:color w:val="auto"/>
              </w:rPr>
              <w:t>Expected term, in years</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1.24 –3.80</w:t>
            </w:r>
          </w:p>
        </w:tc>
      </w:tr>
      <w:tr>
        <w:trPr>
          <w:trHeight w:val="143"/>
        </w:trPr>
        <w:tc>
          <w:tcPr>
            <w:tcW w:w="3660" w:type="dxa"/>
            <w:vAlign w:val="bottom"/>
            <w:shd w:val="clear" w:color="auto" w:fill="CCFFCC"/>
          </w:tcPr>
          <w:p>
            <w:pPr>
              <w:spacing w:after="0" w:line="143" w:lineRule="exact"/>
              <w:rPr>
                <w:sz w:val="20"/>
                <w:szCs w:val="20"/>
                <w:color w:val="auto"/>
              </w:rPr>
            </w:pPr>
            <w:r>
              <w:rPr>
                <w:rFonts w:ascii="Arial" w:cs="Arial" w:eastAsia="Arial" w:hAnsi="Arial"/>
                <w:sz w:val="14"/>
                <w:szCs w:val="14"/>
                <w:color w:val="auto"/>
              </w:rPr>
              <w:t>Series 1 Warrants</w:t>
            </w:r>
          </w:p>
        </w:tc>
        <w:tc>
          <w:tcPr>
            <w:tcW w:w="120" w:type="dxa"/>
            <w:vAlign w:val="bottom"/>
            <w:shd w:val="clear" w:color="auto" w:fill="CCFFCC"/>
          </w:tcPr>
          <w:p>
            <w:pPr>
              <w:spacing w:after="0"/>
              <w:rPr>
                <w:sz w:val="12"/>
                <w:szCs w:val="12"/>
                <w:color w:val="auto"/>
              </w:rPr>
            </w:pPr>
          </w:p>
        </w:tc>
        <w:tc>
          <w:tcPr>
            <w:tcW w:w="3660" w:type="dxa"/>
            <w:vAlign w:val="bottom"/>
            <w:shd w:val="clear" w:color="auto" w:fill="CCFFCC"/>
          </w:tcPr>
          <w:p>
            <w:pPr>
              <w:spacing w:after="0" w:line="143" w:lineRule="exact"/>
              <w:rPr>
                <w:sz w:val="20"/>
                <w:szCs w:val="20"/>
                <w:color w:val="auto"/>
              </w:rPr>
            </w:pPr>
            <w:r>
              <w:rPr>
                <w:rFonts w:ascii="Arial" w:cs="Arial" w:eastAsia="Arial" w:hAnsi="Arial"/>
                <w:sz w:val="14"/>
                <w:szCs w:val="14"/>
                <w:color w:val="auto"/>
              </w:rPr>
              <w:t>Monte-Carlo models</w:t>
            </w:r>
          </w:p>
        </w:tc>
        <w:tc>
          <w:tcPr>
            <w:tcW w:w="12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spacing w:after="0" w:line="143" w:lineRule="exact"/>
              <w:rPr>
                <w:sz w:val="20"/>
                <w:szCs w:val="20"/>
                <w:color w:val="auto"/>
              </w:rPr>
            </w:pPr>
            <w:r>
              <w:rPr>
                <w:rFonts w:ascii="Arial" w:cs="Arial" w:eastAsia="Arial" w:hAnsi="Arial"/>
                <w:sz w:val="14"/>
                <w:szCs w:val="14"/>
                <w:color w:val="auto"/>
              </w:rPr>
              <w:t>Dividend yield</w:t>
            </w:r>
          </w:p>
        </w:tc>
        <w:tc>
          <w:tcPr>
            <w:tcW w:w="1380" w:type="dxa"/>
            <w:vAlign w:val="bottom"/>
            <w:shd w:val="clear" w:color="auto" w:fill="CCFFCC"/>
          </w:tcPr>
          <w:p>
            <w:pPr>
              <w:jc w:val="right"/>
              <w:ind w:right="8"/>
              <w:spacing w:after="0" w:line="143" w:lineRule="exact"/>
              <w:rPr>
                <w:sz w:val="20"/>
                <w:szCs w:val="20"/>
                <w:color w:val="auto"/>
              </w:rPr>
            </w:pPr>
            <w:r>
              <w:rPr>
                <w:rFonts w:ascii="Arial" w:cs="Arial" w:eastAsia="Arial" w:hAnsi="Arial"/>
                <w:sz w:val="14"/>
                <w:szCs w:val="14"/>
                <w:color w:val="auto"/>
              </w:rPr>
              <w:t>0%</w:t>
            </w:r>
          </w:p>
        </w:tc>
        <w:tc>
          <w:tcPr>
            <w:tcW w:w="100" w:type="dxa"/>
            <w:vAlign w:val="bottom"/>
            <w:shd w:val="clear" w:color="auto" w:fill="CCFFCC"/>
          </w:tcPr>
          <w:p>
            <w:pPr>
              <w:spacing w:after="0"/>
              <w:rPr>
                <w:sz w:val="12"/>
                <w:szCs w:val="12"/>
                <w:color w:val="auto"/>
              </w:rPr>
            </w:pPr>
          </w:p>
        </w:tc>
      </w:tr>
      <w:tr>
        <w:trPr>
          <w:trHeight w:val="149"/>
        </w:trPr>
        <w:tc>
          <w:tcPr>
            <w:tcW w:w="3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36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38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Probability and timing of down-round</w:t>
            </w:r>
          </w:p>
        </w:tc>
        <w:tc>
          <w:tcPr>
            <w:tcW w:w="14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 occurrence in</w:t>
            </w:r>
          </w:p>
        </w:tc>
      </w:tr>
      <w:tr>
        <w:trPr>
          <w:trHeight w:val="167"/>
        </w:trPr>
        <w:tc>
          <w:tcPr>
            <w:tcW w:w="3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3660" w:type="dxa"/>
            <w:vAlign w:val="bottom"/>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4"/>
                <w:szCs w:val="14"/>
                <w:color w:val="auto"/>
              </w:rPr>
              <w:t>triggering event</w:t>
            </w:r>
          </w:p>
        </w:tc>
        <w:tc>
          <w:tcPr>
            <w:tcW w:w="148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December 2013</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Had we made different assumptions about the risk-free interest rate, volatility, the impact of the down-round provision, or the estimated time that the abovementioned warrants will be outstanding before they are ultimately exercised, the recorded expense, our net loss and net loss per share amounts could have been significantly different.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account for stock-based awards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requires measurement of compensation cost for stock-based awards at fair value on the date of grant and the recognition of compensation over the service period in which the awards are expected to vest. In addition, for options granted to consultants, FASB ASC 505-50, “</w:t>
      </w:r>
      <w:r>
        <w:rPr>
          <w:rFonts w:ascii="Arial" w:cs="Arial" w:eastAsia="Arial" w:hAnsi="Arial"/>
          <w:sz w:val="16"/>
          <w:szCs w:val="16"/>
          <w:i w:val="1"/>
          <w:iCs w:val="1"/>
          <w:color w:val="auto"/>
        </w:rPr>
        <w:t>Equity-Based Payments to Non Employees</w:t>
      </w:r>
      <w:r>
        <w:rPr>
          <w:rFonts w:ascii="Arial" w:cs="Arial" w:eastAsia="Arial" w:hAnsi="Arial"/>
          <w:sz w:val="16"/>
          <w:szCs w:val="16"/>
          <w:color w:val="auto"/>
        </w:rPr>
        <w:t>” is applied. Under this pronouncement, the measurement date of the option occurs on the earlier of counterparty performance or performance commitment. The grant is revalued at every reporting date until the measurement date. The estimation of stock-based awards that will ultimately vest requires judgment, and to the extent actual results differ from our estimates, such amounts will be recorded as a cumulative adjustment in the period estimates are revised. We consider various factors when estimating expected forfeitures, including historical experience. Actual results may differ substantially from these estimates.</w:t>
      </w:r>
    </w:p>
    <w:p>
      <w:pPr>
        <w:spacing w:after="0" w:line="16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determine the fair value of stock options granted to employees, directors and consultants using the Black-Scholes-Merton and the Monte-Carlo (for grants that include market conditions) valuation models, those require significant assumptions regarding the expected stock price volatility, the risk-free interest rate and the dividend yield, and the estimated period of time option grants will be outstanding before they are ultimately exercised. Due to insufficient history, we estimate our expected stock volatility incorporating historical stock volatility from comparable companies.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These option pricing models utilize various inputs and assumptions, which are highly subjective. Had we made different assumptions about the risk-free interest rate, volatility, or the estimated time that the options will be outstanding before they are ultimately exercised, the recorded expense, our net loss and net loss per share amounts could have been significantly different. Had we used different assumptions, our results may have been significantly different.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income taxes in each of the jurisdictions in which we operate. This process involves management estimating our actual current tax exposure together with assessing temporary differences resulting from differing treatment of items for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more likely than not, we must establish a valuation allowance. Significant management judgment is required in determining our provision for income taxes, our deferred tax assets and liabilities and any valuation allowance recorded against our net deferred tax assets. As part of the Merger purchase price allocation, we recorded a deferred tax liability in connection with the acquired technology. This deferred tax liability was offset by a deferred tax asset in the same amount. The deferred tax asset in respect of the remaining tax loss carryforwards has been offset by a valuation allowance. Our lack of earnings history and the uncertainty surrounding our ability to generate U.S. taxable income prior to the expiration of such deferred tax assets were the primary factors considered by management in establishing the valuation allowance.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ASC 740, “</w:t>
      </w:r>
      <w:r>
        <w:rPr>
          <w:rFonts w:ascii="Arial" w:cs="Arial" w:eastAsia="Arial" w:hAnsi="Arial"/>
          <w:sz w:val="18"/>
          <w:szCs w:val="18"/>
          <w:i w:val="1"/>
          <w:iCs w:val="1"/>
          <w:color w:val="auto"/>
        </w:rPr>
        <w:t>Income Taxes</w:t>
      </w:r>
      <w:r>
        <w:rPr>
          <w:rFonts w:ascii="Arial" w:cs="Arial" w:eastAsia="Arial" w:hAnsi="Arial"/>
          <w:sz w:val="18"/>
          <w:szCs w:val="18"/>
          <w:color w:val="auto"/>
        </w:rPr>
        <w:t>”, prescribes how a company should recognize, measure, present and disclose in its financial statements uncertain tax positions that the company has taken or expects to take on a tax return. Additionally, for tax positions to qualify for deferred tax benefit recognition under ASC 740, the position must have at least a “more likely than not” chance of being sustained upon challenge by the respective taxing authorities, which criteria is a matter of significant judgment.</w:t>
      </w: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 w:name="page29"/>
    <w:bookmarkEnd w:id="28"/>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pursuant to Rule 13a-15 under the Securities Exchange Act of 1934, as amended (Exchange Act), as of the end of the period covered by this Quarterly Report on Form 10-Q.</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on this evaluation, our chief executive officer and chief financial officer concluded that, as of September 30, 2013,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2013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Search Patents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Upon Inception in June 2011, I/P acquired its initial patent assets from Lycos, Inc. (“Lycos”) through its wholly-owned subsidiary, I/P Engine, Inc. Such assets were comprised of eight patents relating to information filtering and search technologies. As one means of realizing the value of the patents acquired from Lycos, on September 15, 2011, I/P initiated (through its wholly-owned subsidiary I/P Engine) litigation in the United States District Court, Eastern District of Virginia, against AOL Inc. (“AOL”), Google, Inc. (“Google”), IAC Search &amp; Media, Inc. (“IAC”), Gannett Company, Inc. (“Gannett”), and Target Corporation (“Target”) (collectively, the “Defendants”) for infringement regarding two of the patents acquired from Lycos (U.S. Patent Nos. 6,314,420 and 6,775,664) (collectively the “Patents”). The case number is 2:11 CV 512-RAJ/FBS. The court docket for the case, including the parties’ briefs, is publicly available on the Public Access to Court Electronic Records website (“PACER”), www.pacer.gov, which is operated by the Administrative Office of the U.S. Courts.</w:t>
      </w:r>
    </w:p>
    <w:p>
      <w:pPr>
        <w:spacing w:after="0" w:line="19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Trial commenced on October 16, 2012, and the case was submitted to the jury on November 1, 2012. On November 6, 2012, the jury unanimously returned a verdict as follows: (i) I/P Engine had proven by a preponderance of the evidence that the Defendants infringed the asserted claims of the patents; and (ii) Defendants had not proven by clear and convincing evidence that the asserted claims of the patents are invalid by anticipation. The jury also found certain specific facts related to the ultimate question of whether the patents are invalid as obvious. Based on such facts, on November 20, 2012, the court issued a ruling that the patents-in-suit were not obvious. The jury found that reasonable royalty damages should be based on a "running royalty", and that the running royalty rate should be 3.5%. The jury also found that the following sums of money, if paid now in cash, would reasonably compensate I/P Engine for the Defendants past infringement: Google: $15,800,000, AOL: $7,943,000, IAC: $6,650,000, Gannett: $4,322, Target: $98,833. On August 1, 2013, the District Court found that I/P Engine is entitled to supplemental damages from October 1, 2012 to November 20, 2012, in an amount to be determined; prejudgment interest from September 15, 2011 to November 20, 2012 in an amount to be determined; and post-judgment interest for Defendants' infringement in an amount to be determined. I/P Engine's motion for an award of post-judgment royalties is pending in the District Court. Motions by I/P Engine for awards of pre-judgment interest, post-judgment interest, supplemental damages, and post-judgment royalties are pending in U.S. District Court. I/P Engine and Defendants have filed appeals with the Court of Appeals for the Federal Circuit. The docket numbers for the appealable cases are 13-1307 and 13-1311. The parties' filings are available on PACER.</w:t>
      </w:r>
    </w:p>
    <w:p>
      <w:pPr>
        <w:spacing w:after="0" w:line="18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As part of our ongoing legal proceedings, the validity and/or enforceability of the patents is often challenged in a court or an administrative proceeding, as it is almost universal practice for the defendant in a patent litigation to seek to challenge the validity of the patent asserted in the same or parallel proceeding and/or in an administrative proceedings before the relevant patent office. Currently, several of our patents are being challenged in several jurisdictions.</w:t>
      </w:r>
    </w:p>
    <w:p>
      <w:pPr>
        <w:spacing w:after="0" w:line="187"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On March 15, 2012, Google submitted a request to the USPTO for ex parte reexamination of certain claims of U.S. Patent No. 6,314,420. On July 18, 2012, the USPTO issued a determination ordering a reexamination. On September 25, 2012, the USPTO issued a first, non-final office action where it adopted the rejections proposed by Google. Our response was filed on November 26, 2012. A final, appealable office action maintaining the rejections was mailed on May 3, 2013. An interview was held with the Examiner and on July 3, 2013 we filed a response. On September 13, 2013, the USPTO issued a certificate confirming that all of the claims in the '420 patent challenged by Google remain valid and unchanged. On September 20, 2013, the USPTO ordered a second reexamination of certain claims of the '420 patent based on a reference not relied upon by Google in the first reexamination. To date, the USPTO has not determined whether to reject the claims of the '420 patent.</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721" w:gutter="0" w:footer="0" w:header="0"/>
        </w:sectPr>
      </w:pPr>
    </w:p>
    <w:bookmarkStart w:id="29" w:name="page30"/>
    <w:bookmarkEnd w:id="29"/>
    <w:p>
      <w:pPr>
        <w:ind w:right="40" w:firstLine="648"/>
        <w:spacing w:after="0" w:line="253" w:lineRule="auto"/>
        <w:rPr>
          <w:sz w:val="20"/>
          <w:szCs w:val="20"/>
          <w:color w:val="auto"/>
        </w:rPr>
      </w:pPr>
      <w:r>
        <w:rPr>
          <w:rFonts w:ascii="Arial" w:cs="Arial" w:eastAsia="Arial" w:hAnsi="Arial"/>
          <w:sz w:val="18"/>
          <w:szCs w:val="18"/>
          <w:color w:val="auto"/>
        </w:rPr>
        <w:t>On November 20, 2012, Google submitted a request to the USPTO for ex parte reexamination of certain claims of U.S. Patent No. 6,775,664 based on four prior art references. On January 17, 2013, the USPTO ordered reexamination based on only one of the four references submitted by Google. On February 8, 2013, Google filed a second request for reexamination based on the three references not adopted by the USPTO in the first proceeding. On March 7, 2013, the USPTO ordered a second reexamination proceeding. On May 10, 2013, the USPTO issued a first, non-final office action in the first reexamination. On June 13, 2013, the USPTO decided to merge the two reexamination proceedings. On June 25, 2013, the May 10 office action was rescinded and a new non-final office action was issued, rejecting the challenged claims based on two of the four references originally cited by Google. Our response was timely filed on August 26, 2013. An interview was subsequently held with the Examiner on September 16, 2013. On November 5, 2013, the USPTO mailed a notice that it will issue a certificate confirming that all of the claims in the 6,775,664 patent challenged by Google remain valid and unchanged.</w:t>
      </w:r>
    </w:p>
    <w:p>
      <w:pPr>
        <w:spacing w:after="0" w:line="197"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To further realize the value of the patents acquired from Lycos, on January 31, 2013, I/P Engine filed an action asserting infringement of U.S. Patent Nos. 6,314,420 and 6,775,664 in the United States District Court, Southern District of New York, against Microsoft Corporation (“Microsoft”). On May 30, 2013, our subsidiary entered into a settlement and license agreement with Microsoft to resolve its patent litigation pending in the U.S. District Court for the Southern District of New York (I/P Engine, Inc. v. Microsoft, Case No. 1:13-cv-00688 (SDNY)). According to the agreement, Microsoft</w:t>
      </w:r>
    </w:p>
    <w:p>
      <w:pPr>
        <w:spacing w:after="0" w:line="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paid us $1,000,000 and agreed to pay 5% of any future amount Google pays for its use of the patents acquired from Lycos. The parties also agreed to a limitation on Microsoft's total liability, which would not impact us unless the amounts received from Google substantially exceed the judgment previously awarded. In addition, the parties also entered into a patent assignment agreement, pursuant to which Microsoft assigned six patents to I/P Engine. The assigned patents relate to telecommunications, data management, and other technology areas.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Patents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181818"/>
        </w:rPr>
        <w:t>On August 9, 2012, we entered into a patent purchase agreement with Nokia Corporation ("Nokia"), pursuant to which Nokia sold us a portfolio consisting of over 500 patents and patent applications worldwide, including over 100 issued United States patents. We agreed to compensate Nokia with a cash payment and certain ongoing rights in revenues generated from the patent portfolio. The portfolio encompasses technologies relating to telecom infrastructure and handsets, including communication management, data and signal transmission, mobility management, radio resources management and services. Declarations have been filed by Nokia indicating that 31 of the 124 patent families acquired may be essential to wireless communications standards. Standards represented in the portfolio are commonly known as 2G, 2.5G, 3G and 4G and related technologies and include GSM, WCDMA, T63, T64, DECT, LTE, and SAE. The purchase price for the portfolio was $22,000,000, and in addition we capitalized acquisition costs of $548,000. To the extent that the gross revenue (as defined in the purchase agreement) generated by such portfolio exceeds $22 million, a royalty of 35% of such excess would be payable to Nokia. The $22 million cash payment was made to Nokia on August 10, 2012. The purchase agreement provides that Nokia and its affiliates will retain a non-exclusive, worldwide and fully paid-up license (without the right to grant sublicenses) to the portfolio for the sole purpose of supplying (as defined in the purchase agreement) Nokia’s products. The purchase agreement also provides that if we bring a proceeding against Nokia or its affiliates within seven years, Nokia shall have the right to re-acquire the patent portfolio for a nominal amount. Further, if we either sell to a third party any assigned essential cellular patent, or more than a certain portion of the other assigned patents (other than in connection with a change of control of our company), or file an action against a telecom provider to enforce any of the assigned patents (other than in response to any specified action filed by a telecom provider against us or our affiliate) which action is not withdrawn after notice from Nokia, then we will be obligated to pay to Nokia a substantial impairment payment.</w:t>
      </w:r>
    </w:p>
    <w:p>
      <w:pPr>
        <w:spacing w:after="0" w:line="16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As one of the means of realizing the value of the patents on telecom infrastructure, our wholly-owned subsidiaries, Vringo Infrastructure, Inc. (“Vringo Infrastructure”) and Vringo Germany GmbH (“Vringo Germany”) have filed a number of suits in European jurisdictions and in Australia, alleging infringement of certain U.S., European and Australian patents.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ZTE</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October 5, 2012, Vringo Infrastructure, filed a suit in the UK High Court of Justice, Chancery Division, Patents Court, alleging infringement of European Patents (UK) 1,212,919; 1,166,589; and 1,808,029. ZTE (UK) Ltd.’s formal response to the complaint was received on December 19, 2012 and included a counterclaim for invalidity of the patents in suit. Vringo Infrastructure responded to the defense on January 16, 2013. Vringo Infrastructure filed a further UK suit on December 3, 2012, alleging infringement of European Patents (UK) 1,221,212; 1,330,933; and 1,186,119. ZTE (UK) Ltd.’s response to this claim was received on February 27, 2013 and included a counterclaim for invalidity of the patents in suit. Vringo Infrastructure’s reply was filed on March 20, 2013. The UK complaints allege that ZTE’s cellular network elements fall within the scope of all six patents, and ZTE’s GSM/UMTS multi-mode wireless handsets also fall within the scope of at least the 1,808,029 patent. Declarations have been filed at the European Telecommunications and Standards Institute (ETSI) that cover all the patent applications from which the patents in suit are derived. On June 5, 2013, the Court held a case management conference and on June 6, 2013, made an order governing the schedule of the two UK suits. The first UK case will hold a trial with the trial period commencing on October 27, 2014 and the second UK case will hold a trial with the trial period commencing on June 8, 2015.</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Germany has a split-infringement system where patent infringement cases are heard in district courts of general jurisdiction and nullity cases (where the validity of patents is adjudicated) are heard in a different proceeding in the Federal Patents Court. Appeals from the district courts and the Federal Patents Court are heard by distinct appellate courts. Appeals from the district courts are heard by the Higher Regional Court, decisions of which can be appealed to the Supreme Court. Appeals from the Federal Patents Court are heard by the Supreme Court. Infringement actions are typically decided by the trial court within 8 to 13 months (although, depending upon the venue, they can take as long as 18 months). Nullity cases are typically decided by the trial court within 18 to 22 months. If the district court finds a patent infringed, absent specific factors, it will generally issue an injunction. Where there is a pending nullity action and the accused infringer has not sufficiently rebutted the asserted patent’s presumption of validity, the district court will generally issue an injunction upon payment of a security. Where the presumption of validity has been sufficiently rebutted, the district court will generally stay proceedings pending the outcome of the nullity case if infringement is established at trial. Typically, in German infringement proceedings each party is allowed to make two filings to the Court prior to trial. After the plaintiff files its complaint, the defendant is given time to file its response. The parties are then given dates for the plaintiff to file its second filing (often called a “Replica”) and for the defendant to file its second filing (often called a “Rejoinder”). Typically there are no additional filings or documents allowed.</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November 15, 2012, Vringo Germany filed a suit in the Mannheim Regional Court in Germany, alleging infringement of European Patent (DE) 1,212,919. The litigation was expanded to include a second patent on February 21, 2013, alleging infringement of European Patent (DE) 1,186,119. At the Mannheim Court’s request, both cases were scheduled to be heard on the same day, October 15, 2013. On October 9, 2013, Vringo Germany was notified that the hearing on infringement that was scheduled for October 15, 2013 will now take place on November 12, 2013. On November 4, 2013, Vringo filed a further brief in the 1,212,919 proceedings introducing an additional independent patent claim and asserting infringement by ZTE eNode B infrastructure equipment used in 4G networks. In light of the additional products accused, it is anticipated that the court will set a new briefing schedule and issue a new hearing date, while the 1,186,119 case is anticipated to be heard on November 12, 2013. Pleading on the merits is otherwise closed.</w:t>
      </w:r>
    </w:p>
    <w:p>
      <w:pPr>
        <w:sectPr>
          <w:pgSz w:w="11900" w:h="16838" w:orient="portrait"/>
          <w:cols w:equalWidth="0" w:num="1">
            <w:col w:w="11420"/>
          </w:cols>
          <w:pgMar w:left="240" w:top="341" w:right="239" w:bottom="0" w:gutter="0" w:footer="0" w:header="0"/>
        </w:sectPr>
      </w:pPr>
    </w:p>
    <w:bookmarkStart w:id="30" w:name="page31"/>
    <w:bookmarkEnd w:id="30"/>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243840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82" w:right="1440" w:bottom="1440" w:gutter="0" w:footer="0" w:header="0"/>
        </w:sectPr>
      </w:pPr>
    </w:p>
    <w:bookmarkStart w:id="31" w:name="page32"/>
    <w:bookmarkEnd w:id="31"/>
    <w:p>
      <w:pPr>
        <w:spacing w:after="0" w:line="2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To date, ZTE has not made an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with respect to either European Patent (DE) 1,212,919 or European Patent (DE) 1,186,119. Under German law, where a defendant alleges: (a) plaintiff has a dominant position under the relevant competition (a/k/a anti-trust) laws, for example, because of plaintiff’s assertion of a patent that is essential to a technical standard, and (b) plaintiff is not willing to license under fair, reasonable and non-discriminatory terms (FRAND), and if the defendant’s allegation is accepted by the Court, the Court may decide not to grant an injunction. It is a condition of this defense in Germany that the defendant must make a binding, unconditional offer to the plaintiff to conclude a license on FRAND terms and stay bound by that offer. Furthermore, the </w:t>
      </w:r>
      <w:r>
        <w:rPr>
          <w:rFonts w:ascii="Arial" w:cs="Arial" w:eastAsia="Arial" w:hAnsi="Arial"/>
          <w:sz w:val="18"/>
          <w:szCs w:val="18"/>
          <w:i w:val="1"/>
          <w:iCs w:val="1"/>
          <w:color w:val="auto"/>
        </w:rPr>
        <w:t>Orange Book</w:t>
      </w:r>
      <w:r>
        <w:rPr>
          <w:rFonts w:ascii="Arial" w:cs="Arial" w:eastAsia="Arial" w:hAnsi="Arial"/>
          <w:sz w:val="18"/>
          <w:szCs w:val="18"/>
          <w:color w:val="auto"/>
        </w:rPr>
        <w:t xml:space="preserve"> offer must be such that its rejection by the plaintiff would amount to an abuse of a dominant position. Finally, defendant must behave like a licensee and provide regular royalty reports and remit payment to plaintiff or pay a sufficient amount of the royalties for prior infringement into escrow.</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February 14, 2013, ZTE filed a nullity suit with respect to European Patent (DE) 1,212,919 in the Federal Patents Court, Munich, Germany, alleging invalidity of the patent. Vringo filed its responsive pleading on July 25, 2013 and Vringo received ZTE’s responsive pleading on September 13, 2013. The Court has not set a deadline for Vringo’s next brief. Trial in the nullity suit has not been scheduled and is not anticipated before July 1, 2014.</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May 3, 2013, ZTE filed a nullity suit with respect to European Patent (DE) 1,186,119 in the Federal Patents Court in Munich, Germany. Vringo filed its intent to defend the validity of the patent on July 11, 2013. Vringo’s first responsive pleading is due on November 11, 2013. Trial in the nullity suit has not been scheduled and is not anticipated before July 1,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13, 2013, Vringo Germany filed a suit in the Regional Court of Düsseldorf, alleging infringement of European Patent (DE) 0,748,136.</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Complaints in this action were filed against both ZTE Germany and ZTE China. A case management hearing is scheduled to take place on December 3, 2013.</w:t>
      </w:r>
    </w:p>
    <w:p>
      <w:pPr>
        <w:spacing w:after="0" w:line="23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November and December 2012, ZTE initiated invalidity proceedings in China against Chinese Patents ZL00806049.5; ZL 00812876.6; and ZL200480044232.1, before the Patent Reexamination Board of the Patent Office of the People’s Republic of China. These patents are the Chinese equivalents of European Patents 1,212,919; 1,166,589; and 1,808,029. Vringo Infrastructure filed responses to these actions in January and February 2013. The oral hearing for ZL200480044232.1 (equivalent to European Patent 1,808,029) occurred on April 10, 2013. On July 3, 2013, our patent rights were upheld. We are currently awaiting information as to whether or not ZTE will appeal this decision. An oral hearing for ZL00806049.5 (equivalent to European Patent 1,166,589) occurred on May 9, 2013 and a ruling is still pending.</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March 29, 2013, Vringo Infrastructure filed a patent infringement lawsuit in France against ZTE, China and its French subsidiary, ZTE France SASU, in the Tribunal de Grande Instance de Paris, alleging infringement of the French part of European Patents 1,186,119 and 1,221,212 by ZTE devices, which are believed to fall within the scope of these patents. Vringo Infrastructure filed the lawsuit based on particular information uncovered during a seizure to obtain evidence of infringement, known as a saisie-contrefaçon, which was executed at two of ZTE's facilities in France.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French litigations follow a similar filing structure to Germany litigations (save that validity is not separated from infringement), with each side typically allotted two filings on the merits. Scheduling conferences occurred on June 25 and 27, 2013. The oral hearing in relation to European Patents (FR)</w:t>
      </w:r>
    </w:p>
    <w:p>
      <w:pPr>
        <w:jc w:val="both"/>
        <w:spacing w:after="0" w:line="224" w:lineRule="auto"/>
        <w:rPr>
          <w:sz w:val="20"/>
          <w:szCs w:val="20"/>
          <w:color w:val="auto"/>
        </w:rPr>
      </w:pPr>
      <w:r>
        <w:rPr>
          <w:rFonts w:ascii="Arial" w:cs="Arial" w:eastAsia="Arial" w:hAnsi="Arial"/>
          <w:sz w:val="18"/>
          <w:szCs w:val="18"/>
          <w:color w:val="auto"/>
        </w:rPr>
        <w:t>1,186,119 and 1,221,212 has been scheduled to take place on December 8, 2014 before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division of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chamber of the Tribunal de Grande Instance de Paris (specializing in IP matters). ZTE filed its first responsive pleading on the merits on October 29, 2013 and held a third scheduling conference on that same date. Subsequent pleadings are due for us on February 4, 2014 and for ZTE on May 20, 2014. The closing of the proceeding is set for June 10, 2014 and the oral hearing has been scheduled for December 8, 2014.</w:t>
      </w:r>
    </w:p>
    <w:p>
      <w:pPr>
        <w:spacing w:after="0" w:line="20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June 11, 2013, Vringo Infrastructure filed a patent infringement lawsuit against ZTE (Australia) Pty Ltd. (ZTE Australia), an Australian subsidiary of ZTE Corporation. The lawsuit filed in the Federal Court of Australia in the New South Wales registry, alleges infringement by ZTE Australia of Australian Standard Patents AU 2005/212,893 and AU 773,182. The proceeding has been assigned Case No. NSD1010/2013. The patents in suit relate to telecommunications infrastructure equipment and mobile devices. The pleadings were completed on October 21, 2013 and a further directions conference (similar to a US Rule 16 conference) was held on November 4, 2013. We currently anticipate that the Court will set a trial date in the second half of 2014.</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September 6, 2013, Vringo Infrastructure filed a preliminary inquiry order against ZTE entities Sociedad Anonima de Comunicaciones Zhong Xing ZTE Corporation, Sucursal en Espana, and ZhongXing Corporation, S.L. in the Commercial Court of Madrid, Spain, requiring the respondent companies to provide discovery relating to alleged infringement of Spanish Patent 2220484 (EP (ES) 1,186,119). ZTE refused service of the preliminary inquiry order and failed to oppose the order by the deadline of September 16, 2013. The Court will hold a hearing on November 11, 2013, at which time the respondent companies must produce financial, commercial, bank, and customs documents related to sales of certain ZTE base station products.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ASUS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October 4, 2013, Vringo Germany filed a patent infringement lawsuit against ASUSTeK Computer, Inc. and ASUS Computer GmbH. The lawsuit, filed in the Düsseldorf Regional Court, alleges infringement of European Patent (DE) 0,748,136. The patent in suit relates to devices, including those with hotspot functionality, that provide data services between two different wireless/cellular networks. The schedule hearing for the rest of the case is set for December 3, 2013. The patent in suit relates to devices, including those with hotspot functionality, that provide data services between two different wireless/cellular networks. The schedule hearing for the rest of the case is set for December 3, 2013.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ADT/Tyco</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12, 2013, Vringo Infrastructure filed a patent infringement lawsuit against The ADT Corporation, ADT LLC, ADT Security Services, Inc., and Tyco Integrated Security, LLC in the United States District Court for the Southern District of Florida. The lawsuit alleges infringement of U.S. Patent No. 6,288,641, entitled "Assembly, and Associated Method, for Remotely Monitoring a Surveillance Area".</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The risk factors set forth below update the risk factors in Part I, “Item 1A. Risk Factors” in our Annual Report on Form 10-K for the year ended December 31, 2012. In addition to the risk factors below, you should carefully consider the other risks highlighted elsewhere in this report or in our other filings with the Securities and Exchange Commission, which could materially affect our business, financial position and results of operations. Additional risks and uncertainties not presently known to us or that we currently deem immaterial also may impair our business,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60" w:orient="portrait"/>
          <w:cols w:equalWidth="0" w:num="1">
            <w:col w:w="11420"/>
          </w:cols>
          <w:pgMar w:left="240" w:top="341" w:right="239" w:bottom="0"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286385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Our limited operating history makes it difficult to evaluate our current business and future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development stage company and we have generated no significant revenue to date. I/P, the accounting acquirer, was incorporated in June 2011, at which time it acquired patent assets from Lycos, Inc. To date, our business focused on the assertion of these patents. Therefore, we not only have a very limited operating history, but also a limited track record in executing our business model which includes, among other things, creating, prosecuting, licensing, litigating or otherwise monetizing our patent assets. Our limited operating history makes it difficult to evaluate our current business model and future prospects.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light of the costs, uncertainties, delays and difficulties frequently encountered by companies in the early stages of development with no operating history, there is a significant risk that we will not be able to:</w:t>
      </w:r>
    </w:p>
    <w:p>
      <w:pPr>
        <w:spacing w:after="0" w:line="170" w:lineRule="exact"/>
        <w:rPr>
          <w:sz w:val="20"/>
          <w:szCs w:val="20"/>
          <w:color w:val="auto"/>
        </w:rPr>
      </w:pPr>
    </w:p>
    <w:p>
      <w:pPr>
        <w:ind w:left="1460" w:hanging="358"/>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implement or execute our current business plan, or demonstrate that our business plan is sound; and/or</w:t>
      </w:r>
    </w:p>
    <w:p>
      <w:pPr>
        <w:spacing w:after="0" w:line="225" w:lineRule="exact"/>
        <w:rPr>
          <w:rFonts w:ascii="Arial" w:cs="Arial" w:eastAsia="Arial" w:hAnsi="Arial"/>
          <w:sz w:val="18"/>
          <w:szCs w:val="18"/>
          <w:color w:val="auto"/>
        </w:rPr>
      </w:pPr>
    </w:p>
    <w:p>
      <w:pPr>
        <w:ind w:left="1460" w:hanging="358"/>
        <w:spacing w:after="0"/>
        <w:tabs>
          <w:tab w:leader="none" w:pos="1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raise sufficient funds in the capital markets to effectuate our long-term business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unable to execute any one of the foregoing or similar matters relating to our operations, our business may fail.</w:t>
      </w:r>
    </w:p>
    <w:p>
      <w:pPr>
        <w:spacing w:after="0" w:line="221"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commenced legal proceedings against the major online search engines, security and communications companies, and we expect such proceedings to be time-consuming and costly, which may adversely affect our financial condition and our ability to operate our business.</w:t>
      </w:r>
    </w:p>
    <w:p>
      <w:pPr>
        <w:spacing w:after="0" w:line="14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 license or otherwise monetize the patent assets we own, we commenced legal proceedings against the owners of online search engines and other companies, pursuant to which we allege that such companies infringe on one or more of our patents. Our viability is highly dependent on the outcome of these litigations, and there is a risk that we may be unable to achieve the results we desire from such litigation, which failure would harm our business to a great degree. In addition, the defendants in these litigations have substantially more resources than we do, which could make our litigation efforts more difficult.</w:t>
      </w:r>
    </w:p>
    <w:p>
      <w:pPr>
        <w:spacing w:after="0" w:line="15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anticipate that legal proceedings may continue for several years and may require significant expenditures for legal fees and other expenses. Disputes regarding the assertion of patents and other intellectual property rights are highly complex and technical. Once initiated, we may be forced to litigate against others to enforce or defend our intellectual property rights or to determine the validity and scope of other parties’ proprietary rights. The defendants or other third parties involved in the lawsuits in which we are involved may allege defenses and/or file counterclaims in an effort to avoid or limit liability and damages for patent infringement. If such defenses or counterclaims are successful, they may preclude our ability to derive licensing revenue from the patents. A negative outcome of any such litigation, or one or more claims contained within any such litigation, could materially and adversely impact our business. Additionally, we anticipate that our legal fees and other expenses will be material and will negatively impact our financial condition and results of operations and may result in our inability to continue our business. Expenses are also dependent on the outcome of current proceedings. Our failure to monetize our patent assets would significantly harm our business and financial position.</w:t>
      </w:r>
    </w:p>
    <w:p>
      <w:pPr>
        <w:spacing w:after="0" w:line="17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While we believe that the patents we own are being infringed by certain major online search engines and communications companies, there is a risk that a court will find the patents invalid, not infringed or unenforceable and/or that the U.S. Patent Office (USPTO) or other relevant patent office will either invalidate the patents or materially narrow the scope of their claims during the course of a reexamination, opposition or other such proceeding. In addition, even with a positive trial court verdict, the patents may be invalidated, found not infringed or rendered unenforceable on appeal. This risk may occur either presently or from time to time in connection with future litigations we may bring. If this were to occur, it would have a material adverse effect on the viability of our company and our operations.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that companies infringe our patents, but recognize that obtaining and collecting a judgment against such companies may be difficult or impossible. Patent litigation is inherently risky and the outcome is uncertain. Some of the parties we believe infringe on our patents are large and well-financed companies with substantially greater resources than ours. We believe that these parties would devote a substantial amount of resources in an attempt to avoid or limit a finding that they are liable for infringing our patents or, in the event liability is found, to avoid or limit the amount of associated damages. In addition, there is a risk that these parties may file reexaminations or other proceedings with the USPTO or other government agencies in the United States or abroad in an attempt to invalidate, narrow the scope or render unenforceable the patents we own.</w:t>
      </w:r>
    </w:p>
    <w:p>
      <w:pPr>
        <w:spacing w:after="0" w:line="200" w:lineRule="exact"/>
        <w:rPr>
          <w:sz w:val="20"/>
          <w:szCs w:val="20"/>
          <w:color w:val="auto"/>
        </w:rPr>
      </w:pPr>
    </w:p>
    <w:p>
      <w:pPr>
        <w:spacing w:after="0" w:line="22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Moreover, in connection with any of our present or future patent enforcement actions, it is possible that a defendant may request and/or a court may rule that we violated relevant statues, regulations, rules or standards relating to the substantive or procedural aspects of such enforcement actions in the United States or abroad. In such event, a court or other regulatory agency may issue monetary sanctions against us or our operating subsidiaries or award attorneys’ fees and/or expenses to one or more defendants, which could be material, and if we or our subsidiaries are required to pay such monetary sanctions, attorneys’ fees and/or expenses, such payment could materially harm our operating results and financial position.</w:t>
      </w:r>
    </w:p>
    <w:p>
      <w:pPr>
        <w:spacing w:after="0" w:line="200" w:lineRule="exact"/>
        <w:rPr>
          <w:sz w:val="20"/>
          <w:szCs w:val="20"/>
          <w:color w:val="auto"/>
        </w:rPr>
      </w:pP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it is difficult in general to predict the outcome of patent enforcement litigation at the trial or appellate level. In the United States, there is a higher rate of appeals in patent enforcement litigation than standard business litigation. The defendant to any case we bring may file as many appeals as it allowed by right, including to the first, second and/or final courts of appeal (in the United States those courts would be the Federal Circuit and Supreme Court, respectively). Such appeals are expensive and time-consuming, and the outcomes of such appeals are sometimes unpredictable, resulting in increased costs and reduced or delayed revenue.</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subsidiaries, Vringo Infrastructure and Vringo Germany, have commenced legal proceedings against ZTE (UK) Ltd., ZTE (Australia) Pty Ltd., ZTE Corporation, ZTE Deutschland GmbH, and ZTE France SASU (collectively “ZTE”), ASUSTeK Computer, Inc. and ASUS Computer GmbH (collectively “ASUS”), and expect such litigation to be time-consuming and costly, which may adversely affect our financial position and our ability to operate our business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721" w:gutter="0" w:footer="0" w:header="0"/>
        </w:sectPr>
      </w:pPr>
    </w:p>
    <w:bookmarkStart w:id="34" w:name="page35"/>
    <w:bookmarkEnd w:id="34"/>
    <w:p>
      <w:pPr>
        <w:jc w:val="both"/>
        <w:ind w:firstLine="648"/>
        <w:spacing w:after="0" w:line="259" w:lineRule="auto"/>
        <w:rPr>
          <w:sz w:val="20"/>
          <w:szCs w:val="20"/>
          <w:color w:val="auto"/>
        </w:rPr>
      </w:pPr>
      <w:r>
        <w:rPr>
          <w:rFonts w:ascii="Arial" w:cs="Arial" w:eastAsia="Arial" w:hAnsi="Arial"/>
          <w:sz w:val="18"/>
          <w:szCs w:val="18"/>
          <w:color w:val="auto"/>
        </w:rPr>
        <w:t>To license or otherwise monetize the patent assets we acquired from Nokia, Vringo Infrastructure and Vringo Germany have commenced legal proceedings against ZTE, pursuant to which, Vringo Infrastructure and Vringo Germany allege that ZTE infringes certain of Vringo Infrastructure and/or Vringo Germany’s patents. The defendant’s parent company is much larger than us and has substantially more resources, which could make our litigation efforts more difficult.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license or otherwise monetize the patent assets we acquired from Nokia, Vringo Germany has commenced legal proceedings against ASUS, pursuant to which, Vringo Germany alleges that ASUS infringes certain of Vringo German’s patents. The defendant’s parent company is much larger than us and has substantially more resources, which could make our litigation efforts more difficult.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license or otherwise monetize the patent assets we acquired from Nokia, Vringo Infrastructure has commenced legal proceedings against ADT and Tyco, pursuant to which, Vringo Infrastructure alleges that ADT and Tyco infringe certain of Vringo Infrastructure’s patents. The defendants’ parent companies are much larger than us and have substantially more resources, which could make our litigation efforts more difficult.</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anticipate that the above-mentioned legal proceedings may continue for several years and may require significant expenditures for legal fees and other expenses. Disputes regarding the assertion of patents and other intellectual property rights are highly complex and technical. Once initiated, Vringo Infrastructure and Vringo Germany may be forced to litigate against others to enforce or defend their intellectual property rights or to determine the validity and scope of other parties’ proprietary rights. ZTE, ASUS, ADT, and/or Tyco may allege defenses and/or file counterclaims for inter alia revocation or file collateral litigations or initiate investigations in the UK or elsewhere in an effort to avoid or limit liability and damages for patent infringement. If such actions by ZTE, ASUS, ADT, and/or Tyco are successful, they may preclude our ability to derive licensing revenue from the patents currently being asserted.</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Additionally, we anticipate that our legal fees and other expenses will be material and will negatively impact our financial condition and results of operations and may result in our inability to continue our business. We estimate that our legal fees over the next twelve months will be significant for these enforcement actions. Expenses thereafter are dependent on the outcome of the status of the litigation. Our failure to monetize our patent assets would significantly harm our business.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Further, should we be deemed the losing party in any of our applications to the Court in the UK ZTE litigation or for the entire UK ZTE litigation, we may be held responsible for a substantial percentage of the defendant’s legal fees for the relevant application or for the litigation. These fees may be substantial. To date, ZTE has asserted that its anticipated fees in defending the UK litigation may be approximately $5,800,000.</w:t>
      </w:r>
    </w:p>
    <w:p>
      <w:pPr>
        <w:spacing w:after="0" w:line="16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Germany, the amount of fees payable by a losing party is determined based on certain possible statutory levels of “value in dispute.” The value in dispute is only very loosely correlated to the actual value of any potential final settlement or license. Under the current statute, our risk is capped at approximately €732,000 were the court to determine that the value in dispute is at the highest tier under law.</w:t>
      </w:r>
    </w:p>
    <w:p>
      <w:pPr>
        <w:spacing w:after="0" w:line="181" w:lineRule="exact"/>
        <w:rPr>
          <w:sz w:val="20"/>
          <w:szCs w:val="20"/>
          <w:color w:val="auto"/>
        </w:rPr>
      </w:pPr>
    </w:p>
    <w:p>
      <w:pPr>
        <w:jc w:val="both"/>
        <w:ind w:firstLine="740"/>
        <w:spacing w:after="0" w:line="264" w:lineRule="auto"/>
        <w:rPr>
          <w:sz w:val="20"/>
          <w:szCs w:val="20"/>
          <w:color w:val="auto"/>
        </w:rPr>
      </w:pPr>
      <w:r>
        <w:rPr>
          <w:rFonts w:ascii="Arial" w:cs="Arial" w:eastAsia="Arial" w:hAnsi="Arial"/>
          <w:sz w:val="18"/>
          <w:szCs w:val="18"/>
          <w:color w:val="auto"/>
        </w:rPr>
        <w:t>In France, should we be deemed to be the losing party, it is more likely than not that we will be ordered to pay a contribution to ZTE’s attorney and expert fees. The court in France will make an assessment of winning party’s costs during the course of the proceeding on the merits, and at its discretion order the losing party to pay a portion of those costs, typically between 40-60%.</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Australia, while the assignment of costs against the losing party is entirely discretionary, judges typically order an unsuccessful litigant to pay a proportion of the successful litigant's legal costs and disbursements.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today, we cannot estimate our potential future liability. However, should we be successful on any court applications or the entire litigation and/or litigations, ZTE and/or ASUS would be responsible for a substantial percentage of our legal fees</w:t>
      </w:r>
      <w:r>
        <w:rPr>
          <w:rFonts w:ascii="Arial" w:cs="Arial" w:eastAsia="Arial" w:hAnsi="Arial"/>
          <w:sz w:val="18"/>
          <w:szCs w:val="18"/>
          <w:color w:val="FF0000"/>
        </w:rPr>
        <w:t>.</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Germany, should the court order an injunction for it to be enforced, we will have to pay a security based on the relevant statutory rate, which we believe would be €1,000,000 for each patent asserted. The statutory rate is only loosely correlated to any actual harm ZTE and/or ASUS may suffer from an injunction. The district court judge is entitled to increase the amount of the security. Generally, the courts take the value in dispute as the amount payable as security</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Further, if any of the patents in suit are found not infringed or invalid, it is highly unlikely that the relevant patents would be viewed as essential and therefore infringed by all unlicensed market participants.</w:t>
      </w:r>
    </w:p>
    <w:p>
      <w:pPr>
        <w:spacing w:after="0" w:line="1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successfully monetize the patents we have acquired from Nokia and thus we may fail to realize all of the anticipated benefits of such acquisition.</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assurance that we will be able to successfully monetize the patent portfolio that we have acquired from Nokia. The patents we acquired from Nokia could fail to produce anticipated benefits, or could have other adverse effects that we currently do not foresee. Failure to successfully monetize these patent assets may have a material adverse effect on our business, financial condition and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the acquisition of the patent portfolio is subject to a number of risks, including, but not limited to the following:</w:t>
      </w:r>
    </w:p>
    <w:p>
      <w:pPr>
        <w:spacing w:after="0" w:line="225" w:lineRule="exact"/>
        <w:rPr>
          <w:sz w:val="20"/>
          <w:szCs w:val="20"/>
          <w:color w:val="auto"/>
        </w:rPr>
      </w:pPr>
    </w:p>
    <w:p>
      <w:pPr>
        <w:jc w:val="both"/>
        <w:ind w:left="1260" w:hanging="442"/>
        <w:spacing w:after="0" w:line="264" w:lineRule="auto"/>
        <w:tabs>
          <w:tab w:leader="none" w:pos="1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is a significant time lag between acquiring a patent portfolio and recognizing revenue from those patent assets, if at all. During that time lag, material costs are likely to be incurred that would have a negative effect on our results of operations, cash flows and financial position.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5" w:name="page36"/>
    <w:bookmarkEnd w:id="35"/>
    <w:p>
      <w:pPr>
        <w:jc w:val="both"/>
        <w:ind w:left="1260" w:hanging="442"/>
        <w:spacing w:after="0" w:line="264" w:lineRule="auto"/>
        <w:tabs>
          <w:tab w:leader="none" w:pos="1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integration of a patent portfolio is a time consuming and expensive process that may disrupt our operations. If our integration efforts are not successful, our results of operations could be harmed. In addition, we may not achieve anticipated synergies or other benefits from such acquisition.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there is no assurance that we will be able to monetize the acquired patent portfolio and recoup our investment.</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We may seek to internally develop new inventions and intellectual property, which would take time and would be costly. Moreover, the failure to obtain or maintain intellectual property rights for such inventions could lead to the loss of our investments in such activities.</w:t>
      </w:r>
    </w:p>
    <w:p>
      <w:pPr>
        <w:spacing w:after="0" w:line="14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Members of our management team have experience as innovators. As such, part of our business may include the internal development of new inventions or intellectual property that we will seek to monetize. However, this aspect of our business would likely require significant capital and would take time to achieve. Such activities could also distract our management team from its present business initiatives, which could have a material and adverse effect on our business. There is also the risk that our initiatives in this regard would not yield any viable new inventions or technology, which would lead to a loss of our investments in time and resources in such activities.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even if we are able to internally develop new inventions, in order for those inventions to be viable and to compete effectively, we would need to develop and maintain, and they would heavily rely on, a proprietary position with respect to such inventions and intellectual property. However, there are significant risks associated with any such intellectual property we may develop principally including the following:</w:t>
      </w:r>
    </w:p>
    <w:p>
      <w:pPr>
        <w:spacing w:after="0" w:line="166" w:lineRule="exact"/>
        <w:rPr>
          <w:sz w:val="20"/>
          <w:szCs w:val="20"/>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patent applications we may file may not result in issued patents or may take longer than we expect to result in issued patents;</w:t>
      </w:r>
    </w:p>
    <w:p>
      <w:pPr>
        <w:spacing w:after="0" w:line="225"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subject to opposition proceedings in the U.S. or foreign countries;</w:t>
      </w:r>
    </w:p>
    <w:p>
      <w:pPr>
        <w:spacing w:after="0" w:line="225"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patents that are issued to us may not provide meaningful protection;</w:t>
      </w:r>
    </w:p>
    <w:p>
      <w:pPr>
        <w:spacing w:after="0" w:line="225"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able to develop additional proprietary technologies that are patentable;</w:t>
      </w:r>
    </w:p>
    <w:p>
      <w:pPr>
        <w:spacing w:after="0" w:line="225"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challenge patents issued to us;</w:t>
      </w:r>
    </w:p>
    <w:p>
      <w:pPr>
        <w:spacing w:after="0" w:line="225" w:lineRule="exact"/>
        <w:rPr>
          <w:rFonts w:ascii="Arial" w:cs="Arial" w:eastAsia="Arial" w:hAnsi="Arial"/>
          <w:sz w:val="18"/>
          <w:szCs w:val="18"/>
          <w:color w:val="auto"/>
        </w:rPr>
      </w:pPr>
    </w:p>
    <w:p>
      <w:pPr>
        <w:ind w:left="1260" w:hanging="442"/>
        <w:spacing w:after="0" w:line="277" w:lineRule="auto"/>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have independently developed and/or patented (or may in the future independently develop and patent) similar or alternative technologies, or duplicate our technologies;</w:t>
      </w:r>
    </w:p>
    <w:p>
      <w:pPr>
        <w:spacing w:after="0" w:line="170"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companies may design around patents we have developed; and</w:t>
      </w:r>
    </w:p>
    <w:p>
      <w:pPr>
        <w:spacing w:after="0" w:line="225" w:lineRule="exact"/>
        <w:rPr>
          <w:rFonts w:ascii="Arial" w:cs="Arial" w:eastAsia="Arial" w:hAnsi="Arial"/>
          <w:sz w:val="18"/>
          <w:szCs w:val="18"/>
          <w:color w:val="auto"/>
        </w:rPr>
      </w:pPr>
    </w:p>
    <w:p>
      <w:pPr>
        <w:ind w:left="1260" w:hanging="442"/>
        <w:spacing w:after="0"/>
        <w:tabs>
          <w:tab w:leader="none" w:pos="1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enforcement of our patents could be complex, uncertain and very expensive.</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cannot be certain that patents will be issued as a result of any future applications, or that any of our patents, once issued, will provide us with adequate protection from competing products. For example, issued patents may be circumvented or challenged, declared invalid or unenforceable, or narrowed in scope. In addition, since publication of discoveries in scientific or patent literature often lags behind actual discoveries, we cannot be certain that we will be the first to make our additional new inventions or to file patent applications covering those inventions. It is also possible that others may have or may obtain issued patents that could prevent us from commercializing our products or require us to obtain licenses requiring the payment of significant fees or royalties in order to enable us to conduct our business. As to those patents that we may license or otherwise monetize, our rights will depend on maintaining our obligations to the licensor under the applicable license agreement, and we may be unable to do so. Our failure to obtain or maintain intellectual property rights for our inventions would lead to the loss of our investments in such activities, which would have a material and adverse effect on our company.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Moreover, patent application delays could cause delays in recognizing revenue from our internally generated patents and could cause us to miss opportunities to license patents before other competing technologies are developed or introduced into the market.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legislation, regulations or court rulings related to enforcing patents could harm our business and operating results.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is subject of intense scrutiny by the Courts, legislatures and executive branches of governments around the world. Various patent offices, governments or intergovernmental bodies (like the European Commission) may implement new legislation, regulations or rulings that impact the patent enforcement process or the rights of patent holders and such changes could negatively affect our business model. For example, limitations on the ability to bring patent enforcement claims, limitations on potential liability for patent infringement, lower evidentiary standards for invalidating patents, increases in the cost to resolve patent disputes and other similar developments could negatively affect our ability to assert our patent or other intellectual property rights.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2013, the Federal Trade Commission announced that it is planning to gather information from approximately 25 companies that are in the business of buying and asserting patents in order to develop a better understanding of how those companies do business and impact innovation and competition. Both the Federal Trade Commission and European Commission are actively considering what are the appropriate restrictions on the ability of owners of patents declared to technical standards to receive both injunctions and royalties.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 and in general, it is impossible to determine the extent of the impact of any new laws, regulations or initiatives that may be proposed, or whether any of the proposals will become enacted as laws. Compliance with any new or existing laws or regulations could be difficult and expensive, affect the manner in which we conduct our business and negatively impact our business, prospects, financial condition and results of operations. That said, to date, we do not believe that any existing or proposed statutory or regulatory change has materially affected Vringo’s business.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775"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Acquisitions of additional patent assets may be time consuming, complex and costly, which could adversely affect our operating results.</w:t>
      </w:r>
    </w:p>
    <w:p>
      <w:pPr>
        <w:spacing w:after="0" w:line="2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Acquisitions of patent or other intellectual property assets, which are and will be critical to our business plan, are often time consuming, complex and costly to consummate. We may utilize many different transaction structures in our acquisitions and the terms of such acquisition agreements tend to be heavily negotiated. As a result, we expect to incur significant operating expenses and will likely be required to raise capital during the negotiations even if the acquisition is ultimately not consummated. Even if we are able to acquire particular patent assets, there is no guarantee that we will generate sufficient revenue related to those patent assets to offset the acquisition costs. While we will seek to conduct confirmatory due diligence on the patent assets we are considering for acquisition, we may acquire patent assets from a seller who does not have proper title to those assets. In those cases, we may be required to spend significant resources to defend our interest in the patent assets and, if we are not successful, our acquisition may be invalid, in which case we could lose part or all of our investment in the assets.</w:t>
      </w:r>
    </w:p>
    <w:p>
      <w:pPr>
        <w:spacing w:after="0" w:line="179" w:lineRule="exact"/>
        <w:rPr>
          <w:sz w:val="20"/>
          <w:szCs w:val="20"/>
          <w:color w:val="auto"/>
        </w:rPr>
      </w:pPr>
    </w:p>
    <w:p>
      <w:pPr>
        <w:jc w:val="both"/>
        <w:ind w:firstLine="701"/>
        <w:spacing w:after="0" w:line="259" w:lineRule="auto"/>
        <w:rPr>
          <w:sz w:val="20"/>
          <w:szCs w:val="20"/>
          <w:color w:val="auto"/>
        </w:rPr>
      </w:pPr>
      <w:r>
        <w:rPr>
          <w:rFonts w:ascii="Arial" w:cs="Arial" w:eastAsia="Arial" w:hAnsi="Arial"/>
          <w:sz w:val="18"/>
          <w:szCs w:val="18"/>
          <w:color w:val="auto"/>
        </w:rPr>
        <w:t>We may also identify patent or other intellectual property assets that cost more than we are prepared to spend with our own capital resources. We may incur significant costs to organize and negotiate a structured acquisition that does not ultimately result in an acquisition of any patent assets or, if consummated, proves to be unprofitable for us. These higher costs could adversely affect our operating results, and if we incur losses, the value of our securities will decline.</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may acquire patents and technologies that are in the early stages of adoption in the commercial, industrial and consumer markets. Demand for some of these technologies will likely be untested and may be subject to fluctuation based upon the rate at which our licensees will adopt our patents and technologies in their products and services. As a result, there can be no assurance as to whether technologies we acquire or develop will have value that we can monetize.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In certain acquisitions of patent assets, we may seek to defer payment or finance a portion of the acquisition price. This approach may put us at a competitive disadvantage and could result in harm to our business.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limited capital and may seek to negotiate acquisitions of patent or other intellectual property assets where we can defer payments or finance a portion of the acquisition price. These types of debt financing or deferred payment arrangements may not be as attractive to sellers of patent assets as receiving the full purchase price for those assets in cash at the closing of the acquisition. As a result, we might not compete effectively against other companies in the market for acquiring patent assets, some of whom have greater cash resources than we have.</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Any failure to maintain or protect our patent assets or other intellectual property rights could significantly impair our return on investment from such assets and harm our brand, business and operating results.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ability to operate our business and compete in the intellectual property market largely depends on the superiority, uniqueness and value of our patent assets and other intellectual property. To protect our proprietary rights, we rely on and will rely on a combination of patent, trademark, copyright and trade secret laws, confidentiality agreements with our employees and third parties, and protective contractual provisions. No assurances can be given that any of the measures we undertake to protect and maintain our assets will have any measure of success.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Following the acquisition of patent assets, we will likely be required to spend significant time and resources to maintain the effectiveness of those assets by paying maintenance fees and making filings with the USPTO. We may acquire patent assets, including patent applications, which require us to spend resources to prosecute the applications with the USPTO. Further, there is a material risk that patent related claims (such as, for example, infringement claims (and/or claims for indemnification resulting therefrom), unenforceability claims, or invalidity claims) will be asserted or prosecuted against us, and such assertions or prosecutions could materially and adversely affect our business. Regardless of whether any such claims are valid or can be successfully asserted, defending such claims could cause us to incur significant costs and could divert resources away from our other activities.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Despite our efforts to protect our intellectual property rights, any of the following or similar occurrences may reduce the value of our intellectual property:</w:t>
      </w:r>
    </w:p>
    <w:p>
      <w:pPr>
        <w:spacing w:after="0" w:line="170" w:lineRule="exact"/>
        <w:rPr>
          <w:sz w:val="20"/>
          <w:szCs w:val="20"/>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applications for patents, trademarks and copyrights may not be granted and, if granted, may be challenged or invalidated;</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trademarks, copyrights, or patents may not provide us with any competitive advantages versus potentially infringing parties;</w:t>
      </w:r>
    </w:p>
    <w:p>
      <w:pPr>
        <w:spacing w:after="0" w:line="225" w:lineRule="exact"/>
        <w:rPr>
          <w:rFonts w:ascii="Arial" w:cs="Arial" w:eastAsia="Arial" w:hAnsi="Arial"/>
          <w:sz w:val="18"/>
          <w:szCs w:val="18"/>
          <w:color w:val="auto"/>
        </w:rPr>
      </w:pPr>
    </w:p>
    <w:p>
      <w:pPr>
        <w:ind w:left="820" w:hanging="81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to protect our intellectual property rights may not be effective in preventing misappropriation of our technology; or</w:t>
      </w:r>
    </w:p>
    <w:p>
      <w:pPr>
        <w:spacing w:after="0" w:line="225" w:lineRule="exact"/>
        <w:rPr>
          <w:rFonts w:ascii="Arial" w:cs="Arial" w:eastAsia="Arial" w:hAnsi="Arial"/>
          <w:sz w:val="18"/>
          <w:szCs w:val="18"/>
          <w:color w:val="auto"/>
        </w:rPr>
      </w:pPr>
    </w:p>
    <w:p>
      <w:pPr>
        <w:ind w:left="820" w:right="20" w:hanging="812"/>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efforts may not prevent the development and design by others of products or technologies similar to or competitive with, or superior to those we acquire and/or prosecute.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Moreover, we may not be able to effectively protect our intellectual property rights in certain foreign countries where we may do business in the future or from which competitors may operate. If we fail to maintain, defend or prosecute our patent assets properly, the value of those assets would be reduced or eliminated, and our business would be harmed.</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Weak global economic conditions may cause infringing parties to delay entering into licensing agreements, which could prolong our litigation and adversely affect our financial condition and operating results.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plan depends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willingness of parties infringing on our assets to enter into licensing or other revenue generating agreements voluntarily. Entering into such agreements is critical to our business plan, and our failure to do so could cause material harm to our business.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559" w:gutter="0" w:footer="0" w:header="0"/>
        </w:sectPr>
      </w:pPr>
    </w:p>
    <w:bookmarkStart w:id="37" w:name="page38"/>
    <w:bookmarkEnd w:id="37"/>
    <w:p>
      <w:pPr>
        <w:jc w:val="both"/>
        <w:spacing w:after="0" w:line="282" w:lineRule="auto"/>
        <w:rPr>
          <w:sz w:val="20"/>
          <w:szCs w:val="20"/>
          <w:color w:val="auto"/>
        </w:rPr>
      </w:pPr>
      <w:r>
        <w:rPr>
          <w:rFonts w:ascii="Arial" w:cs="Arial" w:eastAsia="Arial" w:hAnsi="Arial"/>
          <w:sz w:val="18"/>
          <w:szCs w:val="18"/>
          <w:b w:val="1"/>
          <w:bCs w:val="1"/>
          <w:color w:val="auto"/>
        </w:rPr>
        <w:t>The exercise of a substantial number of warrants or options by our security holders may have an adverse effect on the market price of our common stock.</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Should our warrants outstanding as of November 5, 2013, be exercised, there would be an additional 18,441,768 shares of common stock eligible for trading in the public market. In addition, we currently have incentive equity instruments outstanding to purchase 12,896,784 shares of our common stock granted to our management, employees, directors and consultants. Certain options granted to officers, directors and certain key employees are subject to acceleration of vesting of up to 100% (according to the agreement signed with each grantee), upon a subsequent change of control. Certain options that are outstanding have exercise prices that are below, and in some cases significantly below, recent market prices. Such securities, if exercised, will increase the number of issued and outstanding shares of common stock. Therefore, the sale, or even the possibility of sale, of the shares of common stock underlying the warrants and options could have an adverse effect on the market price for our securities or on our ability to obtain future financing. The average weighted exercise price of all currently outstanding warrants and options, as of </w:t>
      </w:r>
      <w:r>
        <w:rPr>
          <w:rFonts w:ascii="Arial" w:cs="Arial" w:eastAsia="Arial" w:hAnsi="Arial"/>
          <w:sz w:val="16"/>
          <w:szCs w:val="16"/>
          <w:color w:val="auto"/>
          <w:highlight w:val="yellow"/>
        </w:rPr>
        <w:t>November 5, 2013</w:t>
      </w:r>
      <w:r>
        <w:rPr>
          <w:rFonts w:ascii="Arial" w:cs="Arial" w:eastAsia="Arial" w:hAnsi="Arial"/>
          <w:sz w:val="16"/>
          <w:szCs w:val="16"/>
          <w:color w:val="auto"/>
        </w:rPr>
        <w:t>, is $3.18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-159385</wp:posOffset>
            </wp:positionV>
            <wp:extent cx="84899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8995" cy="128905"/>
                    </a:xfrm>
                    <a:prstGeom prst="rect">
                      <a:avLst/>
                    </a:prstGeom>
                    <a:noFill/>
                  </pic:spPr>
                </pic:pic>
              </a:graphicData>
            </a:graphic>
          </wp:anchor>
        </w:drawing>
      </w:r>
    </w:p>
    <w:p>
      <w:pPr>
        <w:spacing w:after="0" w:line="14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Future sales of our shares of common stock by our stockholders could cause the market price of our common stock to drop significantly, even if our business is otherwise performing well.</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w:t>
      </w:r>
      <w:r>
        <w:rPr>
          <w:rFonts w:ascii="Arial" w:cs="Arial" w:eastAsia="Arial" w:hAnsi="Arial"/>
          <w:sz w:val="18"/>
          <w:szCs w:val="18"/>
          <w:color w:val="auto"/>
          <w:highlight w:val="yellow"/>
        </w:rPr>
        <w:t>November 5, 2013</w:t>
      </w:r>
      <w:r>
        <w:rPr>
          <w:rFonts w:ascii="Arial" w:cs="Arial" w:eastAsia="Arial" w:hAnsi="Arial"/>
          <w:sz w:val="18"/>
          <w:szCs w:val="18"/>
          <w:color w:val="auto"/>
        </w:rPr>
        <w:t>, we had 84,125,738 shares of common stock issued and outstanding, excluding shares of common stock issuable upon exercise of warrants, options or restricted stock units (“RSUs”). As shares saleable under Rule 144 are sold or as restrictions on resale lapse, the market price of our common stock could drop significantly, if the holders of restricted shares sell them, or are perceived by the market as intending to sell them. This decline in our stock price could occur even if our business is otherwise performing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-557530</wp:posOffset>
            </wp:positionV>
            <wp:extent cx="87503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5030" cy="128905"/>
                    </a:xfrm>
                    <a:prstGeom prst="rect">
                      <a:avLst/>
                    </a:prstGeom>
                    <a:noFill/>
                  </pic:spPr>
                </pic:pic>
              </a:graphicData>
            </a:graphic>
          </wp:anchor>
        </w:drawing>
      </w:r>
    </w:p>
    <w:p>
      <w:pPr>
        <w:spacing w:after="0" w:line="163"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If we are unable to adequately protect our intellectual property, we may not be able to compete effectively. In addition, the possibility of extensive delays in the patent issuance process could effectively reduce the term during which a marketed product is protected by patents.</w:t>
      </w:r>
    </w:p>
    <w:p>
      <w:pPr>
        <w:spacing w:after="0" w:line="142" w:lineRule="exact"/>
        <w:rPr>
          <w:sz w:val="20"/>
          <w:szCs w:val="20"/>
          <w:color w:val="auto"/>
        </w:rPr>
      </w:pPr>
    </w:p>
    <w:p>
      <w:pPr>
        <w:jc w:val="both"/>
        <w:ind w:firstLine="666"/>
        <w:spacing w:after="0" w:line="255" w:lineRule="auto"/>
        <w:rPr>
          <w:sz w:val="20"/>
          <w:szCs w:val="20"/>
          <w:color w:val="auto"/>
        </w:rPr>
      </w:pPr>
      <w:r>
        <w:rPr>
          <w:rFonts w:ascii="Arial" w:cs="Arial" w:eastAsia="Arial" w:hAnsi="Arial"/>
          <w:sz w:val="18"/>
          <w:szCs w:val="18"/>
          <w:color w:val="auto"/>
        </w:rPr>
        <w:t>We may need to obtain licenses to patents or other proprietary rights from third parties. We may not be able to obtain the licenses required under any patents or proprietary rights or they may not be available on acceptable terms. If we do not obtain required licenses, we may encounter delays in product development or find that the development, manufacture or sale of products requiring licenses could be foreclosed. We may, from time to time, support and collaborate in research conducted by universities and governmental research organizations. We may not be able to acquire exclusive rights to the inventions or technical information derived from these collaborations, and disputes may arise over rights in derivative or related research programs conducted by us or in such collaborators.</w:t>
      </w:r>
    </w:p>
    <w:p>
      <w:pPr>
        <w:spacing w:after="0" w:line="19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ability to compete depends in part upon the strength of our proprietary rights in our technologies, brands and content. We rely on a combination of U.S. and foreign patents, copyrights, trademark, trade secret laws and license agreements to establish and protect our intellectual property and proprietary rights. The efforts we have taken to protect our intellectual property and proprietary rights may not be sufficient or effective at stopping unauthorized use of our intellectual property and proprietary rights. In addition, effective trademark, patent, copyright and trade secret protection may not be available or cost-effective in every country in which our services are made available through the Internet. There may be instances where we are not able to fully protect or utilize our intellectual property in a manner that maximizes competitive advantage. If we are unable to protect our intellectual property and proprietary rights from unauthorized use, the value of our products may be reduced, which could negatively impact our business. Our inability to obtain appropriate protection for our intellectual property may also allow competitors to enter our markets and produce or sell the same or similar products. In addition, protecting our intellectual property and other proprietary rights is expensive and diverts critical managerial resources. If any of the foregoing were to occur, or if we are otherwise unable to protect our intellectual property and proprietary rights, our business and financial results could be adversely affected.</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are forced to resort to legal proceedings to enforce our intellectual property rights, the proceedings could be burdensome and expensive. In addition, our proprietary rights could be at risk if we are unsuccessful in, or cannot afford to pursue, those proceedings. We also rely on trade secrets and contract law to protect some of our proprietary technology. We entered into confidentiality and invention agreements with our employees and consultants. Nevertheless, these agreements may not be honored and they may not effectively protect our right to our un-patented trade secrets and know-how. Moreover, others may independently develop substantially equivalent proprietary information and techniques or otherwise gain access to our trade secrets and know-how.</w:t>
      </w:r>
    </w:p>
    <w:p>
      <w:pPr>
        <w:spacing w:after="0" w:line="18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we or our users infringe on the intellectual property rights of third parties, we may have to defend against litigation and pay damages and our business and prospects may be adversely affected.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 third party were to assert that our products infringe on our patent, copyright, trademark, right of publicity, right of privacy, trade secret or other intellectual property rights, we could incur substantial litigation costs and be forced to pay substantial damages. Third-party infringement claims, regardless of their outcome, would not only consume significant financial resources, but would also divert our management time and attention. Such claims or the lack of available access to certain sites or content could also cause our customers or potential customers to purchase competitors’ products if such competitors have access to the sites or contents that we are lacking or defer or limit their purchase or use of our products or services until resolution of the claim. In connection with any such claim or litigation, our mobile carriers and other partners may decide to re-assess their relationships with us, especially if they perceive that they may have potential liability or if such claimed infringement is a possible breach of our agreement with such mobile carrier. If any of our products are found to violate third-party intellectual property rights, we may have to re-engineer one or more of our products, or we may have to obtain licenses from third parties to continue offering our products without substantial re-engineering. Our efforts to re-engineer or obtain licenses could require significant expenditures of time and money and may not be successful. Accordingly, any claims or litigation regarding our infringement of intellectual property of a third party by us or our users could have a material adverse effect on our business and prospects.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We may not be able to continue to maintain our application on all of the operating systems that we currently support.</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Some of our applications are compatible with various mobile operating systems including Android, Blackberry, Sony Ericsson, Symbian, Apple’s iOS, Java, and Windows Mobile operating systems. While Windows Mobile, Blackberry and Android do not support video ringtones natively, our development team has enabled our application to work on many devices which utilize these operating systems. The user base for the video ringtone service is spread out amongst a number of smartphone and feature phone operating systems, with applications on each aforementioned operating system representing less than 5% of the total subscribers to our video ringtone platform. Our Facetones® platform, which represented less than 5% of our revenue for the nine month period ended September 30, 2013, is heavily reliant upon our Android devices users. Currently, over 96% of our Facetones® users utilize the Android operating system. In addition, our commercial agreement with ZTE is solely reliant on our ability to maintain our support for the Android operating system. Since these operating systems do not support our applications natively, any significant changes to these operating systems by their respective developers may prevent our application from working properly or at all on these systems. If we are unable to maintain our application on these operating systems or on any other operating systems, users of these operating systems will not be able to use our application, which could adversely affect our business and results of operations.</w:t>
      </w:r>
    </w:p>
    <w:p>
      <w:pPr>
        <w:spacing w:after="0" w:line="17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upon our ability to keep pace with the latest technological changes and our failure to do so could make us less competitive in our industry.</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market for our products and services is characterized by rapid change and technological change, frequent new product innovations, changes in customer requirements and expectations and evolving industry standards. Products using new technologies or emerging industry standards could make our products and services less attractive. Furthermore, our competitors may have access to technology not available to us, which may enable them to produce products of greater interest to consumers or at a more competitive cost. Failure to respond in a timely and cost-effective way to these technological developments may result in serious harm to our business and operating results. As a result, our success will depend, in part, on our ability to develop and market product and service offerings that respond in a timely manner to the technological advances available to our customers, evolving industry standards and changing preferences.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concerning consumer privacy may adversely affect our business.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Certain technologies that we currently support, or may in the future support, are capable of collecting personally-identifiable information. We anticipate that as mobile telephone software continues to develop, it will be possible to collect or monitor substantially more of this type of information. A growing body of laws designed to protect the privacy of personally-identifiable information, as well as to protect against its misuse, and the judicial interpretations of such laws, may adversely affect the growth of our business. In the United States, these laws could include the Federal Trade Commission Act, the Electronic Communications Privacy Act, the Fair Credit Reporting Act and the Gramm-Leach Bliley Act, as well as various state laws and related regulations. In addition, certain governmental agencies, like the Federal Trade Commission, have the authority to protect against the misuse of consumer information by targeting companies that collect, disseminate or maintain personal information in an unfair or deceptive manner. In particular, such laws could limit our ability to collect information related to users or our services, to store or process that information in what would otherwise be the most efficient manner, or to commercialize new products based on new technologies. The evolving nature of all of these laws and regulations, as well as the evolving nature of various governmental bodies’ enforcement efforts, and the possibility of new laws in this area, may adversely affect our ability to collect and disseminate or share certain information about consumers and may negatively affect our ability to make use of that information. If we fail to successfully comply with applicable regulations in this area, our business and prospects could be harmed.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capital through equity or equity-linked transactions may be limited.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order for us to raise capital privately through equity or equity-linked transactions, stockholder approval is required to enable us to issue more than 19.99% of our outstanding shares of common stock pursuant to the rules and regulations of the NASDAQ Capital Market. Should stockholders not approve such issuances, one means to raise capital would be through debt, which could have a material adverse effect on our balance sheet and overall financial condition.</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not be able to raise additional capital. Moreover, additional financing may have an adverse effect on the value of the equity instruments held by our stockholders.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may choose to raise additional funds in connection with any potential acquisition of patent portfolios or other intellectual property assets or operating businesses. In addition, we may also need additional funds to respond to business opportunities and challenges, including our ongoing operating expenses, protection of our assets, development of new lines of business and enhancement of our operating infrastructure. While we will need to seek additional funding, we may not be able to obtain financing on acceptable terms, or at all. In addition, the terms of our financings may be dilutive to, or otherwise adversely affect, holders of our common stock. We may also seek additional funds through arrangements with collaborators or other third parties. We may not be able to negotiate arrangements on acceptable terms, if at all. If we are unable to obtain additional funding on a timely basis, we may be required to curtail or terminate some or all of our business plans. Any such financing that we undertake will likely be dilutive to our current stockholders.</w:t>
      </w:r>
    </w:p>
    <w:p>
      <w:pPr>
        <w:spacing w:after="0" w:line="16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Because our current revenues are, and are expected to be, generated in U.S Dollars, British Pounds and Euros, while a portion of our expenses is, and is expected to be, incurred in British Pounds, Euros and in New Israeli Shekels, our results may be significantly affected by currency exchange rate fluctuations.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revenues are, and are expected to be, generated in U.S Dollars, Euros and in the British Pound, while significant salary related expenses are paid in New Israeli Shekels and expenses related to maintaining, prosecuting and enforcing the patents acquired from Nokia are expected to be paid in British Pounds and in Euros. As a result, we are exposed to the adverse effect of increased dollar-measured cost of our operations, as value of these currencies may materially fluctuate against the U.S Dollar, as it is affected by, among other things, changes in political and economic conditions. Fluctuations in the abovementioned exchange rates, or even the appearance of instability in any such exchange rate, could adversely affect our ability to operate our business.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775" w:gutter="0" w:footer="0" w:header="0"/>
        </w:sectPr>
      </w:pPr>
    </w:p>
    <w:bookmarkStart w:id="39" w:name="page40"/>
    <w:bookmarkEnd w:id="39"/>
    <w:p>
      <w:pPr>
        <w:jc w:val="both"/>
        <w:spacing w:after="0" w:line="282" w:lineRule="auto"/>
        <w:rPr>
          <w:sz w:val="20"/>
          <w:szCs w:val="20"/>
          <w:color w:val="auto"/>
        </w:rPr>
      </w:pPr>
      <w:r>
        <w:rPr>
          <w:rFonts w:ascii="Arial" w:cs="Arial" w:eastAsia="Arial" w:hAnsi="Arial"/>
          <w:sz w:val="18"/>
          <w:szCs w:val="18"/>
          <w:b w:val="1"/>
          <w:bCs w:val="1"/>
          <w:color w:val="auto"/>
        </w:rPr>
        <w:t>The termination or reduction of tax and other incentives that the Israeli government provides to domestic companies, such as our wholly-owned Israeli subsidiary, may increase our operating costs in Israel.</w:t>
      </w:r>
    </w:p>
    <w:p>
      <w:pPr>
        <w:spacing w:after="0" w:line="16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Israeli government currently provides tax and capital investment incentives to domestic companies, as well as grant and loan programs relating to research and development and marketing and export activities. Our wholly-owned Israeli subsidiary currently takes advantage of some of these programs. We cannot provide any assurance that such benefits and programs will continue to be available in the future to our Israeli subsidiary. In addition, it is possible that our subsidiary will fail to meet the criteria required for eligibility of future benefits. If such benefits and programs were terminated or further reduced, it could have an adverse effect on our business, operating results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80" w:type="dxa"/>
            <w:vAlign w:val="bottom"/>
            <w:gridSpan w:val="2"/>
          </w:tcPr>
          <w:p>
            <w:pPr>
              <w:ind w:left="2320"/>
              <w:spacing w:after="0"/>
              <w:rPr>
                <w:sz w:val="20"/>
                <w:szCs w:val="20"/>
                <w:color w:val="auto"/>
              </w:rPr>
            </w:pPr>
            <w:r>
              <w:rPr>
                <w:rFonts w:ascii="Arial" w:cs="Arial" w:eastAsia="Arial" w:hAnsi="Arial"/>
                <w:sz w:val="16"/>
                <w:szCs w:val="16"/>
                <w:b w:val="1"/>
                <w:bCs w:val="1"/>
                <w:color w:val="auto"/>
              </w:rPr>
              <w:t>Exhibit</w:t>
            </w:r>
          </w:p>
        </w:tc>
        <w:tc>
          <w:tcPr>
            <w:tcW w:w="6040" w:type="dxa"/>
            <w:vAlign w:val="bottom"/>
          </w:tcPr>
          <w:p>
            <w:pPr>
              <w:spacing w:after="0"/>
              <w:rPr>
                <w:sz w:val="17"/>
                <w:szCs w:val="17"/>
                <w:color w:val="auto"/>
              </w:rPr>
            </w:pPr>
          </w:p>
        </w:tc>
      </w:tr>
      <w:tr>
        <w:trPr>
          <w:trHeight w:val="213"/>
        </w:trPr>
        <w:tc>
          <w:tcPr>
            <w:tcW w:w="5380" w:type="dxa"/>
            <w:vAlign w:val="bottom"/>
            <w:gridSpan w:val="2"/>
          </w:tcPr>
          <w:p>
            <w:pPr>
              <w:ind w:left="2460"/>
              <w:spacing w:after="0"/>
              <w:rPr>
                <w:sz w:val="20"/>
                <w:szCs w:val="20"/>
                <w:color w:val="auto"/>
              </w:rPr>
            </w:pPr>
            <w:r>
              <w:rPr>
                <w:rFonts w:ascii="Arial" w:cs="Arial" w:eastAsia="Arial" w:hAnsi="Arial"/>
                <w:sz w:val="16"/>
                <w:szCs w:val="16"/>
                <w:b w:val="1"/>
                <w:bCs w:val="1"/>
                <w:color w:val="auto"/>
              </w:rPr>
              <w:t>No.</w:t>
            </w:r>
          </w:p>
        </w:tc>
        <w:tc>
          <w:tcPr>
            <w:tcW w:w="6040" w:type="dxa"/>
            <w:vAlign w:val="bottom"/>
          </w:tcPr>
          <w:p>
            <w:pPr>
              <w:ind w:left="2620"/>
              <w:spacing w:after="0"/>
              <w:rPr>
                <w:sz w:val="20"/>
                <w:szCs w:val="20"/>
                <w:color w:val="auto"/>
              </w:rPr>
            </w:pPr>
            <w:r>
              <w:rPr>
                <w:rFonts w:ascii="Arial" w:cs="Arial" w:eastAsia="Arial" w:hAnsi="Arial"/>
                <w:sz w:val="16"/>
                <w:szCs w:val="16"/>
                <w:b w:val="1"/>
                <w:bCs w:val="1"/>
                <w:color w:val="auto"/>
              </w:rPr>
              <w:t>Description</w:t>
            </w:r>
          </w:p>
        </w:tc>
      </w:tr>
      <w:tr>
        <w:trPr>
          <w:trHeight w:val="621"/>
        </w:trPr>
        <w:tc>
          <w:tcPr>
            <w:tcW w:w="51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4"/>
                <w:szCs w:val="24"/>
                <w:color w:val="auto"/>
              </w:rPr>
            </w:pPr>
          </w:p>
        </w:tc>
        <w:tc>
          <w:tcPr>
            <w:tcW w:w="60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Certification of Principal Executive Officer Pursuant to Rule 13-14(a) of the Securities</w:t>
            </w:r>
          </w:p>
        </w:tc>
      </w:tr>
      <w:tr>
        <w:trPr>
          <w:trHeight w:val="20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Exchange Act of 1934, pursuant to Section 302 of the Sarbanes-Oxley Act of 2002.</w:t>
            </w:r>
          </w:p>
        </w:tc>
      </w:tr>
      <w:tr>
        <w:trPr>
          <w:trHeight w:val="415"/>
        </w:trPr>
        <w:tc>
          <w:tcPr>
            <w:tcW w:w="5160" w:type="dxa"/>
            <w:vAlign w:val="bottom"/>
          </w:tcPr>
          <w:p>
            <w:pPr>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Certification of Principal Financial Officer Pursuant to Rule 13-14(a) of the Securities</w:t>
            </w:r>
          </w:p>
        </w:tc>
      </w:tr>
      <w:tr>
        <w:trPr>
          <w:trHeight w:val="20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Exchange Act of 1934, pursuant to Section 302 of the Sarbanes-Oxley Act of 2002.</w:t>
            </w:r>
          </w:p>
        </w:tc>
      </w:tr>
      <w:tr>
        <w:trPr>
          <w:trHeight w:val="415"/>
        </w:trPr>
        <w:tc>
          <w:tcPr>
            <w:tcW w:w="5160" w:type="dxa"/>
            <w:vAlign w:val="bottom"/>
          </w:tcPr>
          <w:p>
            <w:pPr>
              <w:spacing w:after="0"/>
              <w:rPr>
                <w:sz w:val="20"/>
                <w:szCs w:val="20"/>
                <w:color w:val="auto"/>
              </w:rPr>
            </w:pPr>
            <w:r>
              <w:rPr>
                <w:rFonts w:ascii="Arial" w:cs="Arial" w:eastAsia="Arial" w:hAnsi="Arial"/>
                <w:sz w:val="16"/>
                <w:szCs w:val="16"/>
                <w:color w:val="auto"/>
              </w:rPr>
              <w:t>32.1**</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6"/>
                <w:szCs w:val="16"/>
                <w:color w:val="auto"/>
                <w:w w:val="94"/>
              </w:rPr>
              <w:t>Certification of Principal Executive Officer Pursuant to 18 U.S.C. Section 1350, pursuant to</w:t>
            </w:r>
          </w:p>
        </w:tc>
      </w:tr>
      <w:tr>
        <w:trPr>
          <w:trHeight w:val="20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Section 906 of the Sarbanes-Oxley Act of 2002.</w:t>
            </w:r>
          </w:p>
        </w:tc>
      </w:tr>
      <w:tr>
        <w:trPr>
          <w:trHeight w:val="415"/>
        </w:trPr>
        <w:tc>
          <w:tcPr>
            <w:tcW w:w="5160" w:type="dxa"/>
            <w:vAlign w:val="bottom"/>
          </w:tcPr>
          <w:p>
            <w:pPr>
              <w:spacing w:after="0"/>
              <w:rPr>
                <w:sz w:val="20"/>
                <w:szCs w:val="20"/>
                <w:color w:val="auto"/>
              </w:rPr>
            </w:pPr>
            <w:r>
              <w:rPr>
                <w:rFonts w:ascii="Arial" w:cs="Arial" w:eastAsia="Arial" w:hAnsi="Arial"/>
                <w:sz w:val="16"/>
                <w:szCs w:val="16"/>
                <w:color w:val="auto"/>
              </w:rPr>
              <w:t>32.2**</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6"/>
                <w:szCs w:val="16"/>
                <w:color w:val="auto"/>
                <w:w w:val="94"/>
              </w:rPr>
              <w:t>Certification of Principal Financial Officer Pursuant to 18 U.S.C. Section 1350, pursuant to</w:t>
            </w:r>
          </w:p>
        </w:tc>
      </w:tr>
      <w:tr>
        <w:trPr>
          <w:trHeight w:val="206"/>
        </w:trPr>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Section 906 of the Sarbanes-Oxley Act of 2002.</w:t>
            </w:r>
          </w:p>
        </w:tc>
      </w:tr>
      <w:tr>
        <w:trPr>
          <w:trHeight w:val="438"/>
        </w:trPr>
        <w:tc>
          <w:tcPr>
            <w:tcW w:w="53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040" w:type="dxa"/>
            <w:vAlign w:val="bottom"/>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040" w:type="dxa"/>
            <w:vAlign w:val="bottom"/>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040" w:type="dxa"/>
            <w:vAlign w:val="bottom"/>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04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040" w:type="dxa"/>
            <w:vAlign w:val="bottom"/>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040" w:type="dxa"/>
            <w:vAlign w:val="bottom"/>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13"/>
        </w:trPr>
        <w:tc>
          <w:tcPr>
            <w:tcW w:w="516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Filed herewith.</w:t>
            </w:r>
          </w:p>
        </w:tc>
      </w:tr>
      <w:tr>
        <w:trPr>
          <w:trHeight w:val="216"/>
        </w:trPr>
        <w:tc>
          <w:tcPr>
            <w:tcW w:w="5160" w:type="dxa"/>
            <w:vAlign w:val="bottom"/>
          </w:tcPr>
          <w:p>
            <w:pPr>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Furnished herein.</w:t>
            </w:r>
          </w:p>
        </w:tc>
      </w:tr>
      <w:tr>
        <w:trPr>
          <w:trHeight w:val="708"/>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40" w:type="dxa"/>
            <w:vAlign w:val="bottom"/>
          </w:tcPr>
          <w:p>
            <w:pPr>
              <w:ind w:left="260"/>
              <w:spacing w:after="0"/>
              <w:rPr>
                <w:sz w:val="20"/>
                <w:szCs w:val="20"/>
                <w:color w:val="auto"/>
              </w:rPr>
            </w:pPr>
            <w:r>
              <w:rPr>
                <w:rFonts w:ascii="Arial" w:cs="Arial" w:eastAsia="Arial" w:hAnsi="Arial"/>
                <w:sz w:val="18"/>
                <w:szCs w:val="18"/>
                <w:color w:val="auto"/>
              </w:rPr>
              <w:t>37</w:t>
            </w:r>
          </w:p>
        </w:tc>
      </w:tr>
      <w:tr>
        <w:trPr>
          <w:trHeight w:val="338"/>
        </w:trPr>
        <w:tc>
          <w:tcPr>
            <w:tcW w:w="5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 xml:space="preserve">Pursuant to the requirements of the Securities Exchange Act of 1934, the registrant has duly caused this report to be signed on its behalf by the undersigned thereunto duly authorized on the </w:t>
      </w:r>
      <w:r>
        <w:rPr>
          <w:rFonts w:ascii="Arial" w:cs="Arial" w:eastAsia="Arial" w:hAnsi="Arial"/>
          <w:sz w:val="18"/>
          <w:szCs w:val="18"/>
          <w:color w:val="auto"/>
          <w:highlight w:val="white"/>
        </w:rPr>
        <w:t>7th day of</w:t>
      </w:r>
      <w:r>
        <w:rPr>
          <w:rFonts w:ascii="Arial" w:cs="Arial" w:eastAsia="Arial" w:hAnsi="Arial"/>
          <w:sz w:val="18"/>
          <w:szCs w:val="18"/>
          <w:color w:val="auto"/>
        </w:rPr>
        <w:t xml:space="preserve"> November,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VRINGO,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By:</w:t>
            </w:r>
          </w:p>
        </w:tc>
        <w:tc>
          <w:tcPr>
            <w:tcW w:w="10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tc>
      </w:tr>
      <w:tr>
        <w:trPr>
          <w:trHeight w:val="191"/>
        </w:trPr>
        <w:tc>
          <w:tcPr>
            <w:tcW w:w="1040" w:type="dxa"/>
            <w:vAlign w:val="bottom"/>
          </w:tcPr>
          <w:p>
            <w:pPr>
              <w:spacing w:after="0"/>
              <w:rPr>
                <w:sz w:val="16"/>
                <w:szCs w:val="16"/>
                <w:color w:val="auto"/>
              </w:rPr>
            </w:pPr>
          </w:p>
        </w:tc>
        <w:tc>
          <w:tcPr>
            <w:tcW w:w="10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Anastasia Nyrkovskaya</w:t>
            </w:r>
          </w:p>
        </w:tc>
      </w:tr>
      <w:tr>
        <w:trPr>
          <w:trHeight w:val="216"/>
        </w:trPr>
        <w:tc>
          <w:tcPr>
            <w:tcW w:w="1040" w:type="dxa"/>
            <w:vAlign w:val="bottom"/>
          </w:tcPr>
          <w:p>
            <w:pPr>
              <w:spacing w:after="0"/>
              <w:rPr>
                <w:sz w:val="18"/>
                <w:szCs w:val="18"/>
                <w:color w:val="auto"/>
              </w:rPr>
            </w:pPr>
          </w:p>
        </w:tc>
        <w:tc>
          <w:tcPr>
            <w:tcW w:w="1038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4"/>
        </w:trPr>
        <w:tc>
          <w:tcPr>
            <w:tcW w:w="1040" w:type="dxa"/>
            <w:vAlign w:val="bottom"/>
          </w:tcPr>
          <w:p>
            <w:pPr>
              <w:spacing w:after="0"/>
              <w:rPr>
                <w:sz w:val="20"/>
                <w:szCs w:val="20"/>
                <w:color w:val="auto"/>
              </w:rPr>
            </w:pPr>
          </w:p>
        </w:tc>
        <w:tc>
          <w:tcPr>
            <w:tcW w:w="1038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Officer)</w:t>
            </w:r>
          </w:p>
        </w:tc>
      </w:tr>
      <w:tr>
        <w:trPr>
          <w:trHeight w:val="743"/>
        </w:trPr>
        <w:tc>
          <w:tcPr>
            <w:tcW w:w="1040" w:type="dxa"/>
            <w:vAlign w:val="bottom"/>
          </w:tcPr>
          <w:p>
            <w:pPr>
              <w:spacing w:after="0"/>
              <w:rPr>
                <w:sz w:val="24"/>
                <w:szCs w:val="24"/>
                <w:color w:val="auto"/>
              </w:rPr>
            </w:pPr>
          </w:p>
        </w:tc>
        <w:tc>
          <w:tcPr>
            <w:tcW w:w="10380" w:type="dxa"/>
            <w:vAlign w:val="bottom"/>
          </w:tcPr>
          <w:p>
            <w:pPr>
              <w:jc w:val="right"/>
              <w:ind w:right="5510"/>
              <w:spacing w:after="0"/>
              <w:rPr>
                <w:sz w:val="20"/>
                <w:szCs w:val="20"/>
                <w:color w:val="auto"/>
              </w:rPr>
            </w:pPr>
            <w:r>
              <w:rPr>
                <w:rFonts w:ascii="Arial" w:cs="Arial" w:eastAsia="Arial" w:hAnsi="Arial"/>
                <w:sz w:val="18"/>
                <w:szCs w:val="18"/>
                <w:color w:val="auto"/>
              </w:rPr>
              <w:t>38</w:t>
            </w:r>
          </w:p>
        </w:tc>
      </w:tr>
      <w:tr>
        <w:trPr>
          <w:trHeight w:val="338"/>
        </w:trPr>
        <w:tc>
          <w:tcPr>
            <w:tcW w:w="1040" w:type="dxa"/>
            <w:vAlign w:val="bottom"/>
            <w:tcBorders>
              <w:bottom w:val="single" w:sz="8" w:color="auto"/>
            </w:tcBorders>
          </w:tcPr>
          <w:p>
            <w:pPr>
              <w:spacing w:after="0"/>
              <w:rPr>
                <w:sz w:val="24"/>
                <w:szCs w:val="24"/>
                <w:color w:val="auto"/>
              </w:rPr>
            </w:pPr>
          </w:p>
        </w:tc>
        <w:tc>
          <w:tcPr>
            <w:tcW w:w="10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Perlman, certify that:</w:t>
      </w:r>
    </w:p>
    <w:p>
      <w:pPr>
        <w:spacing w:after="0" w:line="225"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2013</w:t>
      </w:r>
    </w:p>
    <w:p>
      <w:pPr>
        <w:spacing w:after="0" w:line="225"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Anastasia Nyrkovskaya, certify that:</w:t>
      </w:r>
    </w:p>
    <w:p>
      <w:pPr>
        <w:spacing w:after="0" w:line="225"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Vringo,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right="20" w:firstLine="8"/>
        <w:spacing w:after="0" w:line="264" w:lineRule="auto"/>
        <w:tabs>
          <w:tab w:leader="none" w:pos="18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firstLine="8"/>
        <w:spacing w:after="0" w:line="264"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08"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firstLine="8"/>
        <w:spacing w:after="0" w:line="277" w:lineRule="auto"/>
        <w:tabs>
          <w:tab w:leader="none" w:pos="189"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firstLine="8"/>
        <w:spacing w:after="0" w:line="277" w:lineRule="auto"/>
        <w:tabs>
          <w:tab w:leader="none" w:pos="2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firstLine="8"/>
        <w:spacing w:after="0" w:line="277" w:lineRule="auto"/>
        <w:tabs>
          <w:tab w:leader="none" w:pos="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0" w:firstLine="8"/>
        <w:spacing w:after="0" w:line="277" w:lineRule="auto"/>
        <w:tabs>
          <w:tab w:leader="none" w:pos="20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7, 2013</w:t>
      </w:r>
    </w:p>
    <w:p>
      <w:pPr>
        <w:spacing w:after="0" w:line="225"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color w:val="auto"/>
        </w:rPr>
        <w:t>/s/</w:t>
        <w:tab/>
        <w:t>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2013 as filed with the Securities and Exchange Commission on the date hereof (the “Report”) I, Andrew Perlman, Chief Executive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2013</w:t>
      </w:r>
    </w:p>
    <w:p>
      <w:pPr>
        <w:ind w:left="4640"/>
        <w:spacing w:after="0"/>
        <w:tabs>
          <w:tab w:leader="none" w:pos="4960" w:val="left"/>
        </w:tabs>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1"/>
          <w:szCs w:val="11"/>
          <w:color w:val="auto"/>
        </w:rPr>
        <w:t>NDREW</w:t>
      </w:r>
      <w:r>
        <w:rPr>
          <w:rFonts w:ascii="Arial" w:cs="Arial" w:eastAsia="Arial" w:hAnsi="Arial"/>
          <w:sz w:val="17"/>
          <w:szCs w:val="17"/>
          <w:color w:val="auto"/>
        </w:rPr>
        <w:t xml:space="preserve"> D. P</w:t>
      </w:r>
      <w:r>
        <w:rPr>
          <w:rFonts w:ascii="Arial" w:cs="Arial" w:eastAsia="Arial" w:hAnsi="Arial"/>
          <w:sz w:val="11"/>
          <w:szCs w:val="11"/>
          <w:color w:val="auto"/>
        </w:rPr>
        <w:t>ERLMAN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554355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Vringo, Inc. (the “Company”) for the quarter ended September 30, 2013 as filed with the Securities and Exchange Commission on the date hereof (the “Report”) I, Anastasia Nyrkovskaya, Chief Financial Officer of the Company, certify, pursuant to § 906 of the Sarbanes-Oxley Act of 2002, 18 U.S.C. § 1350, that to my knowledge:</w:t>
      </w:r>
    </w:p>
    <w:p>
      <w:pPr>
        <w:spacing w:after="0" w:line="18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as amended; and</w:t>
      </w:r>
    </w:p>
    <w:p>
      <w:pPr>
        <w:spacing w:after="0" w:line="225" w:lineRule="exact"/>
        <w:rPr>
          <w:rFonts w:ascii="Arial" w:cs="Arial" w:eastAsia="Arial" w:hAnsi="Arial"/>
          <w:sz w:val="18"/>
          <w:szCs w:val="18"/>
          <w:color w:val="auto"/>
        </w:rPr>
      </w:pPr>
    </w:p>
    <w:p>
      <w:pPr>
        <w:ind w:right="720" w:firstLine="8"/>
        <w:spacing w:after="0" w:line="501" w:lineRule="auto"/>
        <w:tabs>
          <w:tab w:leader="none" w:pos="2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7, 2013</w:t>
      </w:r>
    </w:p>
    <w:p>
      <w:pPr>
        <w:jc w:val="center"/>
        <w:ind w:right="-19"/>
        <w:spacing w:after="0"/>
        <w:tabs>
          <w:tab w:leader="none" w:pos="160" w:val="left"/>
        </w:tabs>
        <w:rPr>
          <w:sz w:val="20"/>
          <w:szCs w:val="20"/>
          <w:color w:val="auto"/>
        </w:rPr>
      </w:pPr>
      <w:r>
        <w:rPr>
          <w:rFonts w:ascii="Arial" w:cs="Arial" w:eastAsia="Arial" w:hAnsi="Arial"/>
          <w:sz w:val="18"/>
          <w:szCs w:val="18"/>
          <w:color w:val="auto"/>
        </w:rPr>
        <w:t>/s/</w:t>
        <w:tab/>
        <w:t>A</w:t>
      </w:r>
      <w:r>
        <w:rPr>
          <w:rFonts w:ascii="Arial" w:cs="Arial" w:eastAsia="Arial" w:hAnsi="Arial"/>
          <w:sz w:val="12"/>
          <w:szCs w:val="12"/>
          <w:color w:val="auto"/>
        </w:rPr>
        <w:t>NASTASIA</w:t>
      </w:r>
      <w:r>
        <w:rPr>
          <w:rFonts w:ascii="Arial" w:cs="Arial" w:eastAsia="Arial" w:hAnsi="Arial"/>
          <w:sz w:val="18"/>
          <w:szCs w:val="18"/>
          <w:color w:val="auto"/>
        </w:rPr>
        <w:t xml:space="preserve"> N</w:t>
      </w:r>
      <w:r>
        <w:rPr>
          <w:rFonts w:ascii="Arial" w:cs="Arial" w:eastAsia="Arial" w:hAnsi="Arial"/>
          <w:sz w:val="12"/>
          <w:szCs w:val="12"/>
          <w:color w:val="auto"/>
        </w:rPr>
        <w:t>YRKOVSKAYA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Anastasia Nyrkovskaya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55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decimal"/>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5"/>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2019-12-07T16:36:16Z</dcterms:created>
  <dcterms:modified xsi:type="dcterms:W3CDTF">2019-12-07T16:36:16Z</dcterms:modified>
</cp:coreProperties>
</file>