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ind w:left="1040" w:hanging="1032"/>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jc w:val="center"/>
        <w:ind w:left="4080" w:right="1220" w:hanging="4072"/>
        <w:spacing w:after="0" w:line="282" w:lineRule="auto"/>
        <w:tabs>
          <w:tab w:leader="none" w:pos="105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___to 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Holdings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20-4988129</w:t>
            </w:r>
          </w:p>
        </w:tc>
        <w:tc>
          <w:tcPr>
            <w:tcW w:w="2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0" w:type="dxa"/>
            <w:vAlign w:val="bottom"/>
            <w:gridSpan w:val="3"/>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20" w:type="dxa"/>
            <w:vAlign w:val="bottom"/>
          </w:tcPr>
          <w:p>
            <w:pPr>
              <w:spacing w:after="0"/>
              <w:rPr>
                <w:sz w:val="24"/>
                <w:szCs w:val="24"/>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New York, NY</w:t>
            </w:r>
          </w:p>
        </w:tc>
        <w:tc>
          <w:tcPr>
            <w:tcW w:w="34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10017</w:t>
            </w:r>
          </w:p>
        </w:tc>
        <w:tc>
          <w:tcPr>
            <w:tcW w:w="2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gridSpan w:val="2"/>
          </w:tcPr>
          <w:p>
            <w:pPr>
              <w:jc w:val="center"/>
              <w:ind w:left="1930"/>
              <w:spacing w:after="0"/>
              <w:rPr>
                <w:sz w:val="20"/>
                <w:szCs w:val="20"/>
                <w:color w:val="auto"/>
              </w:rPr>
            </w:pPr>
            <w:r>
              <w:rPr>
                <w:rFonts w:ascii="Arial" w:cs="Arial" w:eastAsia="Arial" w:hAnsi="Arial"/>
                <w:sz w:val="18"/>
                <w:szCs w:val="18"/>
                <w:color w:val="auto"/>
                <w:w w:val="91"/>
              </w:rPr>
              <w:t>(Zip Code)</w:t>
            </w:r>
          </w:p>
        </w:tc>
        <w:tc>
          <w:tcPr>
            <w:tcW w:w="21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309-7549</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9"/>
                <w:szCs w:val="19"/>
                <w:color w:val="auto"/>
              </w:rPr>
            </w:pPr>
          </w:p>
        </w:tc>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418"/>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1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207" w:lineRule="exact"/>
        <w:tabs>
          <w:tab w:leader="none" w:pos="17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7" w:lineRule="exact"/>
        <w:rPr>
          <w:sz w:val="24"/>
          <w:szCs w:val="24"/>
          <w:color w:val="auto"/>
        </w:rPr>
      </w:pPr>
    </w:p>
    <w:p>
      <w:pPr>
        <w:sectPr>
          <w:pgSz w:w="11900" w:h="16838" w:orient="portrait"/>
          <w:cols w:equalWidth="0" w:num="3">
            <w:col w:w="4200" w:space="720"/>
            <w:col w:w="1960" w:space="100"/>
            <w:col w:w="4440"/>
          </w:cols>
          <w:pgMar w:left="240" w:top="472" w:right="239" w:bottom="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472" w:right="239" w:bottom="0" w:gutter="0" w:footer="0" w:header="0"/>
          <w:type w:val="continuous"/>
        </w:sectPr>
      </w:pPr>
    </w:p>
    <w:p>
      <w:pPr>
        <w:spacing w:after="0" w:line="214"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2016 was $28,369,000.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May 1, 2017, 19,459,027 shares of the registrant's common stock are outstanding.</w:t>
      </w:r>
    </w:p>
    <w:p>
      <w:pPr>
        <w:sectPr>
          <w:pgSz w:w="11900" w:h="16838" w:orient="portrait"/>
          <w:cols w:equalWidth="0" w:num="1">
            <w:col w:w="11420"/>
          </w:cols>
          <w:pgMar w:left="240" w:top="472" w:right="23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80" w:type="dxa"/>
            <w:vAlign w:val="bottom"/>
            <w:gridSpan w:val="6"/>
          </w:tcPr>
          <w:p>
            <w:pPr>
              <w:ind w:left="66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 III</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560"/>
              <w:spacing w:after="0" w:line="176" w:lineRule="exact"/>
              <w:rPr>
                <w:sz w:val="20"/>
                <w:szCs w:val="20"/>
                <w:color w:val="auto"/>
              </w:rPr>
            </w:pPr>
            <w:r>
              <w:rPr>
                <w:rFonts w:ascii="Arial" w:cs="Arial" w:eastAsia="Arial" w:hAnsi="Arial"/>
                <w:sz w:val="18"/>
                <w:szCs w:val="18"/>
                <w:color w:val="auto"/>
              </w:rPr>
              <w:t>Item 10:</w:t>
            </w:r>
          </w:p>
        </w:tc>
        <w:tc>
          <w:tcPr>
            <w:tcW w:w="180" w:type="dxa"/>
            <w:vAlign w:val="bottom"/>
          </w:tcPr>
          <w:p>
            <w:pPr>
              <w:spacing w:after="0"/>
              <w:rPr>
                <w:sz w:val="15"/>
                <w:szCs w:val="15"/>
                <w:color w:val="auto"/>
              </w:rPr>
            </w:pPr>
          </w:p>
        </w:tc>
        <w:tc>
          <w:tcPr>
            <w:tcW w:w="7880" w:type="dxa"/>
            <w:vAlign w:val="bottom"/>
            <w:gridSpan w:val="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Directors, Executive Officers and Corporate Governance</w:t>
              </w:r>
            </w:hyperlink>
          </w:p>
        </w:tc>
        <w:tc>
          <w:tcPr>
            <w:tcW w:w="124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shd w:val="clear" w:color="auto" w:fill="CCEEFF"/>
          </w:tcPr>
          <w:p>
            <w:pPr>
              <w:ind w:left="560"/>
              <w:spacing w:after="0" w:line="176" w:lineRule="exact"/>
              <w:rPr>
                <w:sz w:val="20"/>
                <w:szCs w:val="20"/>
                <w:color w:val="auto"/>
              </w:rPr>
            </w:pPr>
            <w:r>
              <w:rPr>
                <w:rFonts w:ascii="Arial" w:cs="Arial" w:eastAsia="Arial" w:hAnsi="Arial"/>
                <w:sz w:val="18"/>
                <w:szCs w:val="18"/>
                <w:color w:val="auto"/>
              </w:rPr>
              <w:t>Item 11:</w:t>
            </w:r>
          </w:p>
        </w:tc>
        <w:tc>
          <w:tcPr>
            <w:tcW w:w="180" w:type="dxa"/>
            <w:vAlign w:val="bottom"/>
            <w:shd w:val="clear" w:color="auto" w:fill="CCEEFF"/>
          </w:tcPr>
          <w:p>
            <w:pPr>
              <w:spacing w:after="0"/>
              <w:rPr>
                <w:sz w:val="15"/>
                <w:szCs w:val="15"/>
                <w:color w:val="auto"/>
              </w:rPr>
            </w:pPr>
          </w:p>
        </w:tc>
        <w:tc>
          <w:tcPr>
            <w:tcW w:w="7880" w:type="dxa"/>
            <w:vAlign w:val="bottom"/>
            <w:gridSpan w:val="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Executive Compensation</w:t>
              </w:r>
            </w:hyperlink>
          </w:p>
        </w:tc>
        <w:tc>
          <w:tcPr>
            <w:tcW w:w="124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560"/>
              <w:spacing w:after="0" w:line="176" w:lineRule="exact"/>
              <w:rPr>
                <w:sz w:val="20"/>
                <w:szCs w:val="20"/>
                <w:color w:val="auto"/>
              </w:rPr>
            </w:pPr>
            <w:r>
              <w:rPr>
                <w:rFonts w:ascii="Arial" w:cs="Arial" w:eastAsia="Arial" w:hAnsi="Arial"/>
                <w:sz w:val="18"/>
                <w:szCs w:val="18"/>
                <w:color w:val="auto"/>
              </w:rPr>
              <w:t>Item 12:</w:t>
            </w:r>
          </w:p>
        </w:tc>
        <w:tc>
          <w:tcPr>
            <w:tcW w:w="180" w:type="dxa"/>
            <w:vAlign w:val="bottom"/>
          </w:tcPr>
          <w:p>
            <w:pPr>
              <w:spacing w:after="0"/>
              <w:rPr>
                <w:sz w:val="15"/>
                <w:szCs w:val="15"/>
                <w:color w:val="auto"/>
              </w:rPr>
            </w:pPr>
          </w:p>
        </w:tc>
        <w:tc>
          <w:tcPr>
            <w:tcW w:w="7880" w:type="dxa"/>
            <w:vAlign w:val="bottom"/>
            <w:gridSpan w:val="7"/>
          </w:tcPr>
          <w:p>
            <w:pPr>
              <w:spacing w:after="0" w:line="176"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Security Ownership of Certain Beneficial Owners and Management and Related Stockholder Matters</w:t>
              </w:r>
            </w:hyperlink>
          </w:p>
        </w:tc>
        <w:tc>
          <w:tcPr>
            <w:tcW w:w="124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bottom w:val="single" w:sz="8" w:color="CCEEFF"/>
            </w:tcBorders>
            <w:gridSpan w:val="3"/>
            <w:shd w:val="clear" w:color="auto" w:fill="CCEEFF"/>
          </w:tcPr>
          <w:p>
            <w:pPr>
              <w:ind w:left="560"/>
              <w:spacing w:after="0" w:line="176" w:lineRule="exact"/>
              <w:rPr>
                <w:sz w:val="20"/>
                <w:szCs w:val="20"/>
                <w:color w:val="auto"/>
              </w:rPr>
            </w:pPr>
            <w:r>
              <w:rPr>
                <w:rFonts w:ascii="Arial" w:cs="Arial" w:eastAsia="Arial" w:hAnsi="Arial"/>
                <w:sz w:val="18"/>
                <w:szCs w:val="18"/>
                <w:color w:val="auto"/>
              </w:rPr>
              <w:t>Item 13:</w:t>
            </w:r>
          </w:p>
        </w:tc>
        <w:tc>
          <w:tcPr>
            <w:tcW w:w="18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Certain Relationships and Related Transactions, and Director Independence</w:t>
              </w:r>
            </w:hyperlink>
          </w:p>
        </w:tc>
        <w:tc>
          <w:tcPr>
            <w:tcW w:w="242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560"/>
              <w:spacing w:after="0" w:line="176" w:lineRule="exact"/>
              <w:rPr>
                <w:sz w:val="20"/>
                <w:szCs w:val="20"/>
                <w:color w:val="auto"/>
              </w:rPr>
            </w:pPr>
            <w:r>
              <w:rPr>
                <w:rFonts w:ascii="Arial" w:cs="Arial" w:eastAsia="Arial" w:hAnsi="Arial"/>
                <w:sz w:val="18"/>
                <w:szCs w:val="18"/>
                <w:color w:val="auto"/>
              </w:rPr>
              <w:t>Item 14:</w:t>
            </w:r>
          </w:p>
        </w:tc>
        <w:tc>
          <w:tcPr>
            <w:tcW w:w="180" w:type="dxa"/>
            <w:vAlign w:val="bottom"/>
          </w:tcPr>
          <w:p>
            <w:pPr>
              <w:spacing w:after="0"/>
              <w:rPr>
                <w:sz w:val="15"/>
                <w:szCs w:val="15"/>
                <w:color w:val="auto"/>
              </w:rPr>
            </w:pPr>
          </w:p>
        </w:tc>
        <w:tc>
          <w:tcPr>
            <w:tcW w:w="788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Principal Accounting Fees and Services</w:t>
              </w:r>
            </w:hyperlink>
          </w:p>
        </w:tc>
        <w:tc>
          <w:tcPr>
            <w:tcW w:w="124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gridSpan w:val="3"/>
            <w:shd w:val="clear" w:color="auto" w:fill="CCEEFF"/>
          </w:tcPr>
          <w:p>
            <w:pPr>
              <w:ind w:left="560"/>
              <w:spacing w:after="0" w:line="176" w:lineRule="exact"/>
              <w:rPr>
                <w:sz w:val="20"/>
                <w:szCs w:val="20"/>
                <w:color w:val="auto"/>
              </w:rPr>
            </w:pPr>
            <w:r>
              <w:rPr>
                <w:rFonts w:ascii="Arial" w:cs="Arial" w:eastAsia="Arial" w:hAnsi="Arial"/>
                <w:sz w:val="18"/>
                <w:szCs w:val="18"/>
                <w:color w:val="auto"/>
              </w:rPr>
              <w:t>Item 15:</w:t>
            </w:r>
          </w:p>
        </w:tc>
        <w:tc>
          <w:tcPr>
            <w:tcW w:w="180" w:type="dxa"/>
            <w:vAlign w:val="bottom"/>
            <w:shd w:val="clear" w:color="auto" w:fill="CCEEFF"/>
          </w:tcPr>
          <w:p>
            <w:pPr>
              <w:spacing w:after="0"/>
              <w:rPr>
                <w:sz w:val="17"/>
                <w:szCs w:val="17"/>
                <w:color w:val="auto"/>
              </w:rPr>
            </w:pPr>
          </w:p>
        </w:tc>
        <w:tc>
          <w:tcPr>
            <w:tcW w:w="788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Exhibits, Financial Statement Schedules</w:t>
              </w:r>
            </w:hyperlink>
          </w:p>
        </w:tc>
        <w:tc>
          <w:tcPr>
            <w:tcW w:w="124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Signature Page</w:t>
              </w:r>
            </w:hyperlink>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Amendment No. 1 on Form 10-K/A (this “Form 10-K/A”) amends the Annual Report on Form 10-K of FORM Holdings Corp. (“FORM” or the “Company”) for the fiscal year ended December 31, 2016, as originally filed with the Securities and Exchange Commission (the “SEC”) on March 30, 2017 (the “Original Filing”). This Form 10-K/A amends the Original Filing to include the information required by Part III of the Original Filing because the Company has not and will not file a definitive proxy statement within 120 days after the end of its 2016 fiscal year. In addition, this Form 10-K/A amends Item 15 of Part IV of the Original Filing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amendment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Form 10-K/A to “we,” “us” and “our” refer to FORM Holdings Corp., a Delaware corporation, and its consolidated subsidiaries unless the context requires otherwise.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currently consists of seven (7)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260" w:type="dxa"/>
            <w:vAlign w:val="bottom"/>
          </w:tcPr>
          <w:p>
            <w:pPr>
              <w:ind w:left="1980"/>
              <w:spacing w:after="0"/>
              <w:rPr>
                <w:sz w:val="20"/>
                <w:szCs w:val="20"/>
                <w:color w:val="auto"/>
              </w:rPr>
            </w:pPr>
            <w:r>
              <w:rPr>
                <w:rFonts w:ascii="Arial" w:cs="Arial" w:eastAsia="Arial" w:hAnsi="Arial"/>
                <w:sz w:val="18"/>
                <w:szCs w:val="18"/>
                <w:b w:val="1"/>
                <w:bCs w:val="1"/>
                <w:color w:val="auto"/>
              </w:rPr>
              <w:t>Position(s) with the Company</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Anastasia Nyrkovskaya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Clifford Weinstein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President of FLI Charge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Jason Charkow</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Senior Vice President of Legal and Business Affairs</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Jankowski</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Executive Officer of XpresSpa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(1)(2)(3)</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4480" w:type="dxa"/>
            <w:vAlign w:val="bottom"/>
            <w:gridSpan w:val="2"/>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(1)(2)(3)</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Richard K. Abbe*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R. Heyer*</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Current member of Compensation Committee.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Current member of Audit Committee.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Current member of Nominating and Corporate Governance Committee.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our Chief Executive Officer since March 2012, as our President from April 2010 to July 2012 and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September 2009. From February 2009 to March 2010, Mr. Perlman served as Vice President of Global Digital Business Development at EMI Music Group (“EMI”), where he was responsible for leading distribution deals with digital partners for EMI’s music and video content. From May 2007 to February 2009, Mr. Perlman was the General Manager of our operations in the United States and also served as our Senior Vice President Content &amp; Community, in which he led its content and social community partnerships. From June 2005 to May 2007, Mr. Perlman was Senior Vice President of Digital Media at Classic Media, Inc. (“Classic Media”),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marketing and mobile fan club company, where he oversaw mobile marketing campaigns for major international brands and certain major performing artists. Mr. Perlman currently serves on the Board of Directors of Neurotrope, Inc. Mr. Perlman holds a Bachelor of Arts (“B.A.”) in Business Administration from the School of Business and Public Management at The George Washington University.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We believe Mr. Perlman’s prior experience in licensing and deal structuring qualifies him to serve on our Board of Directors. His additional experience and insights gained over the past six years with us are a significant contribution to the company and the Board of Directors.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Anastasia Nyrkovskaya </w:t>
      </w:r>
      <w:r>
        <w:rPr>
          <w:rFonts w:ascii="Arial" w:cs="Arial" w:eastAsia="Arial" w:hAnsi="Arial"/>
          <w:sz w:val="18"/>
          <w:szCs w:val="18"/>
          <w:color w:val="auto"/>
        </w:rPr>
        <w:t>joined us in May 2013 as our Chief Financial Officer. Ms. Nyrkovskaya oversees all aspects of the finance and accounting functions,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SEC and internal financial reporting, budgeting and forecasting, mergers and acquisitions and business integrations, tax planning and reporting, human resources, and operational matters. Prior to joining us, from 2006, Ms. Nyrkovskaya served as Vice President and Assistant Global Controller and Vice President, Corporate Finance and Business Development at NBCUniversal Media, LLC (“NBCUniversal Media”). She was responsible for technical accounting areas, policies and internal controls. She also structured merger and acquisition transactions, partnerships, joint ventures and dispositions, as well as debt activities and restructurings.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Clifford Weinstein </w:t>
      </w:r>
      <w:r>
        <w:rPr>
          <w:rFonts w:ascii="Arial" w:cs="Arial" w:eastAsia="Arial" w:hAnsi="Arial"/>
          <w:sz w:val="17"/>
          <w:szCs w:val="17"/>
          <w:color w:val="auto"/>
        </w:rPr>
        <w:t>has served as our Executive Vice President since March 2012 and as President of FLI Charge since late 2015. Mr. Weinstein is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responsible for the FLI Charge operating segment. From 2003 to 2012, Mr. Weinstein was a partner and Senior Vice President of Institutional Sales at Maxim Group, an investment banking, securities and wealth management firm. Mr. Weinstein received his B.A. from Fordham University.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Jason Charkow </w:t>
      </w:r>
      <w:r>
        <w:rPr>
          <w:rFonts w:ascii="Arial" w:cs="Arial" w:eastAsia="Arial" w:hAnsi="Arial"/>
          <w:sz w:val="18"/>
          <w:szCs w:val="18"/>
          <w:color w:val="auto"/>
        </w:rPr>
        <w:t>has served as our Senior Vice President, Legal and Business Affairs, since June 2016 and is responsible for overseeing all of our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legal affairs and supporting our business activities. Mr. Charkow joined us in February 2012 as our Senior Intellectual Property Counsel and, in June 2014, became the Director of Legal and Intellectual Property, assuming responsibility for oversight of our world-wide intellectual property litigation and management of our intellectual property assets. Prior to joining us, Mr. Charkow was an attorney at Winston &amp; Strawn and Jones Day where he focused on intellectual property litigation, prosecution and counseling. Mr. Charkow has litigated complex patent infringement matters involving a range of telecommunications, computer and electronic technologies. Mr. Charkow earned a Juris Doctor from Hofstra University and holds a bachelor’s degree in mechanical engineering from Binghamton University.</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Edward Jankowski </w:t>
      </w:r>
      <w:r>
        <w:rPr>
          <w:rFonts w:ascii="Arial" w:cs="Arial" w:eastAsia="Arial" w:hAnsi="Arial"/>
          <w:sz w:val="17"/>
          <w:szCs w:val="17"/>
          <w:color w:val="auto"/>
        </w:rPr>
        <w:t>has served as our Senior Vice President since December 2016 and as XpresSpa’s Chief Executive Officer since June 2016. From 2012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Mr. Jankowski was the Vice President and General Manager of Luxury Retail at Luxottica, where he oversaw the Ilori and Optical Shop of Aspen and Persol retail stores. From 2007 to 2012, Mr. Jankowski was Senior Vice President and General Manager for Godiva Chocolatier, responsible for the $400 million North America multi-channel business, consisting of 240 retail stores, plus wholesale, direct, and interactive business. From 2001 to 2007, Mr. Jankowski was the Chief Operating Officer of Safilo Group’s Solstice sunglasses stores, where he opened 120 stores, oversaw store operations, merchandising, finance, planning/distribution, marketing and communications, loss prevention, real estate, visual and store design/development/construction. From 1999 to 2001, Mr. Jankowski was the President of Airport Shops Division of World Duty Free Americas, a division of B.A.A., where he was a member of the Senior Executive Committee, with responsibility for the $120 million Airport Division. From 1993 to 1999, Mr. Jankowski served as the Vice President/Director of Stores for Liz Claiborne, where he was a member of the Retail Executive Committee and led execution of business strategies, sales results and store profit. Prior to his position at Liz Claiborne, Mr. Jankowski held leadership positions at Casual Corner, Atherton Industries, Woman’s World, and Ganto’s. Mr. Jankowski began his career in 1975 as an Executive Trainee for R.H. Macy’s. Mr. Jankowski currently serves on the Board of Directors of the Accessories Council, FIT Accessories Advisory and the Elizabeth Carter Beach Association. Mr. Jankowski received his B.Sc. in management and commerce marketing from Rider University.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John Engelman </w:t>
      </w:r>
      <w:r>
        <w:rPr>
          <w:rFonts w:ascii="Arial" w:cs="Arial" w:eastAsia="Arial" w:hAnsi="Arial"/>
          <w:sz w:val="17"/>
          <w:szCs w:val="17"/>
          <w:color w:val="auto"/>
        </w:rPr>
        <w:t>has been our director since December 2010. Mr. Engelman also serves as an independent director of Hemisphere Media Group, Inc.,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publically traded Hispanic media company that owns and operates television stations and cable networks in the United States, Puerto Rico and Latin America. Mr. Engelman was a co-founder of Classic Media, Inc. (“Classic Media”), a global media company specializing in family and children’s entertainment where he served as co-chief executive officer until 2012.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In August 2016, DreamWorks was subsequently acquired by NBCUniversal, a division of Comcast Corporation. From 2007 to 2009, Mr. Engelman was co-chief executive officer of Boomerang Media, Inc. (“Boomerang Media”),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Classic Media and Boomerang Media are contributions to us and the Board of Directors.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19, 2012 and was a director of Innovate/Protect from November 7, 2011 through the consummation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Salvatore Giardina </w:t>
      </w:r>
      <w:r>
        <w:rPr>
          <w:rFonts w:ascii="Arial" w:cs="Arial" w:eastAsia="Arial" w:hAnsi="Arial"/>
          <w:sz w:val="18"/>
          <w:szCs w:val="18"/>
          <w:color w:val="auto"/>
        </w:rPr>
        <w:t>joined our Board of Directors on May 23, 2016. Mr. Giardina has served as Chief Financial Officer of Pragma Securities LLC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company, Pragma Weeden Holdings LLC, since 2009. From 2006 through 2008, Mr. Giardina served as S.V.P.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 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Bruce T. Bernstein </w:t>
      </w:r>
      <w:r>
        <w:rPr>
          <w:rFonts w:ascii="Arial" w:cs="Arial" w:eastAsia="Arial" w:hAnsi="Arial"/>
          <w:sz w:val="16"/>
          <w:szCs w:val="16"/>
          <w:color w:val="auto"/>
        </w:rPr>
        <w:t>joined our Board of Directors on February 8, 2016. Mr. Bernstein has over thirty years of experience in the securities industry,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 based blood glucose monitor distributor, based in New Jersey. Mr. Bernstein holds a B.B.A. from City University of New York (Baruch).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Richard K. Abbe </w:t>
      </w:r>
      <w:r>
        <w:rPr>
          <w:rFonts w:ascii="Arial" w:cs="Arial" w:eastAsia="Arial" w:hAnsi="Arial"/>
          <w:sz w:val="18"/>
          <w:szCs w:val="18"/>
          <w:color w:val="auto"/>
        </w:rPr>
        <w:t>joined our Board of Directors on March 9, 2016. Mr. Abbe is the Co-founder and is a Principal and Managing Partner of Iroquois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LLC, the Investment Advisor to Iroquois Capital LP and Iroquois Capital (offshore) Ltd. Mr. Abbe has served as Co-Chief Investment Officer of Iroquois Capital since its inception in 2003. Previously, Mr. Abbe co-founded and served as Co-Chief Investment Officer of Vertical Ventures, LLC, a merchant bank. Prior to that, he was employed by Lehman Brothers and served as Senior Managing Director at Gruntal &amp; Company, LLC, where he also served on the firm’s Board of Directors. Mr. Abbe also previously served as Founding Partner at Hampshire Securities. He currently serves on the investment committee of Hobart and William Smith Colleges endowment Fund.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believe Mr. Abbe’s extensive experience in the securities industry qualifies him to serve on our Board of Directors.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Andrew R. Heyer </w:t>
      </w:r>
      <w:r>
        <w:rPr>
          <w:rFonts w:ascii="Arial" w:cs="Arial" w:eastAsia="Arial" w:hAnsi="Arial"/>
          <w:sz w:val="16"/>
          <w:szCs w:val="16"/>
          <w:color w:val="auto"/>
        </w:rPr>
        <w:t>joined our Board of Directors on December 23, 2016. Mr. Heyer is the Chief Executive Officer and founder of Mistral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Shearman/American Express. Mr. Heyer serves as a director of Jamba, Inc. and The Hain Celestial Group, both of which are publicly traded companies. He also serves on the boards of Mistral’s portfolio companies. Mr. Heyer also serves as a member of the Executive Committee and Board of Trustees of the University of Pennsylvania and the University of Pennsylvania Health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believe Mr. Heyer’s extensive experience in the securities industry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2016 there were 23 meetings of our Board of Directors, and the various committees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met a total of 10 times. No director attended fewer than 75% of the total number of meetings of the Board of Directors and of committees of the Board of Directors on which he served during fiscal 2016. The Board of Directors has adopted a policy under which each member of the Board of Directors is strongly encouraged but not required to attend each annual meeting of our stockholders.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72"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five times during fiscal 2016. This committee currently has three (3) members, Salvatore Giardina (Chairman),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www.formholdings.com/corp_governance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met two times during fiscal 2016. This committee currently has two (2) members, Bruce 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Bernstein (Chairman) and Donald E. Stout.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shall conduct its decision 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2016, based on the recommendation of management, the Compensation Committee did not engage third party compensation consultants.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www.formholdings.com/corp_governance</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met four times during fiscal year 2016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has two (2) members, Bruce T. Bernstein and Donald E. Stout. The Nominating Committee’s role and responsibilities are set forth in the Nominating Committee’s written charter and is authorized to:</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91" w:lineRule="auto"/>
        <w:rPr>
          <w:sz w:val="20"/>
          <w:szCs w:val="20"/>
          <w:color w:val="auto"/>
        </w:rPr>
      </w:pPr>
      <w:r>
        <w:rPr>
          <w:rFonts w:ascii="Arial" w:cs="Arial" w:eastAsia="Arial" w:hAnsi="Arial"/>
          <w:sz w:val="16"/>
          <w:szCs w:val="16"/>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www.formholdings.com/corp_governance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Perlman currently serves as our Chief Executive Officer and leads all meetings of the Board of Directors. If the Board of Directors convenes for a special meeting, the non-management directors will meet in executive session if circumstances warrant. We do not currently have a chairman or lead independent director and believe that this current board structure is the appropriate structure.</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Board of Directors oversees our business and considers the risks associated with our business strategy and decisions. The Board of Directors currently implements its risk oversight function as a whole. The committees also provide risk oversight and report any material risks to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2016, with the exception of a Form 3 which was not filed on a timely basis with respect to one transaction on behalf of Edward Jankowski, a Form 3 which was not filed on a timely basis with respect to one transaction on behalf of Andrew Heyer and a Form 4 which was not filed on a timely basis with respect to one transaction on behalf of Salvatore Giardina.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adopted a code of ethics that applies to all of its employees. The text of the code of conduct and ethics is posted on the “Investors — Corporate Governance” section of our website at </w:t>
      </w:r>
      <w:r>
        <w:rPr>
          <w:rFonts w:ascii="Arial" w:cs="Arial" w:eastAsia="Arial" w:hAnsi="Arial"/>
          <w:sz w:val="16"/>
          <w:szCs w:val="16"/>
          <w:i w:val="1"/>
          <w:iCs w:val="1"/>
          <w:color w:val="auto"/>
        </w:rPr>
        <w:t>www.formholdings.com/corp_governance</w:t>
      </w:r>
      <w:r>
        <w:rPr>
          <w:rFonts w:ascii="Arial" w:cs="Arial" w:eastAsia="Arial" w:hAnsi="Arial"/>
          <w:sz w:val="16"/>
          <w:szCs w:val="16"/>
          <w:color w:val="auto"/>
        </w:rPr>
        <w:t>, and will be made available to stockholders without charge, upon request, in</w:t>
      </w:r>
    </w:p>
    <w:p>
      <w:pPr>
        <w:jc w:val="both"/>
        <w:spacing w:after="0" w:line="224" w:lineRule="auto"/>
        <w:rPr>
          <w:sz w:val="20"/>
          <w:szCs w:val="20"/>
          <w:color w:val="auto"/>
        </w:rPr>
      </w:pPr>
      <w:r>
        <w:rPr>
          <w:rFonts w:ascii="Arial" w:cs="Arial" w:eastAsia="Arial" w:hAnsi="Arial"/>
          <w:sz w:val="18"/>
          <w:szCs w:val="18"/>
          <w:color w:val="auto"/>
        </w:rPr>
        <w:t>writing to the Corporate Secretary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The NASDAQ Stock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shows the total compensation paid during the fiscal years ended December 31, 2016 and 2015 to (1) our Chief Executive Officer, (2) our President of FLI Charge and Executive Vice President, and (3) our Chief Financial Officer and Treasurer who are all of our named executive officers as of December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Salary</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80" w:type="dxa"/>
            <w:vAlign w:val="bottom"/>
          </w:tcPr>
          <w:p>
            <w:pPr>
              <w:ind w:left="1640"/>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3"/>
                <w:szCs w:val="23"/>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b w:val="1"/>
                <w:bCs w:val="1"/>
                <w:color w:val="auto"/>
              </w:rPr>
              <w:t>Year</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(1)</w:t>
            </w:r>
          </w:p>
        </w:tc>
        <w:tc>
          <w:tcPr>
            <w:tcW w:w="200" w:type="dxa"/>
            <w:vAlign w:val="bottom"/>
          </w:tcPr>
          <w:p>
            <w:pPr>
              <w:spacing w:after="0"/>
              <w:rPr>
                <w:sz w:val="23"/>
                <w:szCs w:val="23"/>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431,667</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1,235,440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Cliff Weinstein</w:t>
            </w: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366,667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1,235,440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333,333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540,505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317,197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in accordance with FASB ASC </w:t>
      </w:r>
      <w:r>
        <w:rPr>
          <w:rFonts w:ascii="Arial" w:cs="Arial" w:eastAsia="Arial" w:hAnsi="Arial"/>
          <w:sz w:val="16"/>
          <w:szCs w:val="16"/>
          <w:i w:val="1"/>
          <w:iCs w:val="1"/>
          <w:color w:val="auto"/>
        </w:rPr>
        <w:t>Topic 718</w:t>
      </w:r>
      <w:r>
        <w:rPr>
          <w:rFonts w:ascii="Arial" w:cs="Arial" w:eastAsia="Arial" w:hAnsi="Arial"/>
          <w:sz w:val="16"/>
          <w:szCs w:val="16"/>
          <w:color w:val="auto"/>
        </w:rPr>
        <w:t>. For the assumptions made in the valuation of our equity awards see Notes 2 and 11 to our consolidated financial statements included in our Annual Report on Form 10-K for the year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20, 2017, we entered into a new employment agreement with Mr. Perlman that superseded his prior employment agreement. Under the terms of this new employment agreement, Mr. Perlman’s annual base salary is $450,000, retroactive to January 1,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employment agreement is for a term of three (3) years, provided that the employment agreement shall extend in two (2) month increments for up to one (1) year thereafter for each month that the negotiations are not concluded prior to sixth months before the end of the term.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employment agreement provides that Mr. Perlman will be eligible to participate in any annual bonus and other incentive compensation program that we may adopt from time to time for our executive officers and if Mr. Perlman has earned any bonus or non-equity based incentive compensation which remains unpaid upon termination of employment for any reason, whether by Mr. Perlman or us other than for cause, then Mr. Perlman shall be entitled to receive a pro- rata portion of such incentive compensation at the time it is paid.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Mr. Perlman, or (ii) by us without Cause, Mr. Perlman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Perlman’s employment agreement means: (a) the willful and continued failure of Mr. Perlman to perform substantially his duties and responsibilities for us (other than any such failure resulting from his death or disability) after a written demand by the Board of Directors for substantial performance is delivered to Mr. Perlman by us,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our requirement that Mr. Perlman regularly report to work in a location that is more than fifty miles from our current New York office, without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our 2012 Employee, Director and Consultant Equity Incentive Plan); or (f) a material breach by us of Mr. Perlman’s employment agreement.</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unless Mr. Perlman is terminated for cause, all applicable equity awards held by him as of the date of termination of employment that would have vested in the one-year period immediately following such termination will vest during the following year, provided that Mr. Perlman makes himself reasonably available and cooperates with reasonable requests from us involving facts or events relating to us that Mr. Perlman may have knowledge of. In the event the employment agreement is terminated for good reason by Mr. Perlman, or by us without cause, and Mr. Perlman provides us with a release of claims, he shall be entitled to receive a cash severance payment in the amount of one times his then current base salary and one year of COBRA continuation coverage.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Cliff Weinstein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13, 2013, we entered into an employment agreement with Mr. Weinstein. Under the terms of the employment agreement, from January 1, 2015 through the remainder of the term of the employment agreement, Mr. Weinstein received a base salary of $325,000 and was eligible to participate in any annual bonus or other incentive compensation program that we may adopt from time to time for our executive officers.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13, 2015, we entered into an amendment to the existing employment agreement with Mr. Weinstein, pursuant to which, the employment period under the employment agreement was extended to December 31, 2017. In addition, as per the amendment, Mr. Weinstein remained eligible to receive an annual performance bonus according to corporate and personal goals as established by the Compensation Committee in its sole discretion.</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20, 2017, we entered into a second amendment to the employment agreement with Mr. Weinstein. The amendment provides that so long as Mr. Weinstein is employed on the date of a change of control of FLI Charge, he will be entitled to 5% of the amount equal to the total amount of cash and the fair market value of all non-cash consideration paid or payable to us or our stockholders in connection with the change of control of FLI Charge or in an initial public offering, net of expenses, the acquisition cost to us and any additional capital contributions made prior to the change of control.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Mr. Weinstein, or (ii) by us without Cause, Mr. Weinstein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Weinstein’s employment agreement means: (a) the willful and continued failure of Mr. Weinstein to perform substantially his duties and responsibilities for us (other than any such failure resulting from his death or disability) after a written demand by the Board of Directors for substantial performance is delivered to Mr. Weinstein by us, which specifically identifies the manner in which the Board of Directors believes that Mr. Weinstein has not substantially performed his duties and responsibilities, which willful and continued failure is not cured by Mr. Weinstein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Weinstein has engaged in fraud, dishonesty, gross negligence or misconduct which, if curable, has not been cured within thirty days after his receipt of a written notice from the Board of Directors stating with reasonable specificity the basis of such finding. “Good Reason” as used Mr. Weinstein’s employment agreement means (a) the assignment, without Mr. Weinstein’s consent, to Mr. Weinstein of duties that result in a substantial diminution of the duties that he assumed; provided, however, the failure of Mr. Weinstein to be reelected to the Board of Directors shall not be deemed to be a diminution of duties; (b) the assignment, without Mr. Weinstein’s consent, of a title that is subordinate to the title of Executive Vice President; (c) a reduction in Mr. Weinstein’s base salary; (d) our requirement that Mr. Weinstein regularly report to work in a location that is more than fifty miles from our current New York office, without Mr. Weinstein’s consent; (e) a change in reporting relationship, provided however, that Good Reason does not include a change in the reporting relationship whereby Mr. Weinstein will report to the Chief Executive Officer of an acquiring company after a change of control (as that term is defined in our 2012 Employee, Director and Consultant Equity Incentive Plan); or (f) a material breach by us of Mr. Weinstein’s employment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December 19, 2014, we entered into an employment agreement with Ms. Nyrkovskaya. Under the terms of her employment agreement, 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Nyrkovskaya’s annual base salary was $315,000.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shall be established by the Compensation Committee in its sole discretion.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20, 2017, we entered into an employment agreement with Ms. Nyrkovskaya that superseded her prior employment agreement. Under the terms of this new employment agreement, Ms. Nyrkovskaya will be entitled to receive a base salary of $375,000 from January 1, 2017.</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employment agreement is for a term of three (3) years, provided that the employment agreement shall extend in two (2) month increments for up to one (1) year thereafter for each month that the negotiations are not concluded prior to sixth months before the end of the term.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employment agreement provides that Ms. Nyrkovskaya will be eligible to participate in any annual bonus and other incentive compensation program that we may adopt from time to time for our executive officers and if Ms. Nyrkovskaya has earned any bonus or non-equity based incentive compensation which remains unpaid upon termination of employment for any reason, whether by Ms. Nyrkovskaya or us other than for cause, then Ms. Nyrkovskaya shall be entitled to receive a pro- rata portion of such incentive compensation at the time it is paid.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Ms. Nyrkovskaya, or (ii) by us without Cause, Ms. Nyrkovskaya shall be entitled to receive an amount of base salary at the rate of base salary in effect immediately prior to such termination equal to twelve months of base salary, and COBRA continuation coverage paid in full by us for up to a maximum of twelve months following the date of termination. In case the agreement is terminated by Ms. Nyrkovskaya without Good Reason, she shall provide us with a written notice, at least ninety calendar days prior to such termination. "Cause" as used in Ms. Nyrkovskaya’s employment agreement means: (a) the willful and continued failure of Ms. Nyrkovskaya to perform substantially her duties and responsibilities for us (other than any such failure resulting from her death or disability) after a written demand by the chief executive officer for substantial performance is delivered to Ms. Nyrkovskaya by us,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our requirement that Ms. Nyrkovskaya regularly report to work in a location that is more than fifty miles from our current New York office, without Ms. Nyrkovskaya’s consent; (e) a material breach by us of the agreement during its term. Ms. Nyrkovskaya’s employment agreement also includes a covenant not to compete with us or solicit any material commercial relationships of ours for a period of one year after Ms. Nyrkovskaya is actually no longer employed by us</w:t>
      </w:r>
      <w:r>
        <w:rPr>
          <w:rFonts w:ascii="Arial" w:cs="Arial" w:eastAsia="Arial" w:hAnsi="Arial"/>
          <w:sz w:val="17"/>
          <w:szCs w:val="17"/>
          <w:b w:val="1"/>
          <w:bCs w:val="1"/>
          <w:color w:val="auto"/>
        </w:rPr>
        <w: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unless Ms. Nyrkovskaya is terminated for cause, all applicable equity awards held by her as of the date of termination of employment that would have vested in the one-year period immediately following such termination will vest during the following year, provided that Ms. Nyrkovskaya makes herself reasonably available and cooperates with reasonable requests from us involving facts or events relating to us that Ms. Nyrkovskaya may have knowledge of. In the event the employment agreement is terminated for good reason by Ms. Nyrkovskaya, or by us without cause, and Ms. Nyrkovskaya provides us with a release of claims, she shall be entitled to receive a cash severance payment in the amount of one times her then current base salary and one year of COBRA continuation coverage.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Fiscal Year 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2016, to each of our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Options Awards</w:t>
            </w:r>
          </w:p>
        </w:tc>
        <w:tc>
          <w:tcPr>
            <w:tcW w:w="2280" w:type="dxa"/>
            <w:vAlign w:val="bottom"/>
            <w:tcBorders>
              <w:bottom w:val="single" w:sz="8" w:color="auto"/>
            </w:tcBorders>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Number</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of securities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of securities</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 options</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Option exercise</w:t>
            </w:r>
          </w:p>
        </w:tc>
        <w:tc>
          <w:tcPr>
            <w:tcW w:w="2280" w:type="dxa"/>
            <w:vAlign w:val="bottom"/>
          </w:tcPr>
          <w:p>
            <w:pPr>
              <w:spacing w:after="0"/>
              <w:rPr>
                <w:sz w:val="18"/>
                <w:szCs w:val="18"/>
                <w:color w:val="auto"/>
              </w:rPr>
            </w:pPr>
          </w:p>
        </w:tc>
      </w:tr>
      <w:tr>
        <w:trPr>
          <w:trHeight w:val="234"/>
        </w:trPr>
        <w:tc>
          <w:tcPr>
            <w:tcW w:w="4120" w:type="dxa"/>
            <w:vAlign w:val="bottom"/>
            <w:gridSpan w:val="2"/>
          </w:tcPr>
          <w:p>
            <w:pPr>
              <w:ind w:left="1780"/>
              <w:spacing w:after="0"/>
              <w:rPr>
                <w:sz w:val="20"/>
                <w:szCs w:val="20"/>
                <w:color w:val="auto"/>
              </w:rPr>
            </w:pPr>
            <w:r>
              <w:rPr>
                <w:rFonts w:ascii="Arial" w:cs="Arial" w:eastAsia="Arial" w:hAnsi="Arial"/>
                <w:sz w:val="18"/>
                <w:szCs w:val="18"/>
                <w:b w:val="1"/>
                <w:bCs w:val="1"/>
                <w:color w:val="auto"/>
              </w:rPr>
              <w:t>Name</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 exercisable</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 un-exercisable</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price ($)</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Option expiration date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31, 2017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Andrew D. Perlman</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32,816</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26, 2022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Andrew D. Perlman</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62,500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11, 2023</w:t>
            </w:r>
          </w:p>
        </w:tc>
      </w:tr>
      <w:tr>
        <w:trPr>
          <w:trHeight w:val="257"/>
        </w:trPr>
        <w:tc>
          <w:tcPr>
            <w:tcW w:w="4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2026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Cliff Weinstein</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15,250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 Weinstein</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26, 2022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Cliff Weinstein</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42,500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11, 2023</w:t>
            </w:r>
          </w:p>
        </w:tc>
      </w:tr>
      <w:tr>
        <w:trPr>
          <w:trHeight w:val="257"/>
        </w:trPr>
        <w:tc>
          <w:tcPr>
            <w:tcW w:w="4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Cliff Weinstein</w:t>
            </w:r>
            <w:r>
              <w:rPr>
                <w:rFonts w:ascii="Arial" w:cs="Arial" w:eastAsia="Arial" w:hAnsi="Arial"/>
                <w:sz w:val="29"/>
                <w:szCs w:val="29"/>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2026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Anastasia Nyrkovskaya</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28.50</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May 6, 2023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20, 2024</w:t>
            </w:r>
          </w:p>
        </w:tc>
      </w:tr>
      <w:tr>
        <w:trPr>
          <w:trHeight w:val="390"/>
        </w:trPr>
        <w:tc>
          <w:tcPr>
            <w:tcW w:w="4120" w:type="dxa"/>
            <w:vAlign w:val="bottom"/>
            <w:gridSpan w:val="2"/>
          </w:tcPr>
          <w:p>
            <w:pPr>
              <w:spacing w:after="0"/>
              <w:rPr>
                <w:sz w:val="20"/>
                <w:szCs w:val="20"/>
                <w:color w:val="auto"/>
              </w:rPr>
            </w:pPr>
            <w:r>
              <w:rPr>
                <w:rFonts w:ascii="Arial" w:cs="Arial" w:eastAsia="Arial" w:hAnsi="Arial"/>
                <w:sz w:val="18"/>
                <w:szCs w:val="18"/>
                <w:color w:val="auto"/>
              </w:rPr>
              <w:t>Anastasia Nyrkovskaya</w:t>
            </w:r>
            <w:r>
              <w:rPr>
                <w:rFonts w:ascii="Arial" w:cs="Arial" w:eastAsia="Arial" w:hAnsi="Arial"/>
                <w:sz w:val="30"/>
                <w:szCs w:val="30"/>
                <w:color w:val="auto"/>
                <w:vertAlign w:val="superscript"/>
              </w:rPr>
              <w:t>(1)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87,500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262,500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April 4, 2026</w:t>
            </w:r>
          </w:p>
        </w:tc>
      </w:tr>
    </w:tbl>
    <w:p>
      <w:pPr>
        <w:spacing w:after="0" w:line="68"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$2.13, the closing price of our common stock on NASDAQ on December 31, 2016, the last day of our fiscal year.</w:t>
      </w:r>
    </w:p>
    <w:p>
      <w:pPr>
        <w:spacing w:after="0" w:line="170" w:lineRule="exact"/>
        <w:rPr>
          <w:sz w:val="20"/>
          <w:szCs w:val="20"/>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Vests in twelve equal quarterly increments (8.33% per quarter) over the three years, subject to the participant's continuous service on the relevant vesting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summarizes the potential payments to each of our named executive officers as of December 31, 2016 upon termination or change-in-control. The discussion assumes that such event occurred on December 30, 2016, the last business day of our fiscal year, at which time the closing price of our common stock as listed on NASDAQ was $2.13 per share. For a further discussion of these provisions see the “Narrative Disclosure to Summary Compensation Table and Grants of Plan-Based Awards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Mr. Perlman’s employment was terminated for (i) Good Reason by Mr. Perlman, or (ii) by us without Cause on December 31, 2016, Mr. Perlman would have received severance in the amount of one year of base salary, and COBRA payments totaling approximately $40,775. In addition, in the event a change-in-control had occurred on December 31, 2016, Mr. Perlman would have received severance in the amount of one year of base salary, or $435,000, and Mr. Perlman would have been entitled to receive 75% acceleration of certain unvested options, which had an intrinsic value of $348,000 as of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Cliff Weinstein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Mr. Weinstein’s employment was terminated for (i) Good Reason by Mr. Weinstein, or (ii) by us without Cause on December 31, 2016, Mr. Weinstein would have received severance in the amount of one year of base salary, or $375,000, and COBRA payments totaling approximately $40,775. In addition, upon a change-in-control, Mr. Weinstein would have been entitled to receive 75% acceleration of certain unvested options, which had an intrinsic value of $348,000 as of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Ms. Nyrkovskaya’s employment was terminated for (i) Good Reason by Ms. Nyrkovskaya, or (ii) by us without Cause on December 31, 2016, Ms. Nyrkovskaya would have received severance in the amount of one year of base salary, or $325,000, and COBRA payments totaling approximately $40,775. In addition, upon a change-in-control, Ms. Nyrkovskaya would have been entitled to receive 75% acceleration of certain unvested options, which had an intrinsic value of $152,250 as of December 31, 2016.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2016. Directors who are employed by us are not compensated for their service on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Fees Earned or</w:t>
            </w: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Option Awards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Paid in Cash</w:t>
            </w:r>
          </w:p>
        </w:tc>
        <w:tc>
          <w:tcPr>
            <w:tcW w:w="1440" w:type="dxa"/>
            <w:vAlign w:val="bottom"/>
            <w:gridSpan w:val="2"/>
            <w:vMerge w:val="continue"/>
          </w:tcPr>
          <w:p>
            <w:pPr>
              <w:spacing w:after="0"/>
              <w:rPr>
                <w:sz w:val="15"/>
                <w:szCs w:val="15"/>
                <w:color w:val="auto"/>
              </w:rPr>
            </w:pPr>
          </w:p>
        </w:tc>
        <w:tc>
          <w:tcPr>
            <w:tcW w:w="1360" w:type="dxa"/>
            <w:vAlign w:val="bottom"/>
            <w:gridSpan w:val="2"/>
          </w:tcPr>
          <w:p>
            <w:pPr>
              <w:ind w:left="44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auto"/>
            </w:tcBorders>
          </w:tcPr>
          <w:p>
            <w:pPr>
              <w:ind w:left="326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3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 xml:space="preserve"> (1)</w:t>
            </w:r>
          </w:p>
        </w:tc>
        <w:tc>
          <w:tcPr>
            <w:tcW w:w="2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John Engelman</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40,814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90,814</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40,814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90,814</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18,407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54,177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72,584</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44,780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48,976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93,756</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(6)</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40,814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81,473</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Andrew R. Heyer</w:t>
            </w:r>
            <w:r>
              <w:rPr>
                <w:rFonts w:ascii="Arial" w:cs="Arial" w:eastAsia="Arial" w:hAnsi="Arial"/>
                <w:sz w:val="29"/>
                <w:szCs w:val="29"/>
                <w:color w:val="auto"/>
                <w:vertAlign w:val="superscript"/>
              </w:rPr>
              <w:t>(7)</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(8)</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(9)</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6,774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(10)</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Amounts represent the aggregate grant date fair value in accordance with FASB ASC </w:t>
      </w:r>
      <w:r>
        <w:rPr>
          <w:rFonts w:ascii="Arial" w:cs="Arial" w:eastAsia="Arial" w:hAnsi="Arial"/>
          <w:sz w:val="17"/>
          <w:szCs w:val="17"/>
          <w:i w:val="1"/>
          <w:iCs w:val="1"/>
          <w:color w:val="auto"/>
        </w:rPr>
        <w:t>Topic 718</w:t>
      </w:r>
      <w:r>
        <w:rPr>
          <w:rFonts w:ascii="Arial" w:cs="Arial" w:eastAsia="Arial" w:hAnsi="Arial"/>
          <w:sz w:val="17"/>
          <w:szCs w:val="17"/>
          <w:color w:val="auto"/>
        </w:rPr>
        <w:t>. See Notes 2 and 11 of the consolidated financial statements disclosed in the Form 10-K for the year ended December 31, 2016, for the assumptions made in the valuation of the equity awards.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2016, Mr. Engelman held 115,250 fully vested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2016, Mr. Stout held 96,618 fully vested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Giardina joined our Board of Directors in May 2016. As of December 31, 2016, Mr. Giardina held 45,000 fully vested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Bernstein joined our Board of Directors in February 2016. As of December 31, 2016, Mr. Bernstein held 60,000 fully vested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Abbe joined our Board of Directors in March 2016. As of December 31, 2016, Mr. Abbe held 50,000 fully vested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Heyer joined our Board of Directors in December 2016. As of December 31, 2016, Mr. Heyer did not hold any fully vested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Keller resigned from our Board of Directors in February 2016. As of December 31, 2016, Mr. Keller did not hold any fully vested options.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Spiegel resigned from our Board of Directors in March 2016. As of December 31, 2016, Mr. Spiegel did not hold any fully vested options.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Sinclair resigned from our Board of Directors in March 2016. As of December 31, 2016, Mr. Sinclair did not hold any fully vested options.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On February 8, 2016, Mr. Ashley C. Keller resigned from his position as a member of the Board of Directors and as a member of all committees of the Board of Directors on which he served. Upon the recommendation of the Nominating and Corporate Governance Committee, the Board of Directors appointed Mr. Bruce T. Bernstein as a member of the Board of Directors, effective immediately, to fill the vacancy created by the resignation of Mr. Keller from the Board of Directors and to hold office until his successor is duly elected and qualified.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11, 2016, Mr. Noel J. Spiegel resigned from his position as a member of the Board of Directors and as a member of all committees of the Board of Directors on which he served. On March 12, 2016, Mr. H. Van Sinclair resigned from his position as a member of the Board of Directors and as a member of all committees of the Board of Directors on which he served.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9, 2016, upon the recommendation of the Nominating and Corporate Governance Committee, the Board of Directors appointed Mr. Richard K. Abbe as a member of the Board of Directors, effective immediately. On May 19, 2016, upon the recommendation of the Nominating and Corporate Governance Committee, the Board of Directors appointed Salvatore Giardina as a member of the Board of Directors, effective immediately.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23, 2016, upon the recommendation of the Nominating and Corporate Governance Committee, the Board of Directors appointed Mr. Andrew R. Heyer as a member of the Board of Directors, effective immediately.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4, 2016, we granted options to purchase shares of our common stock to each of our non-employee directors and we agreed to pay each of our non-employee directors an annual cash retainer of $50,000 payable quarterly in arrears for services in 2016. Messrs. Engelman, Stout, and Abbe were each granted options to purchase 50,000 shares of our common stock and Mr. Bernstein was granted options to purchase 60,000 shares of our common stock at an exercise price of $1.55 per share, which vested evenly over four quarters, with the first vesting date on April 4, 2016 and then vesting at the end of each fiscal quarter.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his appointment to the Board of Directors on May 19, 2016, Mr. Giardina was granted options to purchase 60,000 shares of our common stock at an exercise price of $1.72 on that same date, which vested evenly over four quarters, with the first vesting date on June 30, 2016 and then vesting at the end of each fiscal quarter.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aggregate information, as of December 31, 2016, with respect to all of our equity compensation plans then in effect: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w:t>
            </w:r>
          </w:p>
        </w:tc>
      </w:tr>
      <w:tr>
        <w:trPr>
          <w:trHeight w:val="414"/>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 of securities</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 of securities</w:t>
            </w:r>
          </w:p>
        </w:tc>
        <w:tc>
          <w:tcPr>
            <w:tcW w:w="10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to be issued</w:t>
            </w:r>
          </w:p>
        </w:tc>
        <w:tc>
          <w:tcPr>
            <w:tcW w:w="15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5"/>
              </w:rPr>
              <w:t>average exercise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upon exercise of</w:t>
            </w: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outstanding</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options,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warrants and</w:t>
            </w:r>
          </w:p>
        </w:tc>
        <w:tc>
          <w:tcPr>
            <w:tcW w:w="1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warrants and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rights</w:t>
            </w:r>
          </w:p>
        </w:tc>
        <w:tc>
          <w:tcPr>
            <w:tcW w:w="1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rights ($)</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column (a))</w:t>
            </w:r>
          </w:p>
        </w:tc>
      </w:tr>
      <w:tr>
        <w:trPr>
          <w:trHeight w:val="199"/>
        </w:trPr>
        <w:tc>
          <w:tcPr>
            <w:tcW w:w="66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Total equity compensation plans approved by</w:t>
            </w:r>
          </w:p>
        </w:tc>
        <w:tc>
          <w:tcPr>
            <w:tcW w:w="2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7"/>
        </w:trPr>
        <w:tc>
          <w:tcPr>
            <w:tcW w:w="6860" w:type="dxa"/>
            <w:vAlign w:val="bottom"/>
            <w:gridSpan w:val="2"/>
            <w:shd w:val="clear" w:color="auto" w:fill="CCEEFF"/>
          </w:tcPr>
          <w:p>
            <w:pPr>
              <w:ind w:left="200"/>
              <w:spacing w:after="0" w:line="266"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(1),(2)</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3,674,983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3,115,843</w:t>
            </w:r>
          </w:p>
        </w:tc>
      </w:tr>
      <w:tr>
        <w:trPr>
          <w:trHeight w:val="205"/>
        </w:trPr>
        <w:tc>
          <w:tcPr>
            <w:tcW w:w="686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0"/>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9.94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plans consist of the 2012 Plan, as amended on November 23, 2016, and the 2006 Plan. Under the amended 2012 Plan, a maximum of 7,100,000 shares of common stock may be awarded. The 2012 Plan was originally approved by our stockholders on July 19, 2012, following the merger with Innovate/Protect, replacing our then existing 2006 Plan.</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numbers of securities to be issued upon exercise of outstanding equities are 3,586,167 and 88,816 for the 2012 Plan and the 2006 Plan, respectively. The weighted-average exercise prices of outstanding options are $7.25 and $21.65 for the 2012 Plan and the 2006 Plan, respectively.</w:t>
      </w:r>
    </w:p>
    <w:p>
      <w:pPr>
        <w:spacing w:after="0" w:line="123"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plan consists of Innovate/Protect’s 2011 Equity Incentive Plan assumed by us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(after giving effect to the one-for-ten reverse stock split). As of the merger, no further issuances can be made under this plan and any forfeitures cannot be reused.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30, 2017 for (a) each stockholder known by us to own beneficially more than 5% of our common stock (b) our named executive officers, (c) each of our directors,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30, 2017 pursuant to the exercise of options or warrants, and vesting of RSUs to be outstanding for the purpose of computing the percentage ownership of such individual or group. However, such shares of common stock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19,459,027 shares of common stock outstanding on April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Amount and Nature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(1)</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Beneficial</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gridSpan w:val="2"/>
            <w:vMerge w:val="continue"/>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Percent of Class</w:t>
            </w:r>
          </w:p>
        </w:tc>
        <w:tc>
          <w:tcPr>
            <w:tcW w:w="0" w:type="dxa"/>
            <w:vAlign w:val="bottom"/>
          </w:tcPr>
          <w:p>
            <w:pPr>
              <w:spacing w:after="0"/>
              <w:rPr>
                <w:sz w:val="1"/>
                <w:szCs w:val="1"/>
                <w:color w:val="auto"/>
              </w:rPr>
            </w:pPr>
          </w:p>
        </w:tc>
      </w:tr>
      <w:tr>
        <w:trPr>
          <w:trHeight w:val="210"/>
        </w:trPr>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040" w:type="dxa"/>
            <w:vAlign w:val="bottom"/>
            <w:gridSpan w:val="2"/>
          </w:tcPr>
          <w:p>
            <w:pPr>
              <w:spacing w:after="0" w:line="242" w:lineRule="exact"/>
              <w:rPr>
                <w:sz w:val="20"/>
                <w:szCs w:val="20"/>
                <w:color w:val="auto"/>
              </w:rPr>
            </w:pPr>
            <w:r>
              <w:rPr>
                <w:rFonts w:ascii="Arial" w:cs="Arial" w:eastAsia="Arial" w:hAnsi="Arial"/>
                <w:sz w:val="17"/>
                <w:szCs w:val="17"/>
                <w:color w:val="auto"/>
              </w:rPr>
              <w:t>Mistral Spa Holdings, LLC</w:t>
            </w:r>
            <w:r>
              <w:rPr>
                <w:rFonts w:ascii="Arial" w:cs="Arial" w:eastAsia="Arial" w:hAnsi="Arial"/>
                <w:sz w:val="28"/>
                <w:szCs w:val="28"/>
                <w:color w:val="auto"/>
                <w:vertAlign w:val="superscript"/>
              </w:rPr>
              <w:t>(2)</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650 Fifth Avenue, Floor 31</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5,701,637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40" w:type="dxa"/>
            <w:vAlign w:val="bottom"/>
            <w:gridSpan w:val="2"/>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(3)</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730,640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(4)</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40" w:type="dxa"/>
            <w:vAlign w:val="bottom"/>
            <w:gridSpan w:val="2"/>
          </w:tcPr>
          <w:p>
            <w:pPr>
              <w:spacing w:after="0" w:line="256" w:lineRule="exact"/>
              <w:rPr>
                <w:sz w:val="20"/>
                <w:szCs w:val="20"/>
                <w:color w:val="auto"/>
              </w:rPr>
            </w:pPr>
            <w:r>
              <w:rPr>
                <w:rFonts w:ascii="Arial" w:cs="Arial" w:eastAsia="Arial" w:hAnsi="Arial"/>
                <w:sz w:val="18"/>
                <w:szCs w:val="18"/>
                <w:color w:val="auto"/>
              </w:rPr>
              <w:t>Clifford Weinstein</w:t>
            </w:r>
            <w:r>
              <w:rPr>
                <w:rFonts w:ascii="Arial" w:cs="Arial" w:eastAsia="Arial" w:hAnsi="Arial"/>
                <w:sz w:val="29"/>
                <w:szCs w:val="29"/>
                <w:color w:val="auto"/>
                <w:vertAlign w:val="superscript"/>
              </w:rPr>
              <w:t>(5)</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405,001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Edward Jankowski</w:t>
            </w:r>
            <w:r>
              <w:rPr>
                <w:rFonts w:ascii="Arial" w:cs="Arial" w:eastAsia="Arial" w:hAnsi="Arial"/>
                <w:sz w:val="29"/>
                <w:szCs w:val="29"/>
                <w:color w:val="auto"/>
                <w:vertAlign w:val="superscript"/>
              </w:rPr>
              <w:t>(6)</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41,667</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40" w:type="dxa"/>
            <w:vAlign w:val="bottom"/>
            <w:gridSpan w:val="2"/>
          </w:tcPr>
          <w:p>
            <w:pPr>
              <w:spacing w:after="0" w:line="256" w:lineRule="exact"/>
              <w:rPr>
                <w:sz w:val="20"/>
                <w:szCs w:val="20"/>
                <w:color w:val="auto"/>
              </w:rPr>
            </w:pPr>
            <w:r>
              <w:rPr>
                <w:rFonts w:ascii="Arial" w:cs="Arial" w:eastAsia="Arial" w:hAnsi="Arial"/>
                <w:sz w:val="18"/>
                <w:szCs w:val="18"/>
                <w:color w:val="auto"/>
              </w:rPr>
              <w:t>Jason Charkow</w:t>
            </w:r>
            <w:r>
              <w:rPr>
                <w:rFonts w:ascii="Arial" w:cs="Arial" w:eastAsia="Arial" w:hAnsi="Arial"/>
                <w:sz w:val="29"/>
                <w:szCs w:val="29"/>
                <w:color w:val="auto"/>
                <w:vertAlign w:val="superscript"/>
              </w:rPr>
              <w:t>(7)</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118,750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(8)</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171,908</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40" w:type="dxa"/>
            <w:vAlign w:val="bottom"/>
            <w:gridSpan w:val="2"/>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(9)</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242,352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(10)</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40" w:type="dxa"/>
            <w:vAlign w:val="bottom"/>
            <w:gridSpan w:val="2"/>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(11)</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925,074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(12)</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611,975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8040" w:type="dxa"/>
            <w:vAlign w:val="bottom"/>
            <w:gridSpan w:val="2"/>
          </w:tcPr>
          <w:p>
            <w:pPr>
              <w:spacing w:after="0" w:line="256" w:lineRule="exact"/>
              <w:rPr>
                <w:sz w:val="20"/>
                <w:szCs w:val="20"/>
                <w:color w:val="auto"/>
              </w:rPr>
            </w:pPr>
            <w:r>
              <w:rPr>
                <w:rFonts w:ascii="Arial" w:cs="Arial" w:eastAsia="Arial" w:hAnsi="Arial"/>
                <w:sz w:val="18"/>
                <w:szCs w:val="18"/>
                <w:color w:val="auto"/>
              </w:rPr>
              <w:t>Andrew R. Heyer</w:t>
            </w:r>
            <w:r>
              <w:rPr>
                <w:rFonts w:ascii="Arial" w:cs="Arial" w:eastAsia="Arial" w:hAnsi="Arial"/>
                <w:sz w:val="29"/>
                <w:szCs w:val="29"/>
                <w:color w:val="auto"/>
                <w:vertAlign w:val="superscript"/>
              </w:rPr>
              <w:t>(2)(13)</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5,701,637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8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officers as a group (11 individuals)</w:t>
            </w:r>
            <w:r>
              <w:rPr>
                <w:rFonts w:ascii="Arial" w:cs="Arial" w:eastAsia="Arial" w:hAnsi="Arial"/>
                <w:sz w:val="29"/>
                <w:szCs w:val="29"/>
                <w:color w:val="auto"/>
                <w:vertAlign w:val="superscript"/>
              </w:rPr>
              <w:t>(14)</w:t>
            </w:r>
            <w:r>
              <w:rPr>
                <w:rFonts w:ascii="Arial" w:cs="Arial" w:eastAsia="Arial" w:hAnsi="Arial"/>
                <w:sz w:val="18"/>
                <w:szCs w:val="18"/>
                <w:color w:val="auto"/>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9,300,605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31"/>
          <w:szCs w:val="31"/>
          <w:color w:val="auto"/>
          <w:vertAlign w:val="superscript"/>
        </w:rPr>
      </w:pPr>
      <w:r>
        <w:rPr>
          <w:rFonts w:ascii="Arial" w:cs="Arial" w:eastAsia="Arial" w:hAnsi="Arial"/>
          <w:sz w:val="16"/>
          <w:szCs w:val="16"/>
          <w:color w:val="auto"/>
        </w:rPr>
        <w:t>Unless otherwise indicated, the business address of the individuals is c/o FORM Holdings Corp.,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w:t>
      </w:r>
    </w:p>
    <w:p>
      <w:pPr>
        <w:spacing w:after="0" w:line="112" w:lineRule="exact"/>
        <w:rPr>
          <w:rFonts w:ascii="Arial" w:cs="Arial" w:eastAsia="Arial" w:hAnsi="Arial"/>
          <w:sz w:val="31"/>
          <w:szCs w:val="31"/>
          <w:color w:val="auto"/>
          <w:vertAlign w:val="superscript"/>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 2,338,690 shares of common stock, (b) warrants to purchase 1,588,116 shares of common stock at the exercise price of $3.00 per share, and</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(c) 289,555 shares of preferred stock (which are initially convertible at $6.00 per share into 1,737,332 shares of common stock).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left="332"/>
        <w:spacing w:after="0" w:line="273" w:lineRule="auto"/>
        <w:rPr>
          <w:sz w:val="20"/>
          <w:szCs w:val="20"/>
          <w:color w:val="auto"/>
        </w:rPr>
      </w:pPr>
      <w:r>
        <w:rPr>
          <w:rFonts w:ascii="Arial" w:cs="Arial" w:eastAsia="Arial" w:hAnsi="Arial"/>
          <w:sz w:val="19"/>
          <w:szCs w:val="19"/>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Mr. Heyer’s business address is c/o Mistral Capital Management, LLC, 650 Fifth Avenue, 31st Floor, New York, NY 10019.</w:t>
      </w:r>
    </w:p>
    <w:p>
      <w:pPr>
        <w:spacing w:after="0" w:line="200" w:lineRule="exact"/>
        <w:rPr>
          <w:sz w:val="20"/>
          <w:szCs w:val="20"/>
          <w:color w:val="auto"/>
        </w:rPr>
      </w:pPr>
    </w:p>
    <w:p>
      <w:pPr>
        <w:spacing w:after="0" w:line="239" w:lineRule="exact"/>
        <w:rPr>
          <w:sz w:val="20"/>
          <w:szCs w:val="20"/>
          <w:color w:val="auto"/>
        </w:rPr>
      </w:pPr>
    </w:p>
    <w:p>
      <w:pPr>
        <w:ind w:left="332" w:hanging="332"/>
        <w:spacing w:after="0" w:line="277"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606,149 shares of our common stock and warrants to purchase 4,000 shares of our common stock exercisable within 60 days of April 30, 2017.</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247,500 shares of our common stock exercisable within 60 days of April 30,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333,333 shares of our common stock exercisable within 60 days of April 30,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41,667 shares of our common stock exercisable within 60 days of April 30, 2017.</w:t>
      </w:r>
    </w:p>
    <w:p>
      <w:pPr>
        <w:spacing w:after="0" w:line="252"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118,750 shares of our common stock exercisable within 60 days of April 30,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149,500 shares of our common stock exercisable within 60 days of April 30, 2017.</w:t>
      </w:r>
    </w:p>
    <w:p>
      <w:pPr>
        <w:spacing w:after="0" w:line="252"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120,000 shares of our common stock and warrants to purchase 30,220 shares of our common stock exercisable within 60 days of April 30, 2017.</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102,500 shares of our common stock exercisable within 60 days of April 30,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102,500 shares of our common stock exercisable within 60 days of April 30,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87,500 shares of our common stock exercisable within 60 days of April 30, 2017.</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to purchase 37,500 shares of our common stock exercisable within 60 days of April 30,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footnotes (2) through (13).</w:t>
      </w: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we entered into the following related party transactions: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engaged various parties to perform valuations, legal, financial and tax due diligence associated with the XpresSpa acquisition and other merger and acquisition projects. Among the service providers, we engaged RedRidge Lender Services LLC (“RedRidge”) to perform financial due diligence regarding the acquisition of XpresSpa. Andrew Perlman, our Chief Executive Officer, and certain members of his family own a minority equity position in RedRidge, which may be considered a related party. The audit committee of our Board of Directors reviewed and approved the engagement of RedRidge. The fee for the XpresSpa engagement was $101,000 and the fees for other engagements were $60,000 all of which were incurred during the year ended December 31, 2016 and are reflected in the general and administrative expense in the consolidated statements of operations and comprehensive loss.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entered in a credit agreement and secured promissory note (“Debt”) with Rockmore Investment Master Fund Ltd. (“Rockmore”) on April 22, 2015 that was amended on August 8, 2016. The principal amount of the debt is $6,500,000. Rockmore is an investment entity controlled by our board member, Bruce T. Bernstein. We believe the terms of the Debt were reflective of market rates as of the time of issuance. In addition, we paid $212,000 to Bruce T. Bernstein in March 2017 for the legal costs incurred in conjunction with the acquisition of XpresSpa and Amiral legal proceedings prior to the completion of the acquisition, as he was indemnified by XpresSpa. These costs are included in the accounts payable, accrued expenses and other current liabilities in the consolidated balance sheet as of December 31, 2016.</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On July 1, 2016, we repaid in full the amended Senior Secured Convertible Notes (“Notes”), which we entered into in 2015, including a fee for early repayment, in the amount of $2,011,000. The Notes were held by the investors, which included entities controlled by our board member, Richard Abbe, who joined our Board of Directors in March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we believe that Messrs. Engelman, Stout, Giardina, Bernstein, Heyer and Abbe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has also determined that each member of the Audit Committee, the Compensation Committee and the Nominating and Corporate Governance Committee meets the independence requirements applicable to each such committee member prescribed by NASDAQ and the SEC. The Board has further determined that Messrs. Giardina and Bernstein are “audit committee financial experts” as defined in the rules of the SEC.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CohnReznick LLP was selected by our Audit Committee as our independent registered public accounting firm for the fiscal year ended December 31, 2016. This selection was ratified by our stockholders at the 2016 annual meeting held on November 28, 2016. In deciding to select CohnReznick LLP, the Audit Committee carefully considered the qualifications of CohnReznick LLP, including its reputation for integrity, quality, and competence in the fields of accounting and auditing. Further, the Audit Committee reviewed auditor independence issues and existing commercial relationships with CohnReznick LLP. The Audit Committee concluded that independence of CohnReznick LLP was not impaired for the fiscal years ended December 31, 2016 and 2015. Prior to July 2015, KPMG LLP served as our independent registered public accounting firm. For the fiscal years ended December 31, 2016 and 2015, we incurred the following fees for the services of CohnReznick LLP and KPMG LLP.</w:t>
      </w:r>
    </w:p>
    <w:p>
      <w:pPr>
        <w:spacing w:after="0" w:line="187" w:lineRule="exact"/>
        <w:rPr>
          <w:sz w:val="20"/>
          <w:szCs w:val="20"/>
          <w:color w:val="auto"/>
        </w:rPr>
      </w:pPr>
    </w:p>
    <w:p>
      <w:pPr>
        <w:ind w:left="8920"/>
        <w:spacing w:after="0"/>
        <w:tabs>
          <w:tab w:leader="none" w:pos="1050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spacing w:after="0"/>
        <w:tabs>
          <w:tab w:leader="none" w:pos="8440" w:val="left"/>
          <w:tab w:leader="none" w:pos="9120" w:val="left"/>
          <w:tab w:leader="none" w:pos="10700" w:val="left"/>
        </w:tabs>
        <w:rPr>
          <w:sz w:val="20"/>
          <w:szCs w:val="20"/>
          <w:color w:val="auto"/>
        </w:rPr>
      </w:pPr>
      <w:r>
        <w:rPr>
          <w:rFonts w:ascii="Arial" w:cs="Arial" w:eastAsia="Arial" w:hAnsi="Arial"/>
          <w:sz w:val="18"/>
          <w:szCs w:val="18"/>
          <w:b w:val="1"/>
          <w:bCs w:val="1"/>
          <w:color w:val="auto"/>
        </w:rPr>
        <w:t>Total</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383,250</w:t>
      </w:r>
      <w:r>
        <w:rPr>
          <w:sz w:val="20"/>
          <w:szCs w:val="20"/>
          <w:color w:val="auto"/>
        </w:rPr>
        <w:tab/>
      </w:r>
      <w:r>
        <w:rPr>
          <w:rFonts w:ascii="Arial" w:cs="Arial" w:eastAsia="Arial" w:hAnsi="Arial"/>
          <w:sz w:val="16"/>
          <w:szCs w:val="16"/>
          <w:color w:val="auto"/>
        </w:rPr>
        <w:t>392,500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3" w:lineRule="exact"/>
        <w:rPr>
          <w:sz w:val="20"/>
          <w:szCs w:val="20"/>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2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audit fees incurred in 2015 were comprised of $248,250 incurred by CohnReznick LLP from the time of appointment in July 2015 and $144,250 incurred by KPMG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2016 and 2015.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financial statement schedules and exhibits listed in the exhibit index of the Original Filing and the exhibits listed in the exhibit index of this Form 10-K/A are filed with, or incorporated by reference in, this Form 10-K/A.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Pursuant to the requirements of Section 13 or 15(d) of the Securities Act of 1934, the registrant has duly caused this Amendment No. 1 to Annual Report on Form 10-K/A to be signed on its behalf by the undersigned, thereunto duly authorized, in the City of New York of New York on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of May, 2017.</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D. Perlman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1"/>
              </w:rPr>
              <w:t>Exhibits Index</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180" w:type="dxa"/>
            <w:vAlign w:val="bottom"/>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Agreement and Plan of Merger by and among FORM Holdings Corp., FHXMS, LLC, XpresSpa Holdings, LLC, the unitholders of</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4"/>
              </w:rPr>
              <w:t>XpresSpa who are parties thereto and Mistral XH Representative, LLC, as representative of the unitholders, dated as of August 8, 2016</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(incorporated by reference to Exhibit 2.1 to our Current Report on Form 8-K filed with the SEC on August 8,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2.2</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4"/>
              </w:rPr>
              <w:t>Amendment No. 1 to Agreement and Plan of Merger by and among FORM Holdings Corp., FHXMS, LLC, XpresSpa Holdings, LLC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Mistral XH Representative, LLC, as representative of the unitholders, dated September 8, 2016 (incorporated by reference to Exhibit 2.1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our Current Report on Form 8-K filed with the SEC on September 9,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2.3</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4"/>
              </w:rPr>
              <w:t>Amendment No. 2 to Agreement and Plan of Merger by and among FORM Holdings Corp., FHXMS, LLC, XpresSpa Holdings, LLC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3"/>
              </w:rPr>
              <w:t>Mistral XH Representative, LLC, as representative of the unitholders, dated October 25, 2016 (incorporated by reference to Exhibit 2.1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our Current Report on Form 8-K filed with the SEC on October 25, 2016)</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3.1***</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Amended and Restated Certificate of Incorporation, as amended as of November 28,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Second Amended and Restated Bylaws, effective May 6, 2016 (incorporated by reference to Exhibit 3.2 to our Current Report on Form 8-K</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filed with the SEC on May 5,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Certificate of Designations, Preferences and Rights of Series A Convertible Preferred Stock (incorporated by reference from Exhibit 3.2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our Current Report on Form 8-K filed on July 20, 2012)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Certificate of Designations of Preferences, Rights and Limitations of Series B Convertible Preferred Stock (incorporated by reference from</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Exhibit 3.1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1"/>
              </w:rPr>
              <w:t>Certificate of Designation of Series C Junior Participating Preferred Stock (incorporated by reference from Exhibit 3.1 to our Current Report</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on Form 8-K filed with the SEC on March 21, 2016)</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Certificate of Designations of Preferences, Rights and Limitations of Series B Convertible Preferred Stock (incorporated by reference from</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Exhibit 3.1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5"/>
              </w:rPr>
              <w:t>Certificate of Designation of Preferences, Rights and Limitations of Series D Convertible Preferred Stock (incorporated by reference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Exhibit 3.1 to our Current Report on Form 8-K filed with the SEC on December 23, 2016).</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4.1</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6"/>
              </w:rPr>
              <w:t>Specimen common stock certificate (incorporated by reference from our Registration Statement on Form S-1 filed on May 18, 2010)</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4.2</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rPr>
              <w:t>Form of Warrant Agreement (incorporated by reference from our Registration Statement on Form S-1 filed on March 29, 2010)</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4.3</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6"/>
              </w:rPr>
              <w:t>Form of Special Bridge Warrants (incorporated by reference from our Registration Statement on Form S-1 filed on January 29, 2010)</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4.4†</w:t>
            </w:r>
          </w:p>
        </w:tc>
        <w:tc>
          <w:tcPr>
            <w:tcW w:w="10280" w:type="dxa"/>
            <w:vAlign w:val="bottom"/>
            <w:gridSpan w:val="3"/>
          </w:tcPr>
          <w:p>
            <w:pPr>
              <w:ind w:left="100"/>
              <w:spacing w:after="0"/>
              <w:rPr>
                <w:sz w:val="20"/>
                <w:szCs w:val="20"/>
                <w:color w:val="auto"/>
              </w:rPr>
            </w:pPr>
            <w:r>
              <w:rPr>
                <w:rFonts w:ascii="Arial" w:cs="Arial" w:eastAsia="Arial" w:hAnsi="Arial"/>
                <w:sz w:val="18"/>
                <w:szCs w:val="18"/>
                <w:color w:val="auto"/>
                <w:w w:val="92"/>
              </w:rPr>
              <w:t>Form of Management Option Agreement (incorporated by reference from our Registration Statement on Form S-1 filed on March 29, 2010)</w:t>
            </w:r>
          </w:p>
        </w:tc>
      </w:tr>
      <w:tr>
        <w:trPr>
          <w:trHeight w:val="702"/>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22"/>
                <w:szCs w:val="22"/>
                <w:color w:val="auto"/>
              </w:rPr>
              <w:t>21</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Preferential Reload Warrant (incorporated by reference from our Quarterly Report on Form 10-Q for the period ended March 31,</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2012 filed on May 15,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Form of Reload Warrants (incorporated by reference from our Quarterly Report on Form 10-Q for the period ended March 31, 2012 filed on</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May 15,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Form of Series 1 Warrant (incorporated by reference from Annex F to our Registration Statement on Form S-4 (File No. 333-180609)</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Form of Series 2 Warrant (incorporated by reference from Annex G to our Registration Statement on Form S-4 (File No. 333-180609)</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Warrant, dated June 20, 2014 (incorporated by reference from our Quarterly Report on Form 10-Q for the period ended June 30,</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2014 filed on August 6, 2014)</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Warrant (incorporated by reference from Exhibit 4.1 to our Current Report on Form 8-K filed with the SEC on October 16, 2015)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Form of Notes (incorporated by reference from Exhibit 10.2 to our Current Report on Form 8-K filed with the SEC on May 4, 2015)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Form of Warrant (incorporated by reference from Exhibit 10.3 to our Current Report on Form 8-K filed with the SEC on May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4.13</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Form of Base Indenture between Vringo, Inc. and Computershare Trust Company, N.A. (incorporated by reference from Exhibit 10.4 to our</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4.14</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Form of First Supplemental Indenture (incorporated by reference from Exhibit 10.5 to our Current Report on Form 8-K filed with the SEC</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on May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4.15</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Section 382 Rights Agreement, dated as of March 18, 2016, between Vringo, Inc. and American Stock Transfer &amp; Trust Company, LLC,</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which includes the Form of Certificate of Designation of Series C Junior Participating Preferred Stock as Exhibit A, the Form of Right</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Certificate as Exhibit B and the Summary of Rights to Purchase Preferred Stock as Exhibit C (incorporated by reference from Exhibit 4.1 to</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our Current Report on Form 8-K filed with the SEC on March 21, 2016)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4.16</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Form of Warrant to Purchase Shares of Common Stock of FORM Holdings Corp. (incorporated by reference from Annex F to our</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Registration Statement on Form S-4 filed with the SEC on October 26, 2016)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Vringo, Inc. 2012 Employee, Director and Consultant Equity Incentive Plan, as amended (incorporated by reference from Appendix C of our</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Proxy Statement on Schedule 14A (DEF 14A) filed with the SEC on September 25, 2015)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Form of Stock Option Agreement (incorporated by reference from our Registration Statement on Form S-8 filed on July 26, 2012)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Form of Restricted Stock Unit Agreement (incorporated by reference from our Registration Statement on Form S-8 filed on July 26,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Employment Agreement, dated February 13, 2013, by and between Vringo and Andrew D. Perlman (incorporated by reference from our</w:t>
            </w:r>
          </w:p>
        </w:tc>
      </w:tr>
      <w:tr>
        <w:trPr>
          <w:trHeight w:val="230"/>
        </w:trPr>
        <w:tc>
          <w:tcPr>
            <w:tcW w:w="840" w:type="dxa"/>
            <w:vAlign w:val="bottom"/>
          </w:tcPr>
          <w:p>
            <w:pPr>
              <w:spacing w:after="0"/>
              <w:rPr>
                <w:sz w:val="20"/>
                <w:szCs w:val="20"/>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Annual Report on Form 10-K for the period ended December 31, 2012 filed on March 21, 2013)</w:t>
            </w:r>
          </w:p>
        </w:tc>
      </w:tr>
      <w:tr>
        <w:trPr>
          <w:trHeight w:val="702"/>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760"/>
              <w:spacing w:after="0"/>
              <w:rPr>
                <w:sz w:val="20"/>
                <w:szCs w:val="20"/>
                <w:color w:val="auto"/>
              </w:rPr>
            </w:pPr>
            <w:r>
              <w:rPr>
                <w:rFonts w:ascii="Arial" w:cs="Arial" w:eastAsia="Arial" w:hAnsi="Arial"/>
                <w:sz w:val="22"/>
                <w:szCs w:val="22"/>
                <w:color w:val="auto"/>
              </w:rPr>
              <w:t>22</w:t>
            </w:r>
          </w:p>
        </w:tc>
      </w:tr>
    </w:tbl>
    <w:p>
      <w:pPr>
        <w:sectPr>
          <w:pgSz w:w="11900" w:h="16838" w:orient="portrait"/>
          <w:cols w:equalWidth="0" w:num="1">
            <w:col w:w="11420"/>
          </w:cols>
          <w:pgMar w:left="240" w:top="935"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Employment Agreement, dated May 7, 2013, by and between Vringo and David L. Cohen (incorporated by reference from Exhibit 10.19 to</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our Annual Report on Form 10-K filed on March 3,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Lease, dated July 10, 2012, by and between Vringo, Inc. and Teachers Insurance and Annuity Association of America, for the benefit of its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separate Real Estate Account Landlord (incorporated by reference from our Quarterly Report on Form 10-Q for the period ended September</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30, 2012 filed on November 14, 2012), as amended by First Amendment to Lease, dated January 24, 2014 (incorporated by reference from</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10.21 to our Annual Report on Form 10-K filed on March 3,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Confidential Patent Purchase Agreement, dated August 9, 2012, by and between Vringo, Inc. and Nokia Corporation (incorporated by</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from our Quarterly Report on Form 10-Q for the period ended September 30, 2012 filed on November 14,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Form of Subscription Agreement, dated October 4, 2012, by and between Vringo, Inc. and each of the investors (incorporated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from our Current Report on Form 8-K filed on October 5,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Form of Subscription Agreement, dated August 9, 2012, by and between Vringo, Inc. and each of the investors (incorporated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from our Current Report on Form 8-K filed on August 9,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Form of Indemnification Agreement, dated January 31, 2013, by and between Vringo, Inc. and each of its Directors and Executive Officer</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(incorporated by reference from our Annual Report on Form 10-K for the period ended December 31, 2012 filed on March 21,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Employment Agreement, dated December 19, 2014, by and between Vringo, Inc. and Anastasia Nyrkovskaya (incorporated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from our Current Report on Form 8-K filed on December 19,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Employment Agreement, dated February 13, 2013, by and between Vringo, Inc. and Cliff Weinstein (incorporated by reference from Exhibit</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10.14 to our Annual Report on Form 10-K filed with the SEC on March 10, 2016)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Confidential Settlement and License Agreement, dated as of December 3, 2015, by between ZTE Corporation, for itself and on behalf of its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affiliates and Vringo, for itself and on behalf of its affiliates (incorporated by reference from Exhibit 10.15 to our Annual Report on Form</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10-K filed with the SEC on March 10, 2016)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Securities Purchase Agreement, dated May 4, 2015, between Vringo, Inc. and the investors named therein (incorporated by reference from</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10.1 to our Current Report on Form 8-K filed with the SEC on May 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Security Agreement in favor of Iroquois Master Fund Ltd. as collateral agent (incorporated by reference from Exhibit 10.6 to our</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Form of Stock Purchase Agreement, dated as of October 15, 2015, by and between Vringo, Inc., International Development Group Limited,</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the sellers party thereto and the sellers’ representative (incorporated by reference from Exhibit 10.1 to our Current Report on Form 8-K filed</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with the SEC on October 16,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Amendment No. 1 to Employment Agreement dated August 20, 2015, by and between Vringo, Inc. and Andrew D. Perlman (incorporated</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by reference from Exhibit 10.1 to our Current Report on Form 8-K filed with the SEC on August 21, 2015)</w:t>
            </w:r>
          </w:p>
        </w:tc>
      </w:tr>
      <w:tr>
        <w:trPr>
          <w:trHeight w:val="702"/>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4680"/>
              <w:spacing w:after="0"/>
              <w:rPr>
                <w:sz w:val="20"/>
                <w:szCs w:val="20"/>
                <w:color w:val="auto"/>
              </w:rPr>
            </w:pPr>
            <w:r>
              <w:rPr>
                <w:rFonts w:ascii="Arial" w:cs="Arial" w:eastAsia="Arial" w:hAnsi="Arial"/>
                <w:sz w:val="22"/>
                <w:szCs w:val="22"/>
                <w:color w:val="auto"/>
              </w:rPr>
              <w:t>23</w:t>
            </w:r>
          </w:p>
        </w:tc>
      </w:tr>
    </w:tbl>
    <w:p>
      <w:pPr>
        <w:sectPr>
          <w:pgSz w:w="11900" w:h="16838" w:orient="portrait"/>
          <w:cols w:equalWidth="0" w:num="1">
            <w:col w:w="11420"/>
          </w:cols>
          <w:pgMar w:left="240" w:top="935"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10340" w:type="dxa"/>
            <w:vAlign w:val="bottom"/>
          </w:tcPr>
          <w:p>
            <w:pPr>
              <w:ind w:left="180"/>
              <w:spacing w:after="0"/>
              <w:rPr>
                <w:sz w:val="20"/>
                <w:szCs w:val="20"/>
                <w:color w:val="auto"/>
              </w:rPr>
            </w:pPr>
            <w:r>
              <w:rPr>
                <w:rFonts w:ascii="Arial" w:cs="Arial" w:eastAsia="Arial" w:hAnsi="Arial"/>
                <w:sz w:val="18"/>
                <w:szCs w:val="18"/>
                <w:color w:val="auto"/>
                <w:w w:val="91"/>
              </w:rPr>
              <w:t>Amendment No. 2 to Employment Agreement, dated October 13, 2015, by and between Vringo, Inc. and Andrew D. Perlman (incorporated</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by reference from Exhibit 10.2 to our Current Report on Form 8-K filed with the SEC on October 16,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10340" w:type="dxa"/>
            <w:vAlign w:val="bottom"/>
          </w:tcPr>
          <w:p>
            <w:pPr>
              <w:ind w:left="180"/>
              <w:spacing w:after="0"/>
              <w:rPr>
                <w:sz w:val="20"/>
                <w:szCs w:val="20"/>
                <w:color w:val="auto"/>
              </w:rPr>
            </w:pPr>
            <w:r>
              <w:rPr>
                <w:rFonts w:ascii="Arial" w:cs="Arial" w:eastAsia="Arial" w:hAnsi="Arial"/>
                <w:sz w:val="18"/>
                <w:szCs w:val="18"/>
                <w:color w:val="auto"/>
                <w:w w:val="99"/>
              </w:rPr>
              <w:t>Amendment No. 1 to Employment Agreement, dated October 13, 2015, by and between Vringo, Inc. and Anastasia Nyrkovskaya</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(incorporated by reference from Exhibit 10.3 to our Current Report on Form 8-K filed with the SEC on October 16,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10.20†</w:t>
            </w:r>
          </w:p>
        </w:tc>
        <w:tc>
          <w:tcPr>
            <w:tcW w:w="10340" w:type="dxa"/>
            <w:vAlign w:val="bottom"/>
          </w:tcPr>
          <w:p>
            <w:pPr>
              <w:ind w:left="180"/>
              <w:spacing w:after="0"/>
              <w:rPr>
                <w:sz w:val="20"/>
                <w:szCs w:val="20"/>
                <w:color w:val="auto"/>
              </w:rPr>
            </w:pPr>
            <w:r>
              <w:rPr>
                <w:rFonts w:ascii="Arial" w:cs="Arial" w:eastAsia="Arial" w:hAnsi="Arial"/>
                <w:sz w:val="18"/>
                <w:szCs w:val="18"/>
                <w:color w:val="auto"/>
                <w:w w:val="92"/>
              </w:rPr>
              <w:t>Amendment No. 1 to Employment Agreement, dated October 13, 2015, by and between Vringo, Inc. and David L. Cohen (incorporated by</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reference from Exhibit 10.4 to our Current Report on Form 8-K filed with the SEC on October 16,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10.21†</w:t>
            </w:r>
          </w:p>
        </w:tc>
        <w:tc>
          <w:tcPr>
            <w:tcW w:w="10340" w:type="dxa"/>
            <w:vAlign w:val="bottom"/>
          </w:tcPr>
          <w:p>
            <w:pPr>
              <w:ind w:left="180"/>
              <w:spacing w:after="0"/>
              <w:rPr>
                <w:sz w:val="20"/>
                <w:szCs w:val="20"/>
                <w:color w:val="auto"/>
              </w:rPr>
            </w:pPr>
            <w:r>
              <w:rPr>
                <w:rFonts w:ascii="Arial" w:cs="Arial" w:eastAsia="Arial" w:hAnsi="Arial"/>
                <w:sz w:val="18"/>
                <w:szCs w:val="18"/>
                <w:color w:val="auto"/>
                <w:w w:val="98"/>
              </w:rPr>
              <w:t>Amendment to Employment Agreement dated October 13, 2015, by and between Vringo, Inc. and Cliff Weinstein (incorporated by</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reference from Exhibit 10.24 to our Annual Report on Form 10-K filed with the SEC on March 10,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10.22†</w:t>
            </w:r>
          </w:p>
        </w:tc>
        <w:tc>
          <w:tcPr>
            <w:tcW w:w="10340" w:type="dxa"/>
            <w:vAlign w:val="bottom"/>
          </w:tcPr>
          <w:p>
            <w:pPr>
              <w:ind w:left="180"/>
              <w:spacing w:after="0"/>
              <w:rPr>
                <w:sz w:val="20"/>
                <w:szCs w:val="20"/>
                <w:color w:val="auto"/>
              </w:rPr>
            </w:pPr>
            <w:r>
              <w:rPr>
                <w:rFonts w:ascii="Arial" w:cs="Arial" w:eastAsia="Arial" w:hAnsi="Arial"/>
                <w:sz w:val="18"/>
                <w:szCs w:val="18"/>
                <w:color w:val="auto"/>
                <w:w w:val="99"/>
              </w:rPr>
              <w:t>Amendment No. 2 to Employment Agreement, dated June 27, 2016, by and between FORM Holdings Corp. and David L. Cohen</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(incorporated by reference from Exhibit 10.1 to our Current Report on Form 8-K filed with the SEC on July 1,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10.23</w:t>
            </w:r>
          </w:p>
        </w:tc>
        <w:tc>
          <w:tcPr>
            <w:tcW w:w="10340" w:type="dxa"/>
            <w:vAlign w:val="bottom"/>
          </w:tcPr>
          <w:p>
            <w:pPr>
              <w:ind w:left="180"/>
              <w:spacing w:after="0"/>
              <w:rPr>
                <w:sz w:val="20"/>
                <w:szCs w:val="20"/>
                <w:color w:val="auto"/>
              </w:rPr>
            </w:pPr>
            <w:r>
              <w:rPr>
                <w:rFonts w:ascii="Arial" w:cs="Arial" w:eastAsia="Arial" w:hAnsi="Arial"/>
                <w:sz w:val="18"/>
                <w:szCs w:val="18"/>
                <w:color w:val="auto"/>
                <w:w w:val="92"/>
              </w:rPr>
              <w:t>Subscription Agreement, dated as of August 8, 2016, by and between FORM Holdings Corp. and Mistral Spa Holdings, LLC (incorporated</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by reference from Exhibit 10.1 to our Current Report on Form 8-K filed with the SEC on August 8,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10.24</w:t>
            </w:r>
          </w:p>
        </w:tc>
        <w:tc>
          <w:tcPr>
            <w:tcW w:w="10340" w:type="dxa"/>
            <w:vAlign w:val="bottom"/>
          </w:tcPr>
          <w:p>
            <w:pPr>
              <w:ind w:left="180"/>
              <w:spacing w:after="0"/>
              <w:rPr>
                <w:sz w:val="20"/>
                <w:szCs w:val="20"/>
                <w:color w:val="auto"/>
              </w:rPr>
            </w:pPr>
            <w:r>
              <w:rPr>
                <w:rFonts w:ascii="Arial" w:cs="Arial" w:eastAsia="Arial" w:hAnsi="Arial"/>
                <w:sz w:val="18"/>
                <w:szCs w:val="18"/>
                <w:color w:val="auto"/>
                <w:w w:val="94"/>
              </w:rPr>
              <w:t>Subscription Agreement and Joinder, dated as of August 8, 2016, by and between XpresSpa Holdings, LLC and FORM Holdings Corp</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(incorporated by reference from Exhibit 10.2 to our Current Report on Form 8-K filed with the SEC on August 8,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10.25†</w:t>
            </w:r>
          </w:p>
        </w:tc>
        <w:tc>
          <w:tcPr>
            <w:tcW w:w="10340" w:type="dxa"/>
            <w:vAlign w:val="bottom"/>
          </w:tcPr>
          <w:p>
            <w:pPr>
              <w:ind w:left="180"/>
              <w:spacing w:after="0"/>
              <w:rPr>
                <w:sz w:val="20"/>
                <w:szCs w:val="20"/>
                <w:color w:val="auto"/>
              </w:rPr>
            </w:pPr>
            <w:r>
              <w:rPr>
                <w:rFonts w:ascii="Arial" w:cs="Arial" w:eastAsia="Arial" w:hAnsi="Arial"/>
                <w:sz w:val="18"/>
                <w:szCs w:val="18"/>
                <w:color w:val="auto"/>
                <w:w w:val="91"/>
              </w:rPr>
              <w:t>FORM Holdings Corp. 2012 Employee, Director and Consultant Equity Incentive Plan, as amended (incorporated by reference from Exhibit</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10.1 to our Current Report on Form 8-K filed with the SEC on November 28,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10.26†</w:t>
            </w:r>
          </w:p>
        </w:tc>
        <w:tc>
          <w:tcPr>
            <w:tcW w:w="10340" w:type="dxa"/>
            <w:vAlign w:val="bottom"/>
          </w:tcPr>
          <w:p>
            <w:pPr>
              <w:ind w:left="180"/>
              <w:spacing w:after="0"/>
              <w:rPr>
                <w:sz w:val="20"/>
                <w:szCs w:val="20"/>
                <w:color w:val="auto"/>
              </w:rPr>
            </w:pPr>
            <w:r>
              <w:rPr>
                <w:rFonts w:ascii="Arial" w:cs="Arial" w:eastAsia="Arial" w:hAnsi="Arial"/>
                <w:sz w:val="18"/>
                <w:szCs w:val="18"/>
                <w:color w:val="auto"/>
                <w:w w:val="98"/>
              </w:rPr>
              <w:t>Independent Director’s Agreement, by and between FORM Holdings Corp. and Andrew R. Heyer, dated as of December 23, 2016</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(incorporated by reference from Exhibit 10.1 to our Current Report on Form 8-K filed with the SEC on December 23,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10.27***††</w:t>
            </w:r>
          </w:p>
        </w:tc>
        <w:tc>
          <w:tcPr>
            <w:tcW w:w="10340" w:type="dxa"/>
            <w:vAlign w:val="bottom"/>
          </w:tcPr>
          <w:p>
            <w:pPr>
              <w:ind w:left="180"/>
              <w:spacing w:after="0"/>
              <w:rPr>
                <w:sz w:val="20"/>
                <w:szCs w:val="20"/>
                <w:color w:val="auto"/>
              </w:rPr>
            </w:pPr>
            <w:r>
              <w:rPr>
                <w:rFonts w:ascii="Arial" w:cs="Arial" w:eastAsia="Arial" w:hAnsi="Arial"/>
                <w:sz w:val="18"/>
                <w:szCs w:val="18"/>
                <w:color w:val="auto"/>
                <w:w w:val="95"/>
              </w:rPr>
              <w:t>Confidential Settlement and Patent Assignment Agreement by and between FORM Holdings Corp. and Nokia Corporation dated as of</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December 5, 2016</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10340" w:type="dxa"/>
            <w:vAlign w:val="bottom"/>
          </w:tcPr>
          <w:p>
            <w:pPr>
              <w:ind w:left="180"/>
              <w:spacing w:after="0"/>
              <w:rPr>
                <w:sz w:val="20"/>
                <w:szCs w:val="20"/>
                <w:color w:val="auto"/>
              </w:rPr>
            </w:pPr>
            <w:r>
              <w:rPr>
                <w:rFonts w:ascii="Arial" w:cs="Arial" w:eastAsia="Arial" w:hAnsi="Arial"/>
                <w:sz w:val="18"/>
                <w:szCs w:val="18"/>
                <w:color w:val="auto"/>
              </w:rPr>
              <w:t>Subsidiaries of FORM Holdings Corp.</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tcPr>
          <w:p>
            <w:pPr>
              <w:ind w:left="180"/>
              <w:spacing w:after="0"/>
              <w:rPr>
                <w:sz w:val="20"/>
                <w:szCs w:val="20"/>
                <w:color w:val="auto"/>
              </w:rPr>
            </w:pPr>
            <w:r>
              <w:rPr>
                <w:rFonts w:ascii="Arial" w:cs="Arial" w:eastAsia="Arial" w:hAnsi="Arial"/>
                <w:sz w:val="18"/>
                <w:szCs w:val="18"/>
                <w:color w:val="auto"/>
              </w:rPr>
              <w:t>Consent of CohnReznick LLP, independent registered public accounting firm</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180"/>
              <w:spacing w:after="0"/>
              <w:rPr>
                <w:sz w:val="20"/>
                <w:szCs w:val="20"/>
                <w:color w:val="auto"/>
              </w:rPr>
            </w:pPr>
            <w:r>
              <w:rPr>
                <w:rFonts w:ascii="Arial" w:cs="Arial" w:eastAsia="Arial" w:hAnsi="Arial"/>
                <w:sz w:val="18"/>
                <w:szCs w:val="18"/>
                <w:color w:val="auto"/>
                <w:w w:val="99"/>
              </w:rPr>
              <w:t>Certification of Principal Executive Officer pursuant to Exchange Act, Rules 13a – 14(a) and 15d – 14(a), as adopted pursuant to</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180"/>
              <w:spacing w:after="0"/>
              <w:rPr>
                <w:sz w:val="20"/>
                <w:szCs w:val="20"/>
                <w:color w:val="auto"/>
              </w:rPr>
            </w:pPr>
            <w:r>
              <w:rPr>
                <w:rFonts w:ascii="Arial" w:cs="Arial" w:eastAsia="Arial" w:hAnsi="Arial"/>
                <w:sz w:val="18"/>
                <w:szCs w:val="18"/>
                <w:color w:val="auto"/>
                <w:w w:val="91"/>
              </w:rPr>
              <w:t>Certification of Principal Financial Officer pursuant to Exchange Act Rules 13a – 14(a) and 15d – 14(a), as adopted pursuant to Section 302</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10340" w:type="dxa"/>
            <w:vAlign w:val="bottom"/>
          </w:tcPr>
          <w:p>
            <w:pPr>
              <w:ind w:left="180"/>
              <w:spacing w:after="0"/>
              <w:rPr>
                <w:sz w:val="20"/>
                <w:szCs w:val="20"/>
                <w:color w:val="auto"/>
              </w:rPr>
            </w:pPr>
            <w:r>
              <w:rPr>
                <w:rFonts w:ascii="Arial" w:cs="Arial" w:eastAsia="Arial" w:hAnsi="Arial"/>
                <w:sz w:val="18"/>
                <w:szCs w:val="18"/>
                <w:color w:val="auto"/>
                <w:w w:val="94"/>
              </w:rPr>
              <w:t>Certifications of Principal Executive Officer and Principal Financial Officer Pursuant to 18 U.S.C. Section 1350, as adopted pursuant to</w:t>
            </w:r>
          </w:p>
        </w:tc>
      </w:tr>
      <w:tr>
        <w:trPr>
          <w:trHeight w:val="230"/>
        </w:trPr>
        <w:tc>
          <w:tcPr>
            <w:tcW w:w="1080" w:type="dxa"/>
            <w:vAlign w:val="bottom"/>
          </w:tcPr>
          <w:p>
            <w:pPr>
              <w:spacing w:after="0"/>
              <w:rPr>
                <w:sz w:val="20"/>
                <w:szCs w:val="20"/>
                <w:color w:val="auto"/>
              </w:rPr>
            </w:pPr>
          </w:p>
        </w:tc>
        <w:tc>
          <w:tcPr>
            <w:tcW w:w="10340" w:type="dxa"/>
            <w:vAlign w:val="bottom"/>
          </w:tcPr>
          <w:p>
            <w:pPr>
              <w:ind w:left="18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180"/>
              <w:spacing w:after="0"/>
              <w:rPr>
                <w:sz w:val="20"/>
                <w:szCs w:val="20"/>
                <w:color w:val="auto"/>
              </w:rPr>
            </w:pPr>
            <w:r>
              <w:rPr>
                <w:rFonts w:ascii="Arial" w:cs="Arial" w:eastAsia="Arial" w:hAnsi="Arial"/>
                <w:sz w:val="18"/>
                <w:szCs w:val="18"/>
                <w:color w:val="auto"/>
              </w:rPr>
              <w:t>XBLR Instance Document</w:t>
            </w:r>
          </w:p>
        </w:tc>
      </w:tr>
      <w:tr>
        <w:trPr>
          <w:trHeight w:val="702"/>
        </w:trPr>
        <w:tc>
          <w:tcPr>
            <w:tcW w:w="108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ind w:left="4520"/>
              <w:spacing w:after="0"/>
              <w:rPr>
                <w:sz w:val="20"/>
                <w:szCs w:val="20"/>
                <w:color w:val="auto"/>
              </w:rPr>
            </w:pPr>
            <w:r>
              <w:rPr>
                <w:rFonts w:ascii="Arial" w:cs="Arial" w:eastAsia="Arial" w:hAnsi="Arial"/>
                <w:sz w:val="22"/>
                <w:szCs w:val="22"/>
                <w:color w:val="auto"/>
              </w:rPr>
              <w:t>24</w:t>
            </w:r>
          </w:p>
        </w:tc>
      </w:tr>
    </w:tbl>
    <w:p>
      <w:pPr>
        <w:sectPr>
          <w:pgSz w:w="11900" w:h="16838" w:orient="portrait"/>
          <w:cols w:equalWidth="0" w:num="1">
            <w:col w:w="11420"/>
          </w:cols>
          <w:pgMar w:left="240" w:top="935" w:right="239" w:bottom="1440" w:gutter="0" w:footer="0" w:header="0"/>
        </w:sectPr>
      </w:pPr>
    </w:p>
    <w:bookmarkStart w:id="27" w:name="page28"/>
    <w:bookmarkEnd w:id="27"/>
    <w:p>
      <w:pPr>
        <w:spacing w:after="0"/>
        <w:tabs>
          <w:tab w:leader="none" w:pos="124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XBLR Taxonomy Extension Schema Document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XBLR Taxonomy Extension Calculation Linkbase Document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XBLR Taxonomy Extension Definition Linkbase Document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XBLR Taxonomy Extension Label Linkbase Document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XBLR Taxonomy Extension Presentation Linkbase Document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furnished in connection with the Registrant’s Annual Report on Form 10-K filed on March 30,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Annual Report on Form 10-K filed on March 30, 2017.</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25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935" w:right="8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May 1, 2017</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Andrew D. Perlman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D. Perlman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May 1, 2017</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Anastasia Nyrkovskaya</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Anastasia Nyrkovskaya</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2019-12-29T07:23:29Z</dcterms:created>
  <dcterms:modified xsi:type="dcterms:W3CDTF">2019-12-29T07:23:29Z</dcterms:modified>
</cp:coreProperties>
</file>