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360"/>
        <w:spacing w:after="0"/>
        <w:rPr>
          <w:sz w:val="20"/>
          <w:szCs w:val="20"/>
          <w:color w:val="auto"/>
        </w:rPr>
      </w:pPr>
      <w:r>
        <w:rPr>
          <w:rFonts w:ascii="Arial" w:cs="Arial" w:eastAsia="Arial" w:hAnsi="Arial"/>
          <w:sz w:val="22"/>
          <w:szCs w:val="22"/>
          <w:b w:val="1"/>
          <w:bCs w:val="1"/>
          <w:color w:val="auto"/>
        </w:rPr>
        <w:t>INFORMATION TO BE INCLUDED IN STATEMENTS FILED PURSUANT TO § 240.13d-1</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(b), (c) AND (d) AND AMENDMENTS THERETO FILED PURSUANT TO § 240.13d-2</w:t>
      </w: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Vringo,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92911N 10 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0" w:lineRule="exact"/>
        <w:rPr>
          <w:sz w:val="24"/>
          <w:szCs w:val="24"/>
          <w:color w:val="auto"/>
        </w:rPr>
      </w:pPr>
    </w:p>
    <w:p>
      <w:pPr>
        <w:ind w:left="46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60" w:right="40" w:hanging="446"/>
        <w:spacing w:after="0" w:line="277" w:lineRule="auto"/>
        <w:rPr>
          <w:sz w:val="24"/>
          <w:szCs w:val="24"/>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tabs>
          <w:tab w:leader="none" w:pos="560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13 Pages</w:t>
      </w:r>
    </w:p>
    <w:p>
      <w:pPr>
        <w:spacing w:after="0" w:line="144" w:lineRule="exact"/>
        <w:rPr>
          <w:sz w:val="20"/>
          <w:szCs w:val="20"/>
          <w:color w:val="auto"/>
        </w:rPr>
      </w:pPr>
    </w:p>
    <w:p>
      <w:pPr>
        <w:ind w:left="780" w:hanging="52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48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DAG Ventures IV-QP, L.P.</w:t>
      </w:r>
    </w:p>
    <w:p>
      <w:pPr>
        <w:spacing w:after="0" w:line="36"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1060" w:hanging="282"/>
        <w:spacing w:after="0" w:line="207" w:lineRule="exact"/>
        <w:tabs>
          <w:tab w:leader="none" w:pos="10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72" w:lineRule="exact"/>
        <w:rPr>
          <w:sz w:val="20"/>
          <w:szCs w:val="20"/>
          <w:color w:val="auto"/>
        </w:rPr>
      </w:pPr>
    </w:p>
    <w:p>
      <w:pPr>
        <w:ind w:left="780" w:hanging="52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Delaware, United States of America</w:t>
      </w:r>
    </w:p>
    <w:p>
      <w:pPr>
        <w:spacing w:after="0" w:line="36" w:lineRule="exact"/>
        <w:rPr>
          <w:sz w:val="20"/>
          <w:szCs w:val="20"/>
          <w:color w:val="auto"/>
        </w:rPr>
      </w:pPr>
    </w:p>
    <w:p>
      <w:pPr>
        <w:ind w:left="1520"/>
        <w:spacing w:after="0"/>
        <w:tabs>
          <w:tab w:leader="none" w:pos="1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rPr>
              <w:t>WITH</w:t>
            </w:r>
          </w:p>
        </w:tc>
        <w:tc>
          <w:tcPr>
            <w:tcW w:w="2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 shares of Common Stock</w:t>
      </w:r>
    </w:p>
    <w:p>
      <w:pPr>
        <w:spacing w:after="0" w:line="36" w:lineRule="exact"/>
        <w:rPr>
          <w:sz w:val="20"/>
          <w:szCs w:val="20"/>
          <w:color w:val="auto"/>
        </w:rPr>
      </w:pPr>
    </w:p>
    <w:p>
      <w:pPr>
        <w:ind w:left="780" w:hanging="52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hanging="615"/>
        <w:spacing w:after="0"/>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1" w:lineRule="exact"/>
        <w:rPr>
          <w:rFonts w:ascii="Arial" w:cs="Arial" w:eastAsia="Arial" w:hAnsi="Arial"/>
          <w:sz w:val="18"/>
          <w:szCs w:val="18"/>
          <w:color w:val="auto"/>
        </w:rPr>
      </w:pPr>
    </w:p>
    <w:p>
      <w:pPr>
        <w:ind w:left="780" w:right="6320" w:hanging="615"/>
        <w:spacing w:after="0" w:line="548" w:lineRule="auto"/>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ind w:left="460" w:right="120" w:hanging="452"/>
        <w:spacing w:after="0" w:line="31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Amendment No. 1 to the statement on Schedule 13G is filed by DAG Ventures IV-QP, L.P. (“DAG IV-QP”), DAG Ventures IV, L.P. (“DAG IV”), DAG Ventures Management IV, LLC (“DAG IV LLC”), Messrs. R. Thomas Goodrich, John J. Cadeddu, Greg Williams, Young J. Chung and Nick Pianim (collectively, the “Reporting Persons”). The Reporting Persons expressly disclaim status as a “group” for purposes of this Schedule 13G.</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560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13 Pages</w:t>
      </w:r>
    </w:p>
    <w:p>
      <w:pPr>
        <w:spacing w:after="0" w:line="144" w:lineRule="exact"/>
        <w:rPr>
          <w:sz w:val="20"/>
          <w:szCs w:val="20"/>
          <w:color w:val="auto"/>
        </w:rPr>
      </w:pPr>
    </w:p>
    <w:p>
      <w:pPr>
        <w:ind w:left="780" w:hanging="52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48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DAG Ventures IV, L.P.</w:t>
      </w:r>
    </w:p>
    <w:p>
      <w:pPr>
        <w:spacing w:after="0" w:line="36" w:lineRule="exact"/>
        <w:rPr>
          <w:sz w:val="20"/>
          <w:szCs w:val="20"/>
          <w:color w:val="auto"/>
        </w:rPr>
      </w:pPr>
    </w:p>
    <w:p>
      <w:pPr>
        <w:ind w:left="780" w:hanging="525"/>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1060" w:hanging="282"/>
        <w:spacing w:after="0" w:line="207" w:lineRule="exact"/>
        <w:tabs>
          <w:tab w:leader="none" w:pos="106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72" w:lineRule="exact"/>
        <w:rPr>
          <w:sz w:val="20"/>
          <w:szCs w:val="20"/>
          <w:color w:val="auto"/>
        </w:rPr>
      </w:pPr>
    </w:p>
    <w:p>
      <w:pPr>
        <w:ind w:left="780" w:hanging="525"/>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Delaware, United States of America</w:t>
      </w:r>
    </w:p>
    <w:p>
      <w:pPr>
        <w:spacing w:after="0" w:line="36" w:lineRule="exact"/>
        <w:rPr>
          <w:sz w:val="20"/>
          <w:szCs w:val="20"/>
          <w:color w:val="auto"/>
        </w:rPr>
      </w:pPr>
    </w:p>
    <w:p>
      <w:pPr>
        <w:ind w:left="1520"/>
        <w:spacing w:after="0"/>
        <w:tabs>
          <w:tab w:leader="none" w:pos="1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rPr>
              <w:t>WITH</w:t>
            </w:r>
          </w:p>
        </w:tc>
        <w:tc>
          <w:tcPr>
            <w:tcW w:w="2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 shares of Common Stock</w:t>
      </w:r>
    </w:p>
    <w:p>
      <w:pPr>
        <w:spacing w:after="0" w:line="36" w:lineRule="exact"/>
        <w:rPr>
          <w:sz w:val="20"/>
          <w:szCs w:val="20"/>
          <w:color w:val="auto"/>
        </w:rPr>
      </w:pPr>
    </w:p>
    <w:p>
      <w:pPr>
        <w:ind w:left="780" w:hanging="525"/>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hanging="615"/>
        <w:spacing w:after="0"/>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1" w:lineRule="exact"/>
        <w:rPr>
          <w:rFonts w:ascii="Arial" w:cs="Arial" w:eastAsia="Arial" w:hAnsi="Arial"/>
          <w:sz w:val="18"/>
          <w:szCs w:val="18"/>
          <w:color w:val="auto"/>
        </w:rPr>
      </w:pPr>
    </w:p>
    <w:p>
      <w:pPr>
        <w:ind w:left="780" w:right="6320" w:hanging="615"/>
        <w:spacing w:after="0" w:line="548" w:lineRule="auto"/>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ind w:left="460" w:right="5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Amendment No. 1 to the statement on Schedule 13G is filed by the Reporting Persons. The Reporting Persons expressly disclaim status as a “group” for purposes of this Schedule 13G.</w:t>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560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13 Pages</w:t>
      </w:r>
    </w:p>
    <w:p>
      <w:pPr>
        <w:spacing w:after="0" w:line="144" w:lineRule="exact"/>
        <w:rPr>
          <w:sz w:val="20"/>
          <w:szCs w:val="20"/>
          <w:color w:val="auto"/>
        </w:rPr>
      </w:pPr>
    </w:p>
    <w:p>
      <w:pPr>
        <w:ind w:left="780" w:hanging="525"/>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48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DAG Ventures Management IV, LLC</w:t>
      </w:r>
    </w:p>
    <w:p>
      <w:pPr>
        <w:spacing w:after="0" w:line="36" w:lineRule="exact"/>
        <w:rPr>
          <w:sz w:val="20"/>
          <w:szCs w:val="20"/>
          <w:color w:val="auto"/>
        </w:rPr>
      </w:pPr>
    </w:p>
    <w:p>
      <w:pPr>
        <w:ind w:left="780" w:hanging="525"/>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1060" w:hanging="282"/>
        <w:spacing w:after="0" w:line="207" w:lineRule="exact"/>
        <w:tabs>
          <w:tab w:leader="none" w:pos="106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72" w:lineRule="exact"/>
        <w:rPr>
          <w:sz w:val="20"/>
          <w:szCs w:val="20"/>
          <w:color w:val="auto"/>
        </w:rPr>
      </w:pPr>
    </w:p>
    <w:p>
      <w:pPr>
        <w:ind w:left="780" w:hanging="525"/>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Delaware, United States of America</w:t>
      </w:r>
    </w:p>
    <w:p>
      <w:pPr>
        <w:spacing w:after="0" w:line="36" w:lineRule="exact"/>
        <w:rPr>
          <w:sz w:val="20"/>
          <w:szCs w:val="20"/>
          <w:color w:val="auto"/>
        </w:rPr>
      </w:pPr>
    </w:p>
    <w:p>
      <w:pPr>
        <w:ind w:left="1520"/>
        <w:spacing w:after="0"/>
        <w:tabs>
          <w:tab w:leader="none" w:pos="1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rPr>
              <w:t>WITH</w:t>
            </w:r>
          </w:p>
        </w:tc>
        <w:tc>
          <w:tcPr>
            <w:tcW w:w="2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 shares of Common Stock</w:t>
      </w:r>
    </w:p>
    <w:p>
      <w:pPr>
        <w:spacing w:after="0" w:line="36" w:lineRule="exact"/>
        <w:rPr>
          <w:sz w:val="20"/>
          <w:szCs w:val="20"/>
          <w:color w:val="auto"/>
        </w:rPr>
      </w:pPr>
    </w:p>
    <w:p>
      <w:pPr>
        <w:ind w:left="780" w:hanging="525"/>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hanging="615"/>
        <w:spacing w:after="0"/>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1" w:lineRule="exact"/>
        <w:rPr>
          <w:rFonts w:ascii="Arial" w:cs="Arial" w:eastAsia="Arial" w:hAnsi="Arial"/>
          <w:sz w:val="18"/>
          <w:szCs w:val="18"/>
          <w:color w:val="auto"/>
        </w:rPr>
      </w:pPr>
    </w:p>
    <w:p>
      <w:pPr>
        <w:ind w:left="780" w:right="6320" w:hanging="615"/>
        <w:spacing w:after="0" w:line="548" w:lineRule="auto"/>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ind w:left="460" w:right="5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Amendment No. 1 to the statement on Schedule 13G is filed by the Reporting Persons. The Reporting Persons expressly disclaim status as a “group” for purposes of this Schedule 13G.</w:t>
      </w:r>
    </w:p>
    <w:p>
      <w:pPr>
        <w:sectPr>
          <w:pgSz w:w="11900" w:h="16838" w:orient="portrait"/>
          <w:cols w:equalWidth="0" w:num="1">
            <w:col w:w="11440"/>
          </w:cols>
          <w:pgMar w:left="240" w:top="274" w:right="219" w:bottom="1440" w:gutter="0" w:footer="0" w:header="0"/>
        </w:sectPr>
      </w:pPr>
    </w:p>
    <w:bookmarkStart w:id="4" w:name="page5"/>
    <w:bookmarkEnd w:id="4"/>
    <w:p>
      <w:pPr>
        <w:spacing w:after="0"/>
        <w:tabs>
          <w:tab w:leader="none" w:pos="560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13 Pages</w:t>
      </w:r>
    </w:p>
    <w:p>
      <w:pPr>
        <w:spacing w:after="0" w:line="144" w:lineRule="exact"/>
        <w:rPr>
          <w:sz w:val="20"/>
          <w:szCs w:val="20"/>
          <w:color w:val="auto"/>
        </w:rPr>
      </w:pPr>
    </w:p>
    <w:p>
      <w:pPr>
        <w:ind w:left="780" w:hanging="525"/>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48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 Thomas Goodrich</w:t>
      </w:r>
    </w:p>
    <w:p>
      <w:pPr>
        <w:spacing w:after="0" w:line="36" w:lineRule="exact"/>
        <w:rPr>
          <w:sz w:val="20"/>
          <w:szCs w:val="20"/>
          <w:color w:val="auto"/>
        </w:rPr>
      </w:pPr>
    </w:p>
    <w:p>
      <w:pPr>
        <w:ind w:left="780" w:hanging="525"/>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1060" w:hanging="282"/>
        <w:spacing w:after="0" w:line="207" w:lineRule="exact"/>
        <w:tabs>
          <w:tab w:leader="none" w:pos="1060" w:val="left"/>
        </w:tabs>
        <w:numPr>
          <w:ilvl w:val="0"/>
          <w:numId w:val="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72" w:lineRule="exact"/>
        <w:rPr>
          <w:sz w:val="20"/>
          <w:szCs w:val="20"/>
          <w:color w:val="auto"/>
        </w:rPr>
      </w:pPr>
    </w:p>
    <w:p>
      <w:pPr>
        <w:ind w:left="780" w:hanging="525"/>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1520"/>
        <w:spacing w:after="0"/>
        <w:tabs>
          <w:tab w:leader="none" w:pos="1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rPr>
              <w:t>WITH</w:t>
            </w:r>
          </w:p>
        </w:tc>
        <w:tc>
          <w:tcPr>
            <w:tcW w:w="2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 shares of Common Stock</w:t>
      </w:r>
    </w:p>
    <w:p>
      <w:pPr>
        <w:spacing w:after="0" w:line="36" w:lineRule="exact"/>
        <w:rPr>
          <w:sz w:val="20"/>
          <w:szCs w:val="20"/>
          <w:color w:val="auto"/>
        </w:rPr>
      </w:pPr>
    </w:p>
    <w:p>
      <w:pPr>
        <w:ind w:left="780" w:hanging="525"/>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hanging="615"/>
        <w:spacing w:after="0"/>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1" w:lineRule="exact"/>
        <w:rPr>
          <w:rFonts w:ascii="Arial" w:cs="Arial" w:eastAsia="Arial" w:hAnsi="Arial"/>
          <w:sz w:val="18"/>
          <w:szCs w:val="18"/>
          <w:color w:val="auto"/>
        </w:rPr>
      </w:pPr>
    </w:p>
    <w:p>
      <w:pPr>
        <w:ind w:left="780" w:right="6320" w:hanging="615"/>
        <w:spacing w:after="0" w:line="548"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ind w:left="460" w:right="52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Amendment No. 1 to the statement on Schedule 13G is filed by the Reporting Persons. The Reporting Persons expressly disclaim status as a “group” for purposes of this Schedule 13G.</w:t>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560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13 Pages</w:t>
      </w:r>
    </w:p>
    <w:p>
      <w:pPr>
        <w:spacing w:after="0" w:line="144" w:lineRule="exact"/>
        <w:rPr>
          <w:sz w:val="20"/>
          <w:szCs w:val="20"/>
          <w:color w:val="auto"/>
        </w:rPr>
      </w:pPr>
    </w:p>
    <w:p>
      <w:pPr>
        <w:ind w:left="780" w:hanging="525"/>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48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John J. Cadeddu</w:t>
      </w:r>
    </w:p>
    <w:p>
      <w:pPr>
        <w:spacing w:after="0" w:line="36" w:lineRule="exact"/>
        <w:rPr>
          <w:sz w:val="20"/>
          <w:szCs w:val="20"/>
          <w:color w:val="auto"/>
        </w:rPr>
      </w:pPr>
    </w:p>
    <w:p>
      <w:pPr>
        <w:ind w:left="780" w:hanging="525"/>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1060" w:hanging="282"/>
        <w:spacing w:after="0" w:line="207" w:lineRule="exact"/>
        <w:tabs>
          <w:tab w:leader="none" w:pos="106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72" w:lineRule="exact"/>
        <w:rPr>
          <w:sz w:val="20"/>
          <w:szCs w:val="20"/>
          <w:color w:val="auto"/>
        </w:rPr>
      </w:pPr>
    </w:p>
    <w:p>
      <w:pPr>
        <w:ind w:left="780" w:hanging="525"/>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1520"/>
        <w:spacing w:after="0"/>
        <w:tabs>
          <w:tab w:leader="none" w:pos="1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rPr>
              <w:t>WITH</w:t>
            </w:r>
          </w:p>
        </w:tc>
        <w:tc>
          <w:tcPr>
            <w:tcW w:w="2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 shares of Common Stock</w:t>
      </w:r>
    </w:p>
    <w:p>
      <w:pPr>
        <w:spacing w:after="0" w:line="36" w:lineRule="exact"/>
        <w:rPr>
          <w:sz w:val="20"/>
          <w:szCs w:val="20"/>
          <w:color w:val="auto"/>
        </w:rPr>
      </w:pPr>
    </w:p>
    <w:p>
      <w:pPr>
        <w:ind w:left="780" w:hanging="525"/>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hanging="615"/>
        <w:spacing w:after="0"/>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1" w:lineRule="exact"/>
        <w:rPr>
          <w:rFonts w:ascii="Arial" w:cs="Arial" w:eastAsia="Arial" w:hAnsi="Arial"/>
          <w:sz w:val="18"/>
          <w:szCs w:val="18"/>
          <w:color w:val="auto"/>
        </w:rPr>
      </w:pPr>
    </w:p>
    <w:p>
      <w:pPr>
        <w:ind w:left="780" w:right="6320" w:hanging="615"/>
        <w:spacing w:after="0" w:line="548" w:lineRule="auto"/>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ind w:left="460" w:right="52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Amendment No. 1 to the statement on Schedule 13G is filed by the Reporting Persons. The Reporting Persons expressly disclaim status as a “group” for purposes of this Schedule 13G.</w:t>
      </w:r>
    </w:p>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560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13 Pages</w:t>
      </w:r>
    </w:p>
    <w:p>
      <w:pPr>
        <w:spacing w:after="0" w:line="144" w:lineRule="exact"/>
        <w:rPr>
          <w:sz w:val="20"/>
          <w:szCs w:val="20"/>
          <w:color w:val="auto"/>
        </w:rPr>
      </w:pPr>
    </w:p>
    <w:p>
      <w:pPr>
        <w:ind w:left="780" w:hanging="525"/>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48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Greg Williams</w:t>
      </w:r>
    </w:p>
    <w:p>
      <w:pPr>
        <w:spacing w:after="0" w:line="36" w:lineRule="exact"/>
        <w:rPr>
          <w:sz w:val="20"/>
          <w:szCs w:val="20"/>
          <w:color w:val="auto"/>
        </w:rPr>
      </w:pPr>
    </w:p>
    <w:p>
      <w:pPr>
        <w:ind w:left="780" w:hanging="525"/>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1060" w:hanging="282"/>
        <w:spacing w:after="0" w:line="207" w:lineRule="exact"/>
        <w:tabs>
          <w:tab w:leader="none" w:pos="1060" w:val="left"/>
        </w:tabs>
        <w:numPr>
          <w:ilvl w:val="0"/>
          <w:numId w:val="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72" w:lineRule="exact"/>
        <w:rPr>
          <w:sz w:val="20"/>
          <w:szCs w:val="20"/>
          <w:color w:val="auto"/>
        </w:rPr>
      </w:pPr>
    </w:p>
    <w:p>
      <w:pPr>
        <w:ind w:left="780" w:hanging="525"/>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1520"/>
        <w:spacing w:after="0"/>
        <w:tabs>
          <w:tab w:leader="none" w:pos="1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rPr>
              <w:t>WITH</w:t>
            </w:r>
          </w:p>
        </w:tc>
        <w:tc>
          <w:tcPr>
            <w:tcW w:w="2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 shares of Common Stock</w:t>
      </w:r>
    </w:p>
    <w:p>
      <w:pPr>
        <w:spacing w:after="0" w:line="36" w:lineRule="exact"/>
        <w:rPr>
          <w:sz w:val="20"/>
          <w:szCs w:val="20"/>
          <w:color w:val="auto"/>
        </w:rPr>
      </w:pPr>
    </w:p>
    <w:p>
      <w:pPr>
        <w:ind w:left="780" w:hanging="525"/>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hanging="615"/>
        <w:spacing w:after="0"/>
        <w:tabs>
          <w:tab w:leader="none" w:pos="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1" w:lineRule="exact"/>
        <w:rPr>
          <w:rFonts w:ascii="Arial" w:cs="Arial" w:eastAsia="Arial" w:hAnsi="Arial"/>
          <w:sz w:val="18"/>
          <w:szCs w:val="18"/>
          <w:color w:val="auto"/>
        </w:rPr>
      </w:pPr>
    </w:p>
    <w:p>
      <w:pPr>
        <w:ind w:left="780" w:right="6320" w:hanging="615"/>
        <w:spacing w:after="0" w:line="548" w:lineRule="auto"/>
        <w:tabs>
          <w:tab w:leader="none" w:pos="7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ind w:left="460" w:right="52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Amendment No. 1 to the statement on Schedule 13G is filed by the Reporting Persons. The Reporting Persons expressly disclaim status as a “group” for purposes of this Schedule 13G.</w:t>
      </w:r>
    </w:p>
    <w:p>
      <w:pPr>
        <w:sectPr>
          <w:pgSz w:w="11900" w:h="16838" w:orient="portrait"/>
          <w:cols w:equalWidth="0" w:num="1">
            <w:col w:w="11440"/>
          </w:cols>
          <w:pgMar w:left="240" w:top="274" w:right="219" w:bottom="1440" w:gutter="0" w:footer="0" w:header="0"/>
        </w:sectPr>
      </w:pPr>
    </w:p>
    <w:bookmarkStart w:id="7" w:name="page8"/>
    <w:bookmarkEnd w:id="7"/>
    <w:p>
      <w:pPr>
        <w:spacing w:after="0"/>
        <w:tabs>
          <w:tab w:leader="none" w:pos="560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13 Pages</w:t>
      </w:r>
    </w:p>
    <w:p>
      <w:pPr>
        <w:spacing w:after="0" w:line="144" w:lineRule="exact"/>
        <w:rPr>
          <w:sz w:val="20"/>
          <w:szCs w:val="20"/>
          <w:color w:val="auto"/>
        </w:rPr>
      </w:pPr>
    </w:p>
    <w:p>
      <w:pPr>
        <w:ind w:left="780" w:hanging="525"/>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48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Young J. Chung</w:t>
      </w:r>
    </w:p>
    <w:p>
      <w:pPr>
        <w:spacing w:after="0" w:line="36" w:lineRule="exact"/>
        <w:rPr>
          <w:sz w:val="20"/>
          <w:szCs w:val="20"/>
          <w:color w:val="auto"/>
        </w:rPr>
      </w:pPr>
    </w:p>
    <w:p>
      <w:pPr>
        <w:ind w:left="780" w:hanging="525"/>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1060" w:hanging="282"/>
        <w:spacing w:after="0" w:line="207" w:lineRule="exact"/>
        <w:tabs>
          <w:tab w:leader="none" w:pos="1060" w:val="left"/>
        </w:tabs>
        <w:numPr>
          <w:ilvl w:val="0"/>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72" w:lineRule="exact"/>
        <w:rPr>
          <w:sz w:val="20"/>
          <w:szCs w:val="20"/>
          <w:color w:val="auto"/>
        </w:rPr>
      </w:pPr>
    </w:p>
    <w:p>
      <w:pPr>
        <w:ind w:left="780" w:hanging="525"/>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1520"/>
        <w:spacing w:after="0"/>
        <w:tabs>
          <w:tab w:leader="none" w:pos="1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rPr>
              <w:t>WITH</w:t>
            </w:r>
          </w:p>
        </w:tc>
        <w:tc>
          <w:tcPr>
            <w:tcW w:w="2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 shares of Common Stock</w:t>
      </w:r>
    </w:p>
    <w:p>
      <w:pPr>
        <w:spacing w:after="0" w:line="36" w:lineRule="exact"/>
        <w:rPr>
          <w:sz w:val="20"/>
          <w:szCs w:val="20"/>
          <w:color w:val="auto"/>
        </w:rPr>
      </w:pPr>
    </w:p>
    <w:p>
      <w:pPr>
        <w:ind w:left="780" w:hanging="525"/>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hanging="615"/>
        <w:spacing w:after="0"/>
        <w:tabs>
          <w:tab w:leader="none" w:pos="7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1" w:lineRule="exact"/>
        <w:rPr>
          <w:rFonts w:ascii="Arial" w:cs="Arial" w:eastAsia="Arial" w:hAnsi="Arial"/>
          <w:sz w:val="18"/>
          <w:szCs w:val="18"/>
          <w:color w:val="auto"/>
        </w:rPr>
      </w:pPr>
    </w:p>
    <w:p>
      <w:pPr>
        <w:ind w:left="780" w:right="6320" w:hanging="615"/>
        <w:spacing w:after="0" w:line="548" w:lineRule="auto"/>
        <w:tabs>
          <w:tab w:leader="none" w:pos="7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ind w:left="460" w:right="52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Amendment No. 1 to the statement on Schedule 13G is filed by the Reporting Persons. The Reporting Persons expressly disclaim status as a “group” for purposes of this Schedule 13G.</w:t>
      </w:r>
    </w:p>
    <w:p>
      <w:pPr>
        <w:sectPr>
          <w:pgSz w:w="11900" w:h="16838" w:orient="portrait"/>
          <w:cols w:equalWidth="0" w:num="1">
            <w:col w:w="11440"/>
          </w:cols>
          <w:pgMar w:left="240" w:top="274" w:right="219" w:bottom="1440" w:gutter="0" w:footer="0" w:header="0"/>
        </w:sectPr>
      </w:pPr>
    </w:p>
    <w:bookmarkStart w:id="8" w:name="page9"/>
    <w:bookmarkEnd w:id="8"/>
    <w:p>
      <w:pPr>
        <w:spacing w:after="0"/>
        <w:tabs>
          <w:tab w:leader="none" w:pos="560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13 Pages</w:t>
      </w:r>
    </w:p>
    <w:p>
      <w:pPr>
        <w:spacing w:after="0" w:line="144" w:lineRule="exact"/>
        <w:rPr>
          <w:sz w:val="20"/>
          <w:szCs w:val="20"/>
          <w:color w:val="auto"/>
        </w:rPr>
      </w:pPr>
    </w:p>
    <w:p>
      <w:pPr>
        <w:ind w:left="780" w:hanging="525"/>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948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Nick Pianim</w:t>
      </w:r>
    </w:p>
    <w:p>
      <w:pPr>
        <w:spacing w:after="0" w:line="36" w:lineRule="exact"/>
        <w:rPr>
          <w:sz w:val="20"/>
          <w:szCs w:val="20"/>
          <w:color w:val="auto"/>
        </w:rPr>
      </w:pPr>
    </w:p>
    <w:p>
      <w:pPr>
        <w:ind w:left="780" w:hanging="525"/>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1060" w:hanging="282"/>
        <w:spacing w:after="0" w:line="207" w:lineRule="exact"/>
        <w:tabs>
          <w:tab w:leader="none" w:pos="1060"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72" w:lineRule="exact"/>
        <w:rPr>
          <w:sz w:val="20"/>
          <w:szCs w:val="20"/>
          <w:color w:val="auto"/>
        </w:rPr>
      </w:pPr>
    </w:p>
    <w:p>
      <w:pPr>
        <w:ind w:left="780" w:hanging="525"/>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1520"/>
        <w:spacing w:after="0"/>
        <w:tabs>
          <w:tab w:leader="none" w:pos="1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 shares of Common Stock</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rPr>
              <w:t>WITH</w:t>
            </w:r>
          </w:p>
        </w:tc>
        <w:tc>
          <w:tcPr>
            <w:tcW w:w="2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0 shares of Common Stock</w:t>
      </w:r>
    </w:p>
    <w:p>
      <w:pPr>
        <w:spacing w:after="0" w:line="36" w:lineRule="exact"/>
        <w:rPr>
          <w:sz w:val="20"/>
          <w:szCs w:val="20"/>
          <w:color w:val="auto"/>
        </w:rPr>
      </w:pPr>
    </w:p>
    <w:p>
      <w:pPr>
        <w:ind w:left="780" w:hanging="525"/>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hanging="615"/>
        <w:spacing w:after="0"/>
        <w:tabs>
          <w:tab w:leader="none" w:pos="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1" w:lineRule="exact"/>
        <w:rPr>
          <w:rFonts w:ascii="Arial" w:cs="Arial" w:eastAsia="Arial" w:hAnsi="Arial"/>
          <w:sz w:val="18"/>
          <w:szCs w:val="18"/>
          <w:color w:val="auto"/>
        </w:rPr>
      </w:pPr>
    </w:p>
    <w:p>
      <w:pPr>
        <w:ind w:left="780" w:right="6320" w:hanging="615"/>
        <w:spacing w:after="0" w:line="548" w:lineRule="auto"/>
        <w:tabs>
          <w:tab w:leader="none" w:pos="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ind w:left="460" w:right="52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Amendment No. 1 to the statement on Schedule 13G is filed by the Reporting Persons. The Reporting Persons expressly disclaim status as a “group” for purposes of this Schedule 13G.</w:t>
      </w:r>
    </w:p>
    <w:p>
      <w:pPr>
        <w:sectPr>
          <w:pgSz w:w="11900" w:h="16838" w:orient="portrait"/>
          <w:cols w:equalWidth="0" w:num="1">
            <w:col w:w="11440"/>
          </w:cols>
          <w:pgMar w:left="240" w:top="274" w:right="219" w:bottom="1440" w:gutter="0" w:footer="0" w:header="0"/>
        </w:sectPr>
      </w:pPr>
    </w:p>
    <w:bookmarkStart w:id="9" w:name="page10"/>
    <w:bookmarkEnd w:id="9"/>
    <w:p>
      <w:pPr>
        <w:spacing w:after="0"/>
        <w:tabs>
          <w:tab w:leader="none" w:pos="560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13 Pages</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Vringo, Inc. (the “Issuer”)</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780 THIRD AVENUE, 15TH FLOOR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Items 2(a)</w:t>
      </w:r>
      <w:r>
        <w:rPr>
          <w:sz w:val="20"/>
          <w:szCs w:val="20"/>
          <w:color w:val="auto"/>
        </w:rPr>
        <w:tab/>
      </w:r>
      <w:r>
        <w:rPr>
          <w:rFonts w:ascii="Arial" w:cs="Arial" w:eastAsia="Arial" w:hAnsi="Arial"/>
          <w:sz w:val="16"/>
          <w:szCs w:val="16"/>
          <w:b w:val="1"/>
          <w:bCs w:val="1"/>
          <w:color w:val="auto"/>
        </w:rPr>
        <w:t>Name of Reporting Persons filing: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DAG Ventures IV-QP, L.P. (“DAG IV-QP”)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DAG Ventures IV, L.P. (“DAG IV”)</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DAG Ventures Management IV, LLC (“DAG IV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 Thomas Goodrich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J. Cadeddu</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 Williams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Young J. Chung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Nick Pianim</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DAG Ventures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251 Lytton Avenue, Suite 200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 of America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Item 2(c)</w:t>
            </w: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Citizenship:</w:t>
            </w: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400" w:type="dxa"/>
            <w:vAlign w:val="bottom"/>
            <w:gridSpan w:val="3"/>
          </w:tcPr>
          <w:p>
            <w:pPr>
              <w:ind w:left="280"/>
              <w:spacing w:after="0"/>
              <w:rPr>
                <w:sz w:val="20"/>
                <w:szCs w:val="20"/>
                <w:color w:val="auto"/>
              </w:rPr>
            </w:pPr>
            <w:r>
              <w:rPr>
                <w:rFonts w:ascii="Arial" w:cs="Arial" w:eastAsia="Arial" w:hAnsi="Arial"/>
                <w:sz w:val="14"/>
                <w:szCs w:val="14"/>
                <w:b w:val="1"/>
                <w:bCs w:val="1"/>
                <w:color w:val="auto"/>
              </w:rPr>
              <w:t>Citizenship or Place of Organization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40" w:type="dxa"/>
            <w:vAlign w:val="bottom"/>
            <w:gridSpan w:val="2"/>
            <w:vMerge w:val="restart"/>
          </w:tcPr>
          <w:p>
            <w:pPr>
              <w:ind w:left="60"/>
              <w:spacing w:after="0"/>
              <w:rPr>
                <w:sz w:val="20"/>
                <w:szCs w:val="20"/>
                <w:color w:val="auto"/>
              </w:rPr>
            </w:pPr>
            <w:r>
              <w:rPr>
                <w:rFonts w:ascii="Arial" w:cs="Arial" w:eastAsia="Arial" w:hAnsi="Arial"/>
                <w:sz w:val="18"/>
                <w:szCs w:val="18"/>
                <w:color w:val="auto"/>
              </w:rPr>
              <w:t>IV-QP</w:t>
            </w:r>
          </w:p>
        </w:tc>
        <w:tc>
          <w:tcPr>
            <w:tcW w:w="28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380" w:type="dxa"/>
            <w:vAlign w:val="bottom"/>
          </w:tcPr>
          <w:p>
            <w:pPr>
              <w:spacing w:after="0" w:line="195" w:lineRule="exact"/>
              <w:rPr>
                <w:sz w:val="20"/>
                <w:szCs w:val="20"/>
                <w:color w:val="auto"/>
              </w:rPr>
            </w:pPr>
            <w:r>
              <w:rPr>
                <w:rFonts w:ascii="Arial" w:cs="Arial" w:eastAsia="Arial" w:hAnsi="Arial"/>
                <w:sz w:val="18"/>
                <w:szCs w:val="18"/>
                <w:color w:val="auto"/>
                <w:w w:val="92"/>
              </w:rPr>
              <w:t>DAG</w:t>
            </w:r>
          </w:p>
        </w:tc>
        <w:tc>
          <w:tcPr>
            <w:tcW w:w="254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120" w:type="dxa"/>
            <w:vAlign w:val="bottom"/>
            <w:gridSpan w:val="2"/>
          </w:tcPr>
          <w:p>
            <w:pPr>
              <w:spacing w:after="0" w:line="195" w:lineRule="exact"/>
              <w:rPr>
                <w:sz w:val="20"/>
                <w:szCs w:val="20"/>
                <w:color w:val="auto"/>
              </w:rPr>
            </w:pPr>
            <w:r>
              <w:rPr>
                <w:rFonts w:ascii="Arial" w:cs="Arial" w:eastAsia="Arial" w:hAnsi="Arial"/>
                <w:sz w:val="18"/>
                <w:szCs w:val="18"/>
                <w:color w:val="auto"/>
              </w:rPr>
              <w:t>Delaware, United States of America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DAG IV</w:t>
            </w:r>
          </w:p>
        </w:tc>
        <w:tc>
          <w:tcPr>
            <w:tcW w:w="2260" w:type="dxa"/>
            <w:vAlign w:val="bottom"/>
          </w:tcPr>
          <w:p>
            <w:pPr>
              <w:spacing w:after="0"/>
              <w:rPr>
                <w:sz w:val="18"/>
                <w:szCs w:val="18"/>
                <w:color w:val="auto"/>
              </w:rPr>
            </w:pPr>
          </w:p>
        </w:tc>
        <w:tc>
          <w:tcPr>
            <w:tcW w:w="6400" w:type="dxa"/>
            <w:vAlign w:val="bottom"/>
            <w:gridSpan w:val="3"/>
          </w:tcPr>
          <w:p>
            <w:pPr>
              <w:ind w:left="280"/>
              <w:spacing w:after="0"/>
              <w:rPr>
                <w:sz w:val="20"/>
                <w:szCs w:val="20"/>
                <w:color w:val="auto"/>
              </w:rPr>
            </w:pPr>
            <w:r>
              <w:rPr>
                <w:rFonts w:ascii="Arial" w:cs="Arial" w:eastAsia="Arial" w:hAnsi="Arial"/>
                <w:sz w:val="18"/>
                <w:szCs w:val="18"/>
                <w:color w:val="auto"/>
              </w:rPr>
              <w:t>Delaware, United States of America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DAG IV LLC</w:t>
            </w:r>
          </w:p>
        </w:tc>
        <w:tc>
          <w:tcPr>
            <w:tcW w:w="6400" w:type="dxa"/>
            <w:vAlign w:val="bottom"/>
            <w:gridSpan w:val="3"/>
          </w:tcPr>
          <w:p>
            <w:pPr>
              <w:ind w:left="280"/>
              <w:spacing w:after="0"/>
              <w:rPr>
                <w:sz w:val="20"/>
                <w:szCs w:val="20"/>
                <w:color w:val="auto"/>
              </w:rPr>
            </w:pPr>
            <w:r>
              <w:rPr>
                <w:rFonts w:ascii="Arial" w:cs="Arial" w:eastAsia="Arial" w:hAnsi="Arial"/>
                <w:sz w:val="18"/>
                <w:szCs w:val="18"/>
                <w:color w:val="auto"/>
              </w:rPr>
              <w:t>Delaware, United States of America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R. Thomas Goodrich</w:t>
            </w:r>
          </w:p>
        </w:tc>
        <w:tc>
          <w:tcPr>
            <w:tcW w:w="6400" w:type="dxa"/>
            <w:vAlign w:val="bottom"/>
            <w:gridSpan w:val="3"/>
          </w:tcPr>
          <w:p>
            <w:pPr>
              <w:ind w:left="2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John J. Cadeddu</w:t>
            </w:r>
          </w:p>
        </w:tc>
        <w:tc>
          <w:tcPr>
            <w:tcW w:w="6400" w:type="dxa"/>
            <w:vAlign w:val="bottom"/>
            <w:gridSpan w:val="3"/>
          </w:tcPr>
          <w:p>
            <w:pPr>
              <w:ind w:left="2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Greg Williams</w:t>
            </w:r>
          </w:p>
        </w:tc>
        <w:tc>
          <w:tcPr>
            <w:tcW w:w="6400" w:type="dxa"/>
            <w:vAlign w:val="bottom"/>
            <w:gridSpan w:val="3"/>
          </w:tcPr>
          <w:p>
            <w:pPr>
              <w:ind w:left="2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Young J. Chung</w:t>
            </w:r>
          </w:p>
        </w:tc>
        <w:tc>
          <w:tcPr>
            <w:tcW w:w="6400" w:type="dxa"/>
            <w:vAlign w:val="bottom"/>
            <w:gridSpan w:val="3"/>
          </w:tcPr>
          <w:p>
            <w:pPr>
              <w:ind w:left="2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Nick Pianim</w:t>
            </w:r>
          </w:p>
        </w:tc>
        <w:tc>
          <w:tcPr>
            <w:tcW w:w="6400" w:type="dxa"/>
            <w:vAlign w:val="bottom"/>
            <w:gridSpan w:val="3"/>
          </w:tcPr>
          <w:p>
            <w:pPr>
              <w:ind w:left="2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581"/>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Item 2(d)</w:t>
            </w: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w w:val="98"/>
              </w:rPr>
              <w:t>Title of class of securities:</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80" w:type="dxa"/>
            <w:vAlign w:val="bottom"/>
            <w:gridSpan w:val="4"/>
          </w:tcPr>
          <w:p>
            <w:pPr>
              <w:ind w:left="46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Item 2(e)</w:t>
            </w: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CUSIP No.:</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80" w:type="dxa"/>
            <w:vAlign w:val="bottom"/>
            <w:gridSpan w:val="4"/>
          </w:tcPr>
          <w:p>
            <w:pPr>
              <w:ind w:left="460"/>
              <w:spacing w:after="0"/>
              <w:rPr>
                <w:sz w:val="20"/>
                <w:szCs w:val="20"/>
                <w:color w:val="auto"/>
              </w:rPr>
            </w:pPr>
            <w:r>
              <w:rPr>
                <w:rFonts w:ascii="Arial" w:cs="Arial" w:eastAsia="Arial" w:hAnsi="Arial"/>
                <w:sz w:val="18"/>
                <w:szCs w:val="18"/>
                <w:color w:val="auto"/>
              </w:rPr>
              <w:t>92911N 10 4</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8660" w:type="dxa"/>
            <w:vAlign w:val="bottom"/>
            <w:gridSpan w:val="4"/>
          </w:tcPr>
          <w:p>
            <w:pPr>
              <w:ind w:left="20"/>
              <w:spacing w:after="0"/>
              <w:rPr>
                <w:sz w:val="20"/>
                <w:szCs w:val="20"/>
                <w:color w:val="auto"/>
              </w:rPr>
            </w:pPr>
            <w:r>
              <w:rPr>
                <w:rFonts w:ascii="Arial" w:cs="Arial" w:eastAsia="Arial" w:hAnsi="Arial"/>
                <w:sz w:val="18"/>
                <w:szCs w:val="18"/>
                <w:b w:val="1"/>
                <w:bCs w:val="1"/>
                <w:color w:val="auto"/>
                <w:w w:val="89"/>
              </w:rPr>
              <w:t>If this statement is filed pursuant to §§ 240.13d-1(b), or 240.13d-2(b) or (c), check whether the person filings is a:</w:t>
            </w:r>
          </w:p>
        </w:tc>
        <w:tc>
          <w:tcPr>
            <w:tcW w:w="0" w:type="dxa"/>
            <w:vAlign w:val="bottom"/>
          </w:tcPr>
          <w:p>
            <w:pPr>
              <w:spacing w:after="0"/>
              <w:rPr>
                <w:sz w:val="1"/>
                <w:szCs w:val="1"/>
                <w:color w:val="auto"/>
              </w:rPr>
            </w:pPr>
          </w:p>
        </w:tc>
      </w:tr>
      <w:tr>
        <w:trPr>
          <w:trHeight w:val="324"/>
        </w:trPr>
        <w:tc>
          <w:tcPr>
            <w:tcW w:w="338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CUSIP NO. 92911N104</w:t>
            </w:r>
          </w:p>
        </w:tc>
        <w:tc>
          <w:tcPr>
            <w:tcW w:w="4160" w:type="dxa"/>
            <w:vAlign w:val="bottom"/>
          </w:tcPr>
          <w:p>
            <w:pPr>
              <w:ind w:left="1820"/>
              <w:spacing w:after="0"/>
              <w:rPr>
                <w:sz w:val="20"/>
                <w:szCs w:val="20"/>
                <w:color w:val="auto"/>
              </w:rPr>
            </w:pPr>
            <w:r>
              <w:rPr>
                <w:rFonts w:ascii="Arial" w:cs="Arial" w:eastAsia="Arial" w:hAnsi="Arial"/>
                <w:sz w:val="18"/>
                <w:szCs w:val="18"/>
                <w:color w:val="auto"/>
              </w:rPr>
              <w:t>13G</w:t>
            </w:r>
          </w:p>
        </w:tc>
        <w:tc>
          <w:tcPr>
            <w:tcW w:w="3460" w:type="dxa"/>
            <w:vAlign w:val="bottom"/>
          </w:tcPr>
          <w:p>
            <w:pPr>
              <w:ind w:left="2000"/>
              <w:spacing w:after="0"/>
              <w:rPr>
                <w:sz w:val="20"/>
                <w:szCs w:val="20"/>
                <w:color w:val="auto"/>
              </w:rPr>
            </w:pPr>
            <w:r>
              <w:rPr>
                <w:rFonts w:ascii="Arial" w:cs="Arial" w:eastAsia="Arial" w:hAnsi="Arial"/>
                <w:sz w:val="18"/>
                <w:szCs w:val="18"/>
                <w:color w:val="auto"/>
                <w:w w:val="85"/>
              </w:rPr>
              <w:t>Page 11 of 13 Pages</w:t>
            </w:r>
          </w:p>
        </w:tc>
      </w:tr>
      <w:tr>
        <w:trPr>
          <w:trHeight w:val="365"/>
        </w:trPr>
        <w:tc>
          <w:tcPr>
            <w:tcW w:w="8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980" w:type="dxa"/>
            <w:vAlign w:val="bottom"/>
          </w:tcPr>
          <w:p>
            <w:pPr>
              <w:ind w:left="320"/>
              <w:spacing w:after="0"/>
              <w:rPr>
                <w:sz w:val="20"/>
                <w:szCs w:val="20"/>
                <w:color w:val="auto"/>
              </w:rPr>
            </w:pPr>
            <w:r>
              <w:rPr>
                <w:rFonts w:ascii="Arial" w:cs="Arial" w:eastAsia="Arial" w:hAnsi="Arial"/>
                <w:sz w:val="18"/>
                <w:szCs w:val="18"/>
                <w:b w:val="1"/>
                <w:bCs w:val="1"/>
                <w:color w:val="auto"/>
              </w:rPr>
              <w:t>Ownership</w:t>
            </w:r>
          </w:p>
        </w:tc>
        <w:tc>
          <w:tcPr>
            <w:tcW w:w="416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94"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The following information with respect to the ownership of Common Stock of the Issuer by the Reporting Persons filing this Amendment No. 1 to the statement on Schedule 13G as of December 31,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Shares Held</w:t>
            </w: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Sole</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Shared</w:t>
            </w: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Sole</w:t>
            </w: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Shared</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Beneficial</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Persons</w:t>
            </w:r>
          </w:p>
        </w:tc>
        <w:tc>
          <w:tcPr>
            <w:tcW w:w="1240" w:type="dxa"/>
            <w:vAlign w:val="bottom"/>
            <w:gridSpan w:val="2"/>
            <w:vMerge w:val="continue"/>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Voting</w:t>
            </w: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Voting</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Dispositive</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Ownership</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20" w:type="dxa"/>
            <w:vAlign w:val="bottom"/>
            <w:gridSpan w:val="2"/>
            <w:vMerge w:val="continue"/>
          </w:tcPr>
          <w:p>
            <w:pPr>
              <w:spacing w:after="0"/>
              <w:rPr>
                <w:sz w:val="13"/>
                <w:szCs w:val="13"/>
                <w:color w:val="auto"/>
              </w:rPr>
            </w:pPr>
          </w:p>
        </w:tc>
        <w:tc>
          <w:tcPr>
            <w:tcW w:w="12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Directly</w:t>
            </w:r>
          </w:p>
        </w:tc>
        <w:tc>
          <w:tcPr>
            <w:tcW w:w="90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0"/>
              </w:rPr>
              <w:t>Power</w:t>
            </w:r>
          </w:p>
        </w:tc>
        <w:tc>
          <w:tcPr>
            <w:tcW w:w="108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88"/>
              </w:rPr>
              <w:t>Power (1)</w:t>
            </w:r>
          </w:p>
        </w:tc>
        <w:tc>
          <w:tcPr>
            <w:tcW w:w="116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Power</w:t>
            </w:r>
          </w:p>
        </w:tc>
        <w:tc>
          <w:tcPr>
            <w:tcW w:w="11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Power (1)</w:t>
            </w:r>
          </w:p>
        </w:tc>
        <w:tc>
          <w:tcPr>
            <w:tcW w:w="68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3"/>
                <w:szCs w:val="13"/>
                <w:color w:val="auto"/>
              </w:rPr>
            </w:pPr>
          </w:p>
        </w:tc>
        <w:tc>
          <w:tcPr>
            <w:tcW w:w="90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of Class (1)</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DAG IV-QP</w:t>
            </w:r>
          </w:p>
        </w:tc>
        <w:tc>
          <w:tcPr>
            <w:tcW w:w="26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vMerge w:val="continue"/>
            <w:shd w:val="clear" w:color="auto" w:fill="CCEEFF"/>
          </w:tcPr>
          <w:p>
            <w:pPr>
              <w:spacing w:after="0"/>
              <w:rPr>
                <w:sz w:val="17"/>
                <w:szCs w:val="17"/>
                <w:color w:val="auto"/>
              </w:rPr>
            </w:pPr>
          </w:p>
        </w:tc>
        <w:tc>
          <w:tcPr>
            <w:tcW w:w="268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ind w:left="580"/>
              <w:spacing w:after="0"/>
              <w:rPr>
                <w:sz w:val="20"/>
                <w:szCs w:val="20"/>
                <w:color w:val="auto"/>
              </w:rPr>
            </w:pPr>
            <w:r>
              <w:rPr>
                <w:rFonts w:ascii="Arial" w:cs="Arial" w:eastAsia="Arial" w:hAnsi="Arial"/>
                <w:sz w:val="15"/>
                <w:szCs w:val="15"/>
                <w:color w:val="auto"/>
                <w:w w:val="71"/>
              </w:rPr>
              <w:t>0</w:t>
            </w:r>
          </w:p>
        </w:tc>
        <w:tc>
          <w:tcPr>
            <w:tcW w:w="5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DAG IV</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DAG IV LLC (2)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 Thomas Goodrich (2)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Cadeddu (2)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Greg Williams (2)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J. Chung (2)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Nick Pianim (2)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number of shares of Common Stock currently underlying all Securities held by the Reporting Persons.</w:t>
      </w:r>
    </w:p>
    <w:p>
      <w:pPr>
        <w:spacing w:after="0" w:line="23" w:lineRule="exact"/>
        <w:rPr>
          <w:rFonts w:ascii="Arial" w:cs="Arial" w:eastAsia="Arial" w:hAnsi="Arial"/>
          <w:sz w:val="18"/>
          <w:szCs w:val="18"/>
          <w:color w:val="auto"/>
        </w:rPr>
      </w:pPr>
    </w:p>
    <w:p>
      <w:pPr>
        <w:ind w:left="460" w:right="40" w:hanging="452"/>
        <w:spacing w:after="0" w:line="252"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DAG IV LLC serves as the general partner of DAG IV-QP and DAG IV. As such, DAG IV LLC possesses power to direct the voting and disposition of the shares owned by DAG IV-QP and DAG IV and may be deemed to have indirect beneficial ownership of the shares held by DAG IV-QP and DAG IV. DAG IV LLC owns no securities of the Issuer directly. Messrs. R. Thomas Goodrich, John J. Cadeddu, Greg Williams, Young J. Chung and Nick Pianim are Managing Directors of DAG IV LLC. As such, Messrs. R. Thomas Goodrich, John J. Cadeddu, Greg Williams, Young J. Chung and Nick Pianim possess power to direct the voting and disposition of the shares owned by DAG IV-QP and DAG IV and may be deemed to have indirect beneficial ownership of the shares held by DAG IV-QP and DAG IV. Messrs. R. Thomas Goodrich, John J. Cadeddu, Greg Williams, Young J. Chung and Nick Pianim own no securities of the Issuer directly.</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60" w:right="2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1420"/>
          </w:cols>
          <w:pgMar w:left="240" w:top="274"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ectPr>
          <w:pgSz w:w="11900" w:h="16838" w:orient="portrait"/>
          <w:cols w:equalWidth="0" w:num="2">
            <w:col w:w="500" w:space="640"/>
            <w:col w:w="10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274" w:right="2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00" w:space="640"/>
            <w:col w:w="10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274" w:right="2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00" w:space="640"/>
            <w:col w:w="10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4" w:right="239" w:bottom="1440" w:gutter="0" w:footer="0" w:header="0"/>
          <w:type w:val="continuous"/>
        </w:sectPr>
      </w:pPr>
    </w:p>
    <w:bookmarkStart w:id="11" w:name="page12"/>
    <w:bookmarkEnd w:id="11"/>
    <w:p>
      <w:pPr>
        <w:spacing w:after="0"/>
        <w:tabs>
          <w:tab w:leader="none" w:pos="560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12 of 13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DAG VENTURES IV-QP,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Nick Pianim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DAG VENTURES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Nick Pianim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DAG VENTURES MANAGEMENT IV,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Nick Pianim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 Thomas Goodrich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 Thomas Goodrich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J. Cadeddu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J. Cadeddu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Greg Williams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Young J. Chung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Nick Pianim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Statement</w:t>
      </w:r>
    </w:p>
    <w:p>
      <w:pPr>
        <w:sectPr>
          <w:pgSz w:w="11900" w:h="16838" w:orient="portrait"/>
          <w:cols w:equalWidth="0" w:num="1">
            <w:col w:w="11420"/>
          </w:cols>
          <w:pgMar w:left="240" w:top="274" w:right="239" w:bottom="1440" w:gutter="0" w:footer="0" w:header="0"/>
        </w:sectPr>
      </w:pPr>
    </w:p>
    <w:bookmarkStart w:id="12" w:name="page13"/>
    <w:bookmarkEnd w:id="12"/>
    <w:p>
      <w:pPr>
        <w:spacing w:after="0"/>
        <w:tabs>
          <w:tab w:leader="none" w:pos="5600" w:val="left"/>
          <w:tab w:leader="none" w:pos="10460" w:val="left"/>
        </w:tabs>
        <w:rPr>
          <w:sz w:val="20"/>
          <w:szCs w:val="20"/>
          <w:color w:val="auto"/>
        </w:rPr>
      </w:pPr>
      <w:r>
        <w:rPr>
          <w:rFonts w:ascii="Arial" w:cs="Arial" w:eastAsia="Arial" w:hAnsi="Arial"/>
          <w:sz w:val="18"/>
          <w:szCs w:val="18"/>
          <w:color w:val="auto"/>
        </w:rPr>
        <w:t>CUSIP No. 92911N104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Common Stock of Vringo,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DAG VENTURES IV-QP,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Nick Pianim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DAG VENTURES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Nick Pianim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DAG VENTURES MANAGEMENT IV,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Nick Pianim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 Thomas Goodrich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 Thomas Goodrich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J. Cadeddu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J. Cadeddu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Greg Williams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Young J. Chung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Nick Pianim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Nick Pianim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bullet"/>
      <w:start w:val="1"/>
    </w:lvl>
  </w:abstractNum>
  <w:abstractNum w:abstractNumId="4">
    <w:nsid w:val="22221A70"/>
    <w:multiLevelType w:val="hybridMultilevel"/>
    <w:lvl w:ilvl="0">
      <w:lvlJc w:val="left"/>
      <w:lvlText w:val="2"/>
      <w:numFmt w:val="bullet"/>
      <w:start w:val="1"/>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4"/>
      <w:numFmt w:val="bullet"/>
      <w:start w:val="1"/>
    </w:lvl>
  </w:abstractNum>
  <w:abstractNum w:abstractNumId="7">
    <w:nsid w:val="614FD4A1"/>
    <w:multiLevelType w:val="hybridMultilevel"/>
    <w:lvl w:ilvl="0">
      <w:lvlJc w:val="left"/>
      <w:lvlText w:val="9"/>
      <w:numFmt w:val="bullet"/>
      <w:start w:val="1"/>
    </w:lvl>
  </w:abstractNum>
  <w:abstractNum w:abstractNumId="8">
    <w:nsid w:val="419AC241"/>
    <w:multiLevelType w:val="hybridMultilevel"/>
    <w:lvl w:ilvl="0">
      <w:lvlJc w:val="left"/>
      <w:lvlText w:val="%1"/>
      <w:numFmt w:val="decimal"/>
      <w:start w:val="1"/>
    </w:lvl>
    <w:lvl w:ilvl="1">
      <w:lvlJc w:val="left"/>
      <w:lvlText w:val="%2"/>
      <w:numFmt w:val="decimal"/>
      <w:start w:val="10"/>
    </w:lvl>
  </w:abstractNum>
  <w:abstractNum w:abstractNumId="9">
    <w:nsid w:val="5577F8E1"/>
    <w:multiLevelType w:val="hybridMultilevel"/>
    <w:lvl w:ilvl="0">
      <w:lvlJc w:val="left"/>
      <w:lvlText w:val="(%1)"/>
      <w:numFmt w:val="decimal"/>
      <w:start w:val="1"/>
    </w:lvl>
    <w:lvl w:ilvl="1">
      <w:lvlJc w:val="left"/>
      <w:lvlText w:val="%2"/>
      <w:numFmt w:val="decimal"/>
      <w:start w:val="1"/>
    </w:lvl>
  </w:abstractNum>
  <w:abstractNum w:abstractNumId="10">
    <w:nsid w:val="440BADFC"/>
    <w:multiLevelType w:val="hybridMultilevel"/>
    <w:lvl w:ilvl="0">
      <w:lvlJc w:val="left"/>
      <w:lvlText w:val="1"/>
      <w:numFmt w:val="bullet"/>
      <w:start w:val="1"/>
    </w:lvl>
  </w:abstractNum>
  <w:abstractNum w:abstractNumId="11">
    <w:nsid w:val="5072367"/>
    <w:multiLevelType w:val="hybridMultilevel"/>
    <w:lvl w:ilvl="0">
      <w:lvlJc w:val="left"/>
      <w:lvlText w:val="2"/>
      <w:numFmt w:val="bullet"/>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4"/>
      <w:numFmt w:val="bullet"/>
      <w:start w:val="1"/>
    </w:lvl>
  </w:abstractNum>
  <w:abstractNum w:abstractNumId="14">
    <w:nsid w:val="7724C67E"/>
    <w:multiLevelType w:val="hybridMultilevel"/>
    <w:lvl w:ilvl="0">
      <w:lvlJc w:val="left"/>
      <w:lvlText w:val="9"/>
      <w:numFmt w:val="bullet"/>
      <w:start w:val="1"/>
    </w:lvl>
  </w:abstractNum>
  <w:abstractNum w:abstractNumId="15">
    <w:nsid w:val="5C482A97"/>
    <w:multiLevelType w:val="hybridMultilevel"/>
    <w:lvl w:ilvl="0">
      <w:lvlJc w:val="left"/>
      <w:lvlText w:val="%1"/>
      <w:numFmt w:val="decimal"/>
      <w:start w:val="1"/>
    </w:lvl>
    <w:lvl w:ilvl="1">
      <w:lvlJc w:val="left"/>
      <w:lvlText w:val="%2"/>
      <w:numFmt w:val="decimal"/>
      <w:start w:val="10"/>
    </w:lvl>
  </w:abstractNum>
  <w:abstractNum w:abstractNumId="16">
    <w:nsid w:val="2463B9EA"/>
    <w:multiLevelType w:val="hybridMultilevel"/>
    <w:lvl w:ilvl="0">
      <w:lvlJc w:val="left"/>
      <w:lvlText w:val="(%1)"/>
      <w:numFmt w:val="decimal"/>
      <w:start w:val="1"/>
    </w:lvl>
    <w:lvl w:ilvl="1">
      <w:lvlJc w:val="left"/>
      <w:lvlText w:val="%2"/>
      <w:numFmt w:val="decimal"/>
      <w:start w:val="1"/>
    </w:lvl>
  </w:abstractNum>
  <w:abstractNum w:abstractNumId="17">
    <w:nsid w:val="5E884ADC"/>
    <w:multiLevelType w:val="hybridMultilevel"/>
    <w:lvl w:ilvl="0">
      <w:lvlJc w:val="left"/>
      <w:lvlText w:val="1"/>
      <w:numFmt w:val="bullet"/>
      <w:start w:val="1"/>
    </w:lvl>
  </w:abstractNum>
  <w:abstractNum w:abstractNumId="18">
    <w:nsid w:val="51EAD36B"/>
    <w:multiLevelType w:val="hybridMultilevel"/>
    <w:lvl w:ilvl="0">
      <w:lvlJc w:val="left"/>
      <w:lvlText w:val="2"/>
      <w:numFmt w:val="bullet"/>
      <w:start w:val="1"/>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4"/>
      <w:numFmt w:val="bullet"/>
      <w:start w:val="1"/>
    </w:lvl>
  </w:abstractNum>
  <w:abstractNum w:abstractNumId="21">
    <w:nsid w:val="153EA438"/>
    <w:multiLevelType w:val="hybridMultilevel"/>
    <w:lvl w:ilvl="0">
      <w:lvlJc w:val="left"/>
      <w:lvlText w:val="9"/>
      <w:numFmt w:val="bullet"/>
      <w:start w:val="1"/>
    </w:lvl>
  </w:abstractNum>
  <w:abstractNum w:abstractNumId="22">
    <w:nsid w:val="3855585C"/>
    <w:multiLevelType w:val="hybridMultilevel"/>
    <w:lvl w:ilvl="0">
      <w:lvlJc w:val="left"/>
      <w:lvlText w:val="%1"/>
      <w:numFmt w:val="decimal"/>
      <w:start w:val="1"/>
    </w:lvl>
    <w:lvl w:ilvl="1">
      <w:lvlJc w:val="left"/>
      <w:lvlText w:val="%2"/>
      <w:numFmt w:val="decimal"/>
      <w:start w:val="10"/>
    </w:lvl>
  </w:abstractNum>
  <w:abstractNum w:abstractNumId="23">
    <w:nsid w:val="70A64E2A"/>
    <w:multiLevelType w:val="hybridMultilevel"/>
    <w:lvl w:ilvl="0">
      <w:lvlJc w:val="left"/>
      <w:lvlText w:val="(%1)"/>
      <w:numFmt w:val="decimal"/>
      <w:start w:val="1"/>
    </w:lvl>
    <w:lvl w:ilvl="1">
      <w:lvlJc w:val="left"/>
      <w:lvlText w:val="%2"/>
      <w:numFmt w:val="decimal"/>
      <w:start w:val="1"/>
    </w:lvl>
  </w:abstractNum>
  <w:abstractNum w:abstractNumId="24">
    <w:nsid w:val="6A2342EC"/>
    <w:multiLevelType w:val="hybridMultilevel"/>
    <w:lvl w:ilvl="0">
      <w:lvlJc w:val="left"/>
      <w:lvlText w:val="1"/>
      <w:numFmt w:val="bullet"/>
      <w:start w:val="1"/>
    </w:lvl>
  </w:abstractNum>
  <w:abstractNum w:abstractNumId="25">
    <w:nsid w:val="2A487CB0"/>
    <w:multiLevelType w:val="hybridMultilevel"/>
    <w:lvl w:ilvl="0">
      <w:lvlJc w:val="left"/>
      <w:lvlText w:val="2"/>
      <w:numFmt w:val="bullet"/>
      <w:start w:val="1"/>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4"/>
      <w:numFmt w:val="bullet"/>
      <w:start w:val="1"/>
    </w:lvl>
  </w:abstractNum>
  <w:abstractNum w:abstractNumId="28">
    <w:nsid w:val="2CD89A32"/>
    <w:multiLevelType w:val="hybridMultilevel"/>
    <w:lvl w:ilvl="0">
      <w:lvlJc w:val="left"/>
      <w:lvlText w:val="9"/>
      <w:numFmt w:val="bullet"/>
      <w:start w:val="1"/>
    </w:lvl>
  </w:abstractNum>
  <w:abstractNum w:abstractNumId="29">
    <w:nsid w:val="57E4CCAF"/>
    <w:multiLevelType w:val="hybridMultilevel"/>
    <w:lvl w:ilvl="0">
      <w:lvlJc w:val="left"/>
      <w:lvlText w:val="%1"/>
      <w:numFmt w:val="decimal"/>
      <w:start w:val="1"/>
    </w:lvl>
    <w:lvl w:ilvl="1">
      <w:lvlJc w:val="left"/>
      <w:lvlText w:val="%2"/>
      <w:numFmt w:val="decimal"/>
      <w:start w:val="10"/>
    </w:lvl>
  </w:abstractNum>
  <w:abstractNum w:abstractNumId="30">
    <w:nsid w:val="7A6D8D3C"/>
    <w:multiLevelType w:val="hybridMultilevel"/>
    <w:lvl w:ilvl="0">
      <w:lvlJc w:val="left"/>
      <w:lvlText w:val="(%1)"/>
      <w:numFmt w:val="decimal"/>
      <w:start w:val="1"/>
    </w:lvl>
    <w:lvl w:ilvl="1">
      <w:lvlJc w:val="left"/>
      <w:lvlText w:val="%2"/>
      <w:numFmt w:val="decimal"/>
      <w:start w:val="1"/>
    </w:lvl>
  </w:abstractNum>
  <w:abstractNum w:abstractNumId="31">
    <w:nsid w:val="4B588F54"/>
    <w:multiLevelType w:val="hybridMultilevel"/>
    <w:lvl w:ilvl="0">
      <w:lvlJc w:val="left"/>
      <w:lvlText w:val="1"/>
      <w:numFmt w:val="bullet"/>
      <w:start w:val="1"/>
    </w:lvl>
  </w:abstractNum>
  <w:abstractNum w:abstractNumId="32">
    <w:nsid w:val="542289EC"/>
    <w:multiLevelType w:val="hybridMultilevel"/>
    <w:lvl w:ilvl="0">
      <w:lvlJc w:val="left"/>
      <w:lvlText w:val="2"/>
      <w:numFmt w:val="bullet"/>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4"/>
      <w:numFmt w:val="bullet"/>
      <w:start w:val="1"/>
    </w:lvl>
  </w:abstractNum>
  <w:abstractNum w:abstractNumId="35">
    <w:nsid w:val="7644A45C"/>
    <w:multiLevelType w:val="hybridMultilevel"/>
    <w:lvl w:ilvl="0">
      <w:lvlJc w:val="left"/>
      <w:lvlText w:val="9"/>
      <w:numFmt w:val="bullet"/>
      <w:start w:val="1"/>
    </w:lvl>
  </w:abstractNum>
  <w:abstractNum w:abstractNumId="36">
    <w:nsid w:val="32FFF902"/>
    <w:multiLevelType w:val="hybridMultilevel"/>
    <w:lvl w:ilvl="0">
      <w:lvlJc w:val="left"/>
      <w:lvlText w:val="%1"/>
      <w:numFmt w:val="decimal"/>
      <w:start w:val="1"/>
    </w:lvl>
    <w:lvl w:ilvl="1">
      <w:lvlJc w:val="left"/>
      <w:lvlText w:val="%2"/>
      <w:numFmt w:val="decimal"/>
      <w:start w:val="10"/>
    </w:lvl>
  </w:abstractNum>
  <w:abstractNum w:abstractNumId="37">
    <w:nsid w:val="684A481A"/>
    <w:multiLevelType w:val="hybridMultilevel"/>
    <w:lvl w:ilvl="0">
      <w:lvlJc w:val="left"/>
      <w:lvlText w:val="(%1)"/>
      <w:numFmt w:val="decimal"/>
      <w:start w:val="1"/>
    </w:lvl>
    <w:lvl w:ilvl="1">
      <w:lvlJc w:val="left"/>
      <w:lvlText w:val="%2"/>
      <w:numFmt w:val="decimal"/>
      <w:start w:val="1"/>
    </w:lvl>
  </w:abstractNum>
  <w:abstractNum w:abstractNumId="38">
    <w:nsid w:val="579478FE"/>
    <w:multiLevelType w:val="hybridMultilevel"/>
    <w:lvl w:ilvl="0">
      <w:lvlJc w:val="left"/>
      <w:lvlText w:val="1"/>
      <w:numFmt w:val="bullet"/>
      <w:start w:val="1"/>
    </w:lvl>
  </w:abstractNum>
  <w:abstractNum w:abstractNumId="39">
    <w:nsid w:val="749ABB43"/>
    <w:multiLevelType w:val="hybridMultilevel"/>
    <w:lvl w:ilvl="0">
      <w:lvlJc w:val="left"/>
      <w:lvlText w:val="2"/>
      <w:numFmt w:val="bullet"/>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4"/>
      <w:numFmt w:val="bullet"/>
      <w:start w:val="1"/>
    </w:lvl>
  </w:abstractNum>
  <w:abstractNum w:abstractNumId="42">
    <w:nsid w:val="79A1DEAA"/>
    <w:multiLevelType w:val="hybridMultilevel"/>
    <w:lvl w:ilvl="0">
      <w:lvlJc w:val="left"/>
      <w:lvlText w:val="9"/>
      <w:numFmt w:val="bullet"/>
      <w:start w:val="1"/>
    </w:lvl>
  </w:abstractNum>
  <w:abstractNum w:abstractNumId="43">
    <w:nsid w:val="75C6C33A"/>
    <w:multiLevelType w:val="hybridMultilevel"/>
    <w:lvl w:ilvl="0">
      <w:lvlJc w:val="left"/>
      <w:lvlText w:val="%1"/>
      <w:numFmt w:val="decimal"/>
      <w:start w:val="1"/>
    </w:lvl>
    <w:lvl w:ilvl="1">
      <w:lvlJc w:val="left"/>
      <w:lvlText w:val="%2"/>
      <w:numFmt w:val="decimal"/>
      <w:start w:val="10"/>
    </w:lvl>
  </w:abstractNum>
  <w:abstractNum w:abstractNumId="44">
    <w:nsid w:val="12E685FB"/>
    <w:multiLevelType w:val="hybridMultilevel"/>
    <w:lvl w:ilvl="0">
      <w:lvlJc w:val="left"/>
      <w:lvlText w:val="(%1)"/>
      <w:numFmt w:val="decimal"/>
      <w:start w:val="1"/>
    </w:lvl>
    <w:lvl w:ilvl="1">
      <w:lvlJc w:val="left"/>
      <w:lvlText w:val="%2"/>
      <w:numFmt w:val="decimal"/>
      <w:start w:val="1"/>
    </w:lvl>
  </w:abstractNum>
  <w:abstractNum w:abstractNumId="45">
    <w:nsid w:val="70C6A529"/>
    <w:multiLevelType w:val="hybridMultilevel"/>
    <w:lvl w:ilvl="0">
      <w:lvlJc w:val="left"/>
      <w:lvlText w:val="1"/>
      <w:numFmt w:val="bullet"/>
      <w:start w:val="1"/>
    </w:lvl>
  </w:abstractNum>
  <w:abstractNum w:abstractNumId="46">
    <w:nsid w:val="520EEDD1"/>
    <w:multiLevelType w:val="hybridMultilevel"/>
    <w:lvl w:ilvl="0">
      <w:lvlJc w:val="left"/>
      <w:lvlText w:val="2"/>
      <w:numFmt w:val="bullet"/>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4"/>
      <w:numFmt w:val="bullet"/>
      <w:start w:val="1"/>
    </w:lvl>
  </w:abstractNum>
  <w:abstractNum w:abstractNumId="49">
    <w:nsid w:val="23F9C13C"/>
    <w:multiLevelType w:val="hybridMultilevel"/>
    <w:lvl w:ilvl="0">
      <w:lvlJc w:val="left"/>
      <w:lvlText w:val="9"/>
      <w:numFmt w:val="bullet"/>
      <w:start w:val="1"/>
    </w:lvl>
  </w:abstractNum>
  <w:abstractNum w:abstractNumId="50">
    <w:nsid w:val="649BB77C"/>
    <w:multiLevelType w:val="hybridMultilevel"/>
    <w:lvl w:ilvl="0">
      <w:lvlJc w:val="left"/>
      <w:lvlText w:val="%1"/>
      <w:numFmt w:val="decimal"/>
      <w:start w:val="1"/>
    </w:lvl>
    <w:lvl w:ilvl="1">
      <w:lvlJc w:val="left"/>
      <w:lvlText w:val="%2"/>
      <w:numFmt w:val="decimal"/>
      <w:start w:val="10"/>
    </w:lvl>
  </w:abstractNum>
  <w:abstractNum w:abstractNumId="51">
    <w:nsid w:val="275AC794"/>
    <w:multiLevelType w:val="hybridMultilevel"/>
    <w:lvl w:ilvl="0">
      <w:lvlJc w:val="left"/>
      <w:lvlText w:val="(%1)"/>
      <w:numFmt w:val="decimal"/>
      <w:start w:val="1"/>
    </w:lvl>
    <w:lvl w:ilvl="1">
      <w:lvlJc w:val="left"/>
      <w:lvlText w:val="%2"/>
      <w:numFmt w:val="decimal"/>
      <w:start w:val="1"/>
    </w:lvl>
  </w:abstractNum>
  <w:abstractNum w:abstractNumId="52">
    <w:nsid w:val="39386575"/>
    <w:multiLevelType w:val="hybridMultilevel"/>
    <w:lvl w:ilvl="0">
      <w:lvlJc w:val="left"/>
      <w:lvlText w:val="1"/>
      <w:numFmt w:val="bullet"/>
      <w:start w:val="1"/>
    </w:lvl>
  </w:abstractNum>
  <w:abstractNum w:abstractNumId="53">
    <w:nsid w:val="1CF10FD8"/>
    <w:multiLevelType w:val="hybridMultilevel"/>
    <w:lvl w:ilvl="0">
      <w:lvlJc w:val="left"/>
      <w:lvlText w:val="2"/>
      <w:numFmt w:val="bullet"/>
      <w:start w:val="1"/>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4"/>
      <w:numFmt w:val="bullet"/>
      <w:start w:val="1"/>
    </w:lvl>
  </w:abstractNum>
  <w:abstractNum w:abstractNumId="56">
    <w:nsid w:val="47398C89"/>
    <w:multiLevelType w:val="hybridMultilevel"/>
    <w:lvl w:ilvl="0">
      <w:lvlJc w:val="left"/>
      <w:lvlText w:val="9"/>
      <w:numFmt w:val="bullet"/>
      <w:start w:val="1"/>
    </w:lvl>
  </w:abstractNum>
  <w:abstractNum w:abstractNumId="57">
    <w:nsid w:val="354FE9F9"/>
    <w:multiLevelType w:val="hybridMultilevel"/>
    <w:lvl w:ilvl="0">
      <w:lvlJc w:val="left"/>
      <w:lvlText w:val="%1"/>
      <w:numFmt w:val="decimal"/>
      <w:start w:val="1"/>
    </w:lvl>
    <w:lvl w:ilvl="1">
      <w:lvlJc w:val="left"/>
      <w:lvlText w:val="%2"/>
      <w:numFmt w:val="decimal"/>
      <w:start w:val="10"/>
    </w:lvl>
  </w:abstractNum>
  <w:abstractNum w:abstractNumId="58">
    <w:nsid w:val="15B5AF5C"/>
    <w:multiLevelType w:val="hybridMultilevel"/>
    <w:lvl w:ilvl="0">
      <w:lvlJc w:val="left"/>
      <w:lvlText w:val="(%1)"/>
      <w:numFmt w:val="decimal"/>
      <w:start w:val="1"/>
    </w:lvl>
    <w:lvl w:ilvl="1">
      <w:lvlJc w:val="left"/>
      <w:lvlText w:val="%2"/>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2019-12-08T20:09:55Z</dcterms:created>
  <dcterms:modified xsi:type="dcterms:W3CDTF">2019-12-08T20:09:55Z</dcterms:modified>
</cp:coreProperties>
</file>