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64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641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David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31"/>
        <w:spacing w:after="0"/>
        <w:rPr>
          <w:sz w:val="20"/>
          <w:szCs w:val="20"/>
          <w:color w:val="auto"/>
        </w:rPr>
      </w:pPr>
      <w:r>
        <w:rPr>
          <w:rFonts w:ascii="Arial" w:cs="Arial" w:eastAsia="Arial" w:hAnsi="Arial"/>
          <w:sz w:val="17"/>
          <w:szCs w:val="17"/>
          <w:color w:val="0000FF"/>
        </w:rPr>
        <w:t>Chief Legal and IP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780" w:type="dxa"/>
            <w:vAlign w:val="bottom"/>
            <w:vMerge w:val="restart"/>
          </w:tcPr>
          <w:p>
            <w:pPr>
              <w:ind w:left="40"/>
              <w:spacing w:after="0"/>
              <w:rPr>
                <w:sz w:val="20"/>
                <w:szCs w:val="20"/>
                <w:color w:val="auto"/>
              </w:rPr>
            </w:pPr>
            <w:r>
              <w:rPr>
                <w:rFonts w:ascii="Arial" w:cs="Arial" w:eastAsia="Arial" w:hAnsi="Arial"/>
                <w:sz w:val="17"/>
                <w:szCs w:val="17"/>
                <w:color w:val="0000FF"/>
              </w:rPr>
              <w:t>10017</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80" w:type="dxa"/>
            <w:vAlign w:val="bottom"/>
            <w:tcBorders>
              <w:bottom w:val="single" w:sz="8" w:color="2C2C2C"/>
            </w:tcBorders>
            <w:gridSpan w:val="6"/>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3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 per share</w:t>
            </w:r>
          </w:p>
        </w:tc>
        <w:tc>
          <w:tcPr>
            <w:tcW w:w="98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7"/>
                <w:szCs w:val="17"/>
                <w:color w:val="0000FF"/>
                <w:w w:val="91"/>
              </w:rPr>
              <w:t>01/29/2014</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4"/>
              </w:rPr>
              <w:t>100,000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20"/>
              <w:spacing w:after="0"/>
              <w:rPr>
                <w:sz w:val="20"/>
                <w:szCs w:val="20"/>
                <w:color w:val="auto"/>
              </w:rPr>
            </w:pPr>
            <w:r>
              <w:rPr>
                <w:rFonts w:ascii="Arial" w:cs="Arial" w:eastAsia="Arial" w:hAnsi="Arial"/>
                <w:sz w:val="17"/>
                <w:szCs w:val="17"/>
                <w:color w:val="0000FF"/>
              </w:rPr>
              <w:t>183,853</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33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 per share</w:t>
            </w:r>
          </w:p>
        </w:tc>
        <w:tc>
          <w:tcPr>
            <w:tcW w:w="98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7"/>
                <w:szCs w:val="17"/>
                <w:color w:val="0000FF"/>
                <w:w w:val="91"/>
              </w:rPr>
              <w:t>01/29/2014</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4"/>
              </w:rPr>
              <w:t>100,000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5.0002</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ind w:right="260"/>
              <w:spacing w:after="0"/>
              <w:rPr>
                <w:sz w:val="20"/>
                <w:szCs w:val="20"/>
                <w:color w:val="auto"/>
              </w:rPr>
            </w:pPr>
            <w:r>
              <w:rPr>
                <w:rFonts w:ascii="Arial" w:cs="Arial" w:eastAsia="Arial" w:hAnsi="Arial"/>
                <w:sz w:val="17"/>
                <w:szCs w:val="17"/>
                <w:color w:val="0000FF"/>
              </w:rPr>
              <w:t>83,853</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0" w:type="dxa"/>
            <w:vAlign w:val="bottom"/>
            <w:gridSpan w:val="10"/>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3.72</w:t>
            </w:r>
          </w:p>
        </w:tc>
        <w:tc>
          <w:tcPr>
            <w:tcW w:w="140" w:type="dxa"/>
            <w:vAlign w:val="bottom"/>
          </w:tcPr>
          <w:p>
            <w:pPr>
              <w:spacing w:after="0"/>
              <w:rPr>
                <w:sz w:val="21"/>
                <w:szCs w:val="21"/>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01/29/2014</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Arial" w:cs="Arial" w:eastAsia="Arial" w:hAnsi="Arial"/>
                <w:sz w:val="13"/>
                <w:szCs w:val="13"/>
                <w:color w:val="0000FF"/>
                <w:w w:val="91"/>
              </w:rPr>
              <w:t>M</w:t>
            </w:r>
          </w:p>
        </w:tc>
        <w:tc>
          <w:tcPr>
            <w:tcW w:w="18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3"/>
                <w:szCs w:val="13"/>
                <w:color w:val="0000FF"/>
              </w:rPr>
              <w:t>100,000</w:t>
            </w:r>
          </w:p>
        </w:tc>
        <w:tc>
          <w:tcPr>
            <w:tcW w:w="800" w:type="dxa"/>
            <w:vAlign w:val="bottom"/>
          </w:tcPr>
          <w:p>
            <w:pPr>
              <w:ind w:left="80"/>
              <w:spacing w:after="0"/>
              <w:rPr>
                <w:sz w:val="20"/>
                <w:szCs w:val="20"/>
                <w:color w:val="auto"/>
              </w:rPr>
            </w:pPr>
            <w:r>
              <w:rPr>
                <w:rFonts w:ascii="Arial" w:cs="Arial" w:eastAsia="Arial" w:hAnsi="Arial"/>
                <w:sz w:val="13"/>
                <w:szCs w:val="13"/>
                <w:color w:val="0000FF"/>
              </w:rPr>
              <w:t>10/26/2013</w:t>
            </w:r>
          </w:p>
        </w:tc>
        <w:tc>
          <w:tcPr>
            <w:tcW w:w="740" w:type="dxa"/>
            <w:vAlign w:val="bottom"/>
          </w:tcPr>
          <w:p>
            <w:pPr>
              <w:ind w:left="60"/>
              <w:spacing w:after="0"/>
              <w:rPr>
                <w:sz w:val="20"/>
                <w:szCs w:val="20"/>
                <w:color w:val="auto"/>
              </w:rPr>
            </w:pPr>
            <w:r>
              <w:rPr>
                <w:rFonts w:ascii="Arial" w:cs="Arial" w:eastAsia="Arial" w:hAnsi="Arial"/>
                <w:sz w:val="13"/>
                <w:szCs w:val="13"/>
                <w:color w:val="0000FF"/>
              </w:rPr>
              <w:t>07/26/2022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Of which, 67,708 shares of common stock are represented by unvested restricted stock units.</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line item were effected pursuant to a Rule 10b5-1 trading plan adopted by the reporting person on November 25, 2013.</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right="440"/>
        <w:spacing w:after="0" w:line="259" w:lineRule="auto"/>
        <w:rPr>
          <w:sz w:val="20"/>
          <w:szCs w:val="20"/>
          <w:color w:val="auto"/>
        </w:rPr>
      </w:pPr>
      <w:r>
        <w:rPr>
          <w:rFonts w:ascii="Arial" w:cs="Arial" w:eastAsia="Arial" w:hAnsi="Arial"/>
          <w:sz w:val="13"/>
          <w:szCs w:val="13"/>
          <w:color w:val="008000"/>
        </w:rPr>
        <w:t>As of the reporting date, the reporting person holds 776,666 vested and unvested options and 67,708 vested and unvested restricted stock units. In addition, the reporting person owns 16,145 shares of common stock. The total number of securities listed is 860,519.</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David L. Cohen</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01/31/2014</w:t>
            </w:r>
          </w:p>
        </w:tc>
      </w:tr>
      <w:tr>
        <w:trPr>
          <w:trHeight w:val="20"/>
        </w:trPr>
        <w:tc>
          <w:tcPr>
            <w:tcW w:w="1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6248"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2019-12-17T06:16:31Z</dcterms:created>
  <dcterms:modified xsi:type="dcterms:W3CDTF">2019-12-17T06:16:31Z</dcterms:modified>
</cp:coreProperties>
</file>