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900" w:right="1920" w:hanging="3892"/>
        <w:spacing w:after="0" w:line="473" w:lineRule="auto"/>
        <w:tabs>
          <w:tab w:leader="none" w:pos="35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30" w:lineRule="exact"/>
        <w:rPr>
          <w:sz w:val="24"/>
          <w:szCs w:val="24"/>
          <w:color w:val="auto"/>
        </w:rPr>
      </w:pPr>
    </w:p>
    <w:p>
      <w:pPr>
        <w:ind w:left="4460" w:right="1900" w:hanging="4452"/>
        <w:spacing w:after="0" w:line="501"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Commission file number: 001-34785</w:t>
            </w:r>
          </w:p>
        </w:tc>
        <w:tc>
          <w:tcPr>
            <w:tcW w:w="3540" w:type="dxa"/>
            <w:vAlign w:val="bottom"/>
          </w:tcPr>
          <w:p>
            <w:pPr>
              <w:spacing w:after="0"/>
              <w:rPr>
                <w:sz w:val="20"/>
                <w:szCs w:val="20"/>
                <w:color w:val="auto"/>
              </w:rPr>
            </w:pPr>
          </w:p>
        </w:tc>
      </w:tr>
      <w:tr>
        <w:trPr>
          <w:trHeight w:val="414"/>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rPr>
              <w:t>VRINGO, INC.</w:t>
            </w:r>
          </w:p>
        </w:tc>
        <w:tc>
          <w:tcPr>
            <w:tcW w:w="3540" w:type="dxa"/>
            <w:vAlign w:val="bottom"/>
          </w:tcPr>
          <w:p>
            <w:pPr>
              <w:spacing w:after="0"/>
              <w:rPr>
                <w:sz w:val="24"/>
                <w:szCs w:val="24"/>
                <w:color w:val="auto"/>
              </w:rPr>
            </w:pPr>
          </w:p>
        </w:tc>
      </w:t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540" w:type="dxa"/>
            <w:vAlign w:val="bottom"/>
          </w:tcPr>
          <w:p>
            <w:pPr>
              <w:spacing w:after="0"/>
              <w:rPr>
                <w:sz w:val="20"/>
                <w:szCs w:val="20"/>
                <w:color w:val="auto"/>
              </w:rPr>
            </w:pPr>
          </w:p>
        </w:tc>
      </w:tr>
      <w:tr>
        <w:trPr>
          <w:trHeight w:val="432"/>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7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9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2"/>
              </w:rPr>
              <w:t>780 3rd Ave. 15th Floor, New York, NY</w:t>
            </w:r>
          </w:p>
        </w:tc>
        <w:tc>
          <w:tcPr>
            <w:tcW w:w="354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center"/>
              <w:ind w:left="5070"/>
              <w:spacing w:after="0"/>
              <w:rPr>
                <w:sz w:val="20"/>
                <w:szCs w:val="20"/>
                <w:color w:val="auto"/>
              </w:rPr>
            </w:pPr>
            <w:r>
              <w:rPr>
                <w:rFonts w:ascii="Arial" w:cs="Arial" w:eastAsia="Arial" w:hAnsi="Arial"/>
                <w:sz w:val="18"/>
                <w:szCs w:val="18"/>
                <w:b w:val="1"/>
                <w:bCs w:val="1"/>
                <w:color w:val="auto"/>
                <w:w w:val="90"/>
              </w:rPr>
              <w:t>(212) 309-7549</w:t>
            </w: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720"/>
            <w:col w:w="4400" w:space="720"/>
            <w:col w:w="214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160" w:space="720"/>
            <w:col w:w="160" w:space="40"/>
            <w:col w:w="4200" w:space="720"/>
            <w:col w:w="2140" w:space="720"/>
            <w:col w:w="560"/>
          </w:cols>
          <w:pgMar w:left="240" w:top="472" w:right="23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May 8, 2013, 82,749,093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60" w:type="dxa"/>
            <w:vAlign w:val="bottom"/>
          </w:tcPr>
          <w:p>
            <w:pPr>
              <w:jc w:val="center"/>
              <w:ind w:right="50"/>
              <w:spacing w:after="0"/>
              <w:rPr>
                <w:sz w:val="20"/>
                <w:szCs w:val="20"/>
                <w:color w:val="auto"/>
              </w:rPr>
            </w:pPr>
            <w:r>
              <w:rPr>
                <w:rFonts w:ascii="Arial" w:cs="Arial" w:eastAsia="Arial" w:hAnsi="Arial"/>
                <w:sz w:val="18"/>
                <w:szCs w:val="18"/>
                <w:b w:val="1"/>
                <w:bCs w:val="1"/>
                <w:color w:val="auto"/>
              </w:rPr>
              <w:t>VRINGO, INC.</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Financial Statements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gridSpan w:val="2"/>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6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6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Risk Factors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Defaults Upon Senior Securities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6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Information</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tcPr>
          <w:p>
            <w:pPr>
              <w:ind w:left="30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(which was renamed Innovate/Protect, Inc.), and the former stockholders of I/P received shares of Vringo that constituted a majority of the outstanding shares of Vringo.</w:t>
      </w:r>
    </w:p>
    <w:p>
      <w:pPr>
        <w:spacing w:after="0" w:line="173"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As a result, the Merger has been accounted for as a reverse acquisition under which I/P was considered the acquirer of Vringo. As such, the financial statements of I/P are treated as the historical financial statements of the combined company, with the results of Vringo being included from July 19, 2012.</w:t>
      </w:r>
    </w:p>
    <w:p>
      <w:pPr>
        <w:spacing w:after="0" w:line="12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references in this Quarterly Report on Form 10-Q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rPr>
              <w:t>Part I — FINANCIAL INFORMATION</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w w:val="90"/>
              </w:rPr>
              <w:t>Vringo, Inc. and Subsidiaries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w w:val="89"/>
              </w:rPr>
              <w:t>(a Development Stage Company)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w w:val="99"/>
              </w:rPr>
              <w:t>CONSOLIDATED BALANCE SHEETS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jc w:val="center"/>
              <w:ind w:left="3990"/>
              <w:spacing w:after="0"/>
              <w:rPr>
                <w:sz w:val="20"/>
                <w:szCs w:val="20"/>
                <w:color w:val="auto"/>
              </w:rPr>
            </w:pPr>
            <w:r>
              <w:rPr>
                <w:rFonts w:ascii="Arial" w:cs="Arial" w:eastAsia="Arial" w:hAnsi="Arial"/>
                <w:sz w:val="18"/>
                <w:szCs w:val="18"/>
                <w:b w:val="1"/>
                <w:bCs w:val="1"/>
                <w:color w:val="auto"/>
                <w:w w:val="93"/>
              </w:rPr>
              <w:t>(Unaudited)</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jc w:val="center"/>
              <w:ind w:left="4010"/>
              <w:spacing w:after="0"/>
              <w:rPr>
                <w:sz w:val="20"/>
                <w:szCs w:val="20"/>
                <w:color w:val="auto"/>
              </w:rPr>
            </w:pPr>
            <w:r>
              <w:rPr>
                <w:rFonts w:ascii="Arial" w:cs="Arial" w:eastAsia="Arial" w:hAnsi="Arial"/>
                <w:sz w:val="18"/>
                <w:szCs w:val="18"/>
                <w:b w:val="1"/>
                <w:bCs w:val="1"/>
                <w:color w:val="auto"/>
                <w:w w:val="89"/>
              </w:rPr>
              <w:t>(U.S. $ in thousands)</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49,128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3,120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244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52,609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10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w w:val="91"/>
              </w:rPr>
              <w:t>Property and equipment, at cost, net of $73 and $47 accumulated depreciation and amortization, as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296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of March 31, 2013 and December 31, 2012, respectively</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32,789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65,965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151,705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157,786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3,596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4,081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10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7"/>
              </w:rPr>
              <w:t>4,7</w:t>
            </w: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7,919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long-term liabilities</w:t>
            </w:r>
          </w:p>
        </w:tc>
        <w:tc>
          <w:tcPr>
            <w:tcW w:w="10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7,919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8</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7</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w w:val="98"/>
              </w:rPr>
              <w:t>Series A Convertible Preferred stock, $0.01 par value per share; 5,000,000 authorized; 6,673</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issued; none outstanding, as of March 31, 2013 and as of December 31, 2012</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Common stock, $0.01 par value per share 150,000,000 authorized; 82,516,935 and 81,889,226</w:t>
            </w:r>
          </w:p>
        </w:tc>
        <w:tc>
          <w:tcPr>
            <w:tcW w:w="10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825</w:t>
            </w: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issued and outstanding as of March 31, 2013 and December 31, 2012, respectively</w:t>
            </w:r>
          </w:p>
        </w:tc>
        <w:tc>
          <w:tcPr>
            <w:tcW w:w="10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44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174,439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0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(35,559)</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w:t>
            </w:r>
          </w:p>
        </w:tc>
        <w:tc>
          <w:tcPr>
            <w:tcW w:w="10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139,705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151,705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9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6"/>
              </w:rPr>
              <w:t>Three months ended March 31,</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to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65</w:t>
            </w:r>
          </w:p>
        </w:tc>
        <w:tc>
          <w:tcPr>
            <w:tcW w:w="26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6,681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826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4,137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11,644</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1,867</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39,527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(11,579</w:t>
            </w:r>
          </w:p>
        </w:tc>
        <w:tc>
          <w:tcPr>
            <w:tcW w:w="260" w:type="dxa"/>
            <w:vAlign w:val="bottom"/>
            <w:tcBorders>
              <w:bottom w:val="single" w:sz="8" w:color="CCFFCC"/>
            </w:tcBorders>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(39,093</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Non-operating income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Non-operating expense</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Gain (loss) on revaluation of derivative warrants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taxes on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(11,948</w:t>
            </w:r>
          </w:p>
        </w:tc>
        <w:tc>
          <w:tcPr>
            <w:tcW w:w="260" w:type="dxa"/>
            <w:vAlign w:val="bottom"/>
            <w:tcBorders>
              <w:bottom w:val="single" w:sz="8" w:color="CCFFCC"/>
            </w:tcBorders>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CFFC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(11,964)</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(1,871)</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Basic net loss per common share</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bottom w:val="single" w:sz="8" w:color="CCFFCC"/>
            </w:tcBorders>
            <w:vMerge w:val="restart"/>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CCFFCC"/>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CCFFCC"/>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(0.15</w:t>
            </w:r>
          </w:p>
        </w:tc>
        <w:tc>
          <w:tcPr>
            <w:tcW w:w="260" w:type="dxa"/>
            <w:vAlign w:val="bottom"/>
            <w:tcBorders>
              <w:bottom w:val="single" w:sz="8" w:color="CCFFCC"/>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Borders>
              <w:bottom w:val="single" w:sz="8" w:color="CCFFCC"/>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 net loss per common share</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(0.15</w:t>
            </w:r>
          </w:p>
        </w:tc>
        <w:tc>
          <w:tcPr>
            <w:tcW w:w="260" w:type="dxa"/>
            <w:vAlign w:val="bottom"/>
            <w:tcBorders>
              <w:bottom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Borders>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shares used in computing net loss per common share:</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82,389,353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4,365,117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35,948,434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82,389,353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4,365,117</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38,171,284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243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2,557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3,094</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Series A</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convertible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preferred</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Common</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Additional</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stock</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paid-in capital</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stage</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FFCC"/>
            </w:tcBorders>
            <w:gridSpan w:val="2"/>
            <w:shd w:val="clear" w:color="auto" w:fill="CCFFCC"/>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FFCC"/>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(2,754)</w:t>
            </w: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182"/>
        </w:trPr>
        <w:tc>
          <w:tcPr>
            <w:tcW w:w="4120" w:type="dxa"/>
            <w:vAlign w:val="bottom"/>
          </w:tcPr>
          <w:p>
            <w:pPr>
              <w:spacing w:after="0" w:line="182"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Preferred stock, classified as mezzanine equity</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Stock-based compensation, including grant of shares to</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consultants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8,084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8,087</w:t>
            </w:r>
          </w:p>
        </w:tc>
        <w:tc>
          <w:tcPr>
            <w:tcW w:w="80" w:type="dxa"/>
            <w:vAlign w:val="bottom"/>
            <w:shd w:val="clear" w:color="auto" w:fill="CCFFCC"/>
          </w:tcPr>
          <w:p>
            <w:pPr>
              <w:spacing w:after="0"/>
              <w:rPr>
                <w:sz w:val="20"/>
                <w:szCs w:val="20"/>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Recording of equity instruments upon Merger, net of</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w w:val="97"/>
              </w:rPr>
              <w:t>fair value of issued warrants $21,954 and issuance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cost of $463</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54,809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54,961</w:t>
            </w:r>
          </w:p>
        </w:tc>
        <w:tc>
          <w:tcPr>
            <w:tcW w:w="80" w:type="dxa"/>
            <w:vAlign w:val="bottom"/>
          </w:tcPr>
          <w:p>
            <w:pPr>
              <w:spacing w:after="0"/>
              <w:rPr>
                <w:sz w:val="20"/>
                <w:szCs w:val="20"/>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FFCC"/>
          </w:tcPr>
          <w:p>
            <w:pPr>
              <w:spacing w:after="0"/>
              <w:rPr>
                <w:sz w:val="18"/>
                <w:szCs w:val="18"/>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Preferred stock, classified as equity</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22,932</w:t>
            </w:r>
          </w:p>
        </w:tc>
        <w:tc>
          <w:tcPr>
            <w:tcW w:w="80" w:type="dxa"/>
            <w:vAlign w:val="bottom"/>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round, net of issuance cost of $52</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31,052</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31,148</w:t>
            </w:r>
          </w:p>
        </w:tc>
        <w:tc>
          <w:tcPr>
            <w:tcW w:w="80" w:type="dxa"/>
            <w:vAlign w:val="bottom"/>
            <w:shd w:val="clear" w:color="auto" w:fill="CCFFCC"/>
          </w:tcPr>
          <w:p>
            <w:pPr>
              <w:spacing w:after="0"/>
              <w:rPr>
                <w:sz w:val="20"/>
                <w:szCs w:val="20"/>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Shares issued for acquisition of patents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round, net of issuance cost of $39</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44,859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44,962</w:t>
            </w:r>
          </w:p>
        </w:tc>
        <w:tc>
          <w:tcPr>
            <w:tcW w:w="80" w:type="dxa"/>
            <w:vAlign w:val="bottom"/>
            <w:shd w:val="clear" w:color="auto" w:fill="CCFFCC"/>
          </w:tcPr>
          <w:p>
            <w:pPr>
              <w:spacing w:after="0"/>
              <w:rPr>
                <w:sz w:val="20"/>
                <w:szCs w:val="20"/>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(20,841)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(20,841)</w:t>
            </w: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819</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171,108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(23,595</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148,332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Exercise of stock options and RSUs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234</w:t>
            </w:r>
          </w:p>
        </w:tc>
        <w:tc>
          <w:tcPr>
            <w:tcW w:w="80" w:type="dxa"/>
            <w:vAlign w:val="bottom"/>
            <w:shd w:val="clear" w:color="auto" w:fill="CCFFC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3,094</w:t>
            </w:r>
          </w:p>
        </w:tc>
        <w:tc>
          <w:tcPr>
            <w:tcW w:w="80" w:type="dxa"/>
            <w:vAlign w:val="bottom"/>
          </w:tcPr>
          <w:p>
            <w:pPr>
              <w:spacing w:after="0"/>
              <w:rPr>
                <w:sz w:val="18"/>
                <w:szCs w:val="18"/>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(11,964)</w:t>
            </w:r>
          </w:p>
        </w:tc>
        <w:tc>
          <w:tcPr>
            <w:tcW w:w="13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(11,964)</w:t>
            </w: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Balance as of March 31, 2013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174,439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(35,559</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Cumulative from</w:t>
            </w:r>
          </w:p>
        </w:tc>
      </w:tr>
      <w:tr>
        <w:trPr>
          <w:trHeight w:val="216"/>
        </w:trPr>
        <w:tc>
          <w:tcPr>
            <w:tcW w:w="7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Inception to</w:t>
            </w:r>
          </w:p>
        </w:tc>
      </w:tr>
      <w:tr>
        <w:trPr>
          <w:trHeight w:val="234"/>
        </w:trPr>
        <w:tc>
          <w:tcPr>
            <w:tcW w:w="7040" w:type="dxa"/>
            <w:vAlign w:val="bottom"/>
          </w:tcPr>
          <w:p>
            <w:pPr>
              <w:spacing w:after="0"/>
              <w:rPr>
                <w:sz w:val="20"/>
                <w:szCs w:val="20"/>
                <w:color w:val="auto"/>
              </w:rPr>
            </w:pPr>
          </w:p>
        </w:tc>
        <w:tc>
          <w:tcPr>
            <w:tcW w:w="2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5"/>
              </w:rPr>
              <w:t>Three months ended March 31,</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March 31,</w:t>
            </w:r>
          </w:p>
        </w:tc>
      </w:tr>
      <w:tr>
        <w:trPr>
          <w:trHeight w:val="223"/>
        </w:trPr>
        <w:tc>
          <w:tcPr>
            <w:tcW w:w="7040" w:type="dxa"/>
            <w:vAlign w:val="bottom"/>
            <w:tcBorders>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9"/>
                <w:szCs w:val="19"/>
                <w:color w:val="auto"/>
              </w:rPr>
            </w:pPr>
          </w:p>
        </w:tc>
      </w:tr>
      <w:tr>
        <w:trPr>
          <w:trHeight w:val="210"/>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(11,964)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(35,559)</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1,281</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4,111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3,094</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11,655</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Issuance of warrants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2,883</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fair value of warrants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376</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(6,471)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Exchange rate losses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Increase in payables and accruals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2,228</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418</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2,684</w:t>
            </w:r>
          </w:p>
        </w:tc>
      </w:tr>
      <w:tr>
        <w:trPr>
          <w:trHeight w:val="210"/>
        </w:trPr>
        <w:tc>
          <w:tcPr>
            <w:tcW w:w="70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Deposit in short-term investments</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(3,120)</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Acquisition of patents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(25,944)</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deposits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Cash acquired as part of acquisition of Vringo (1)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3,326</w:t>
            </w:r>
          </w:p>
        </w:tc>
      </w:tr>
      <w:tr>
        <w:trPr>
          <w:trHeight w:val="210"/>
        </w:trPr>
        <w:tc>
          <w:tcPr>
            <w:tcW w:w="7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(3,140</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Three months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 month</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period ended</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Borders>
              <w:bottom w:val="single" w:sz="8" w:color="CCFFCC"/>
            </w:tcBorders>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 of $52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 net of issuance cost of $39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(repayment) of note payable—related party</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Exercise of options and RSUs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Exercise of warrants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174</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96,013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(7,832)</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(1,232)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56,960</w:t>
            </w:r>
          </w:p>
        </w:tc>
        <w:tc>
          <w:tcPr>
            <w:tcW w:w="1260" w:type="dxa"/>
            <w:vAlign w:val="bottom"/>
          </w:tcPr>
          <w:p>
            <w:pPr>
              <w:jc w:val="right"/>
              <w:spacing w:after="0"/>
              <w:rPr>
                <w:sz w:val="20"/>
                <w:szCs w:val="20"/>
                <w:color w:val="auto"/>
              </w:rPr>
            </w:pPr>
            <w:r>
              <w:rPr>
                <w:rFonts w:ascii="Arial" w:cs="Arial" w:eastAsia="Arial" w:hAnsi="Arial"/>
                <w:sz w:val="18"/>
                <w:szCs w:val="18"/>
                <w:color w:val="auto"/>
              </w:rPr>
              <w:t>5,212</w:t>
            </w: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49,128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3,980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49,128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taxes paid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Conversion of Series A preferred stock to common stock</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Non cash acquisition of patents through issuance of common stock shares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 mezzanine equity, into</w:t>
            </w: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prior to the Merger</w:t>
            </w:r>
          </w:p>
        </w:tc>
        <w:tc>
          <w:tcPr>
            <w:tcW w:w="1440" w:type="dxa"/>
            <w:vAlign w:val="bottom"/>
            <w:gridSpan w:val="2"/>
            <w:vMerge w:val="continue"/>
            <w:shd w:val="clear" w:color="auto" w:fill="CCFFCC"/>
          </w:tcPr>
          <w:p>
            <w:pPr>
              <w:spacing w:after="0"/>
              <w:rPr>
                <w:sz w:val="20"/>
                <w:szCs w:val="20"/>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 mezzanine equity, into</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common stock, upon Merger</w:t>
            </w:r>
          </w:p>
        </w:tc>
        <w:tc>
          <w:tcPr>
            <w:tcW w:w="1440" w:type="dxa"/>
            <w:vAlign w:val="bottom"/>
            <w:gridSpan w:val="2"/>
            <w:vMerge w:val="continue"/>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Conversion of Series A Convertible Preferred stock, classified as equity, into common stock,</w:t>
            </w:r>
          </w:p>
        </w:tc>
        <w:tc>
          <w:tcPr>
            <w:tcW w:w="14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post-Merger</w:t>
            </w:r>
          </w:p>
        </w:tc>
        <w:tc>
          <w:tcPr>
            <w:tcW w:w="1440" w:type="dxa"/>
            <w:vAlign w:val="bottom"/>
            <w:gridSpan w:val="2"/>
            <w:vMerge w:val="continue"/>
            <w:shd w:val="clear" w:color="auto" w:fill="CCFFCC"/>
          </w:tcPr>
          <w:p>
            <w:pPr>
              <w:spacing w:after="0"/>
              <w:rPr>
                <w:sz w:val="20"/>
                <w:szCs w:val="20"/>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Long term deposit</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Fixed assets, net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Technology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Legal Parent’s shares of common stock and vested $0.01 options</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12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Vringo, Inc., together with its consolidated subsidiaries (the “Company” or “Vringo”), is engaged in the innovation, licensing and protection of intellectual property worldwide. Vringo's intellectual property portfolio consists of over 500 patents and patent applications covering telecom infrastructure, internet search and mobile technologies. The Company’s patents and patent applications have been developed internally and acquired from third parties. Vringo operates a global platform for the distribution of mobile social applications and services it develops.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Because former I/P stockholders owned, immediately following the Merger, approximately 67.61% of the combined company on a fully diluted basis, and as a result of certain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not Vringo’s historical results prior to the Merger,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and Vringo refer to such entities’ standalone businesses prior to the Merger.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I/P (a development stage company) was incorporated on June 8, 2011 (“Inception”) under the laws of Delaware as Labrador Search Corporation.</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current operating plans, the current resources of the Company are expected to be sufficient for at least the next twelve months. The Company may choose to raise additional funds in connection with any future acquisition of additional intellectual property assets, operating businesses or other assets that it may choose to pursue. There can be no assurance, however, that any such opportunities will materialize. Moreover, any potential financing would likely be dilutive to the Company’s stockholders.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2013, approximately $448 and $31 of the Company's net assets were located in Israel and Germany, respectively. In addition, the Company owns patents issued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consolidated financial statements include the accounts of the Legal Parent, I/P and their wholly-owned subsidiaries, and are presented in accordance with instructions to Form 10-Q and, therefore, do not include all disclosures necessary for a complete presentation of financial position, results of operations, and cash flows in conformity with U.S. generally accepted accounting principles. These financial statements should be read in conjunction with the consolidated financial statements and related notes for the year ended December 31, 2012. The results of operations for the three month period ended March 31, 2013 are not necessarily indicative of the results that may be expected for the entire fiscal year or for any other interim period. All significant intercompany balances and transactions have been eliminated in consolidation. These financial statements include the results of operations of I/P and its subsidiaries for all periods presented, with the results of operations of the Legal Parent and its subsidiaries for the period from July 19, 2012 (the effective date of the Merger). Moreover, equity amounts, as well as net loss per common share, presented for comparative periods differ from those previously presented by I/P, due to application of accounting requirements applicable to a reverse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enforcement and development of its intellectual property, as well as on the research and development of its products. To date, the Company has not generated any significant revenues from its planned principal operations. Accordingly, the Company’s financial statements are presented as those of a development stage enterprise.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("U.S. $" or “$”). Therefore, the U.S. dollar has been determined to be the Company's functional currency. Post-Merger, the Company conducted significant transactions in foreign currencies (primarily the New Israeli Shekels ("NIS") and Euro). These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NIS</w:t>
            </w: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Euro</w:t>
            </w:r>
          </w:p>
        </w:tc>
      </w:tr>
      <w:tr>
        <w:trPr>
          <w:trHeight w:val="210"/>
        </w:trPr>
        <w:tc>
          <w:tcPr>
            <w:tcW w:w="7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At March 31, 2013</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3.648</w:t>
            </w: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0.782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At December 31, 2012</w:t>
            </w:r>
          </w:p>
        </w:tc>
        <w:tc>
          <w:tcPr>
            <w:tcW w:w="1080" w:type="dxa"/>
            <w:vAlign w:val="bottom"/>
          </w:tcPr>
          <w:p>
            <w:pPr>
              <w:jc w:val="right"/>
              <w:spacing w:after="0"/>
              <w:rPr>
                <w:sz w:val="20"/>
                <w:szCs w:val="20"/>
                <w:color w:val="auto"/>
              </w:rPr>
            </w:pPr>
            <w:r>
              <w:rPr>
                <w:rFonts w:ascii="Arial" w:cs="Arial" w:eastAsia="Arial" w:hAnsi="Arial"/>
                <w:sz w:val="18"/>
                <w:szCs w:val="18"/>
                <w:color w:val="auto"/>
              </w:rPr>
              <w:t>3.733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0.759</w:t>
            </w:r>
          </w:p>
        </w:tc>
      </w:tr>
      <w:tr>
        <w:trPr>
          <w:trHeight w:val="216"/>
        </w:trPr>
        <w:tc>
          <w:tcPr>
            <w:tcW w:w="7280" w:type="dxa"/>
            <w:vAlign w:val="bottom"/>
            <w:shd w:val="clear" w:color="auto" w:fill="CCFFCC"/>
          </w:tcPr>
          <w:p>
            <w:pPr>
              <w:spacing w:after="0"/>
              <w:rPr>
                <w:sz w:val="20"/>
                <w:szCs w:val="20"/>
                <w:color w:val="auto"/>
              </w:rPr>
            </w:pPr>
            <w:r>
              <w:rPr>
                <w:rFonts w:ascii="Arial" w:cs="Arial" w:eastAsia="Arial" w:hAnsi="Arial"/>
                <w:sz w:val="18"/>
                <w:szCs w:val="18"/>
                <w:color w:val="auto"/>
              </w:rPr>
              <w:t>Average exchange rate for the period from July 19, 2012 through March 31, 2013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3.846</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0.775</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Average exchange rate for the period from January 1, 2013 through March 31, 2013</w:t>
            </w:r>
          </w:p>
        </w:tc>
        <w:tc>
          <w:tcPr>
            <w:tcW w:w="1080" w:type="dxa"/>
            <w:vAlign w:val="bottom"/>
          </w:tcPr>
          <w:p>
            <w:pPr>
              <w:jc w:val="right"/>
              <w:spacing w:after="0"/>
              <w:rPr>
                <w:sz w:val="20"/>
                <w:szCs w:val="20"/>
                <w:color w:val="auto"/>
              </w:rPr>
            </w:pPr>
            <w:r>
              <w:rPr>
                <w:rFonts w:ascii="Arial" w:cs="Arial" w:eastAsia="Arial" w:hAnsi="Arial"/>
                <w:sz w:val="18"/>
                <w:szCs w:val="18"/>
                <w:color w:val="auto"/>
              </w:rPr>
              <w:t>3.708</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0.757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valuation of assets assumed and liabilities incurred as part of the Merger, useful lives of the Company’s tangible and intangible assets, valuation of its short-term investments and the October 2012 Warrants (as defined in Note 7) and derivative warrants, valuation of its share-based compensation, deferred tax assets and liabilities, income tax uncertainties and other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invests its surplus cash in commercial paper, money market deposits and money market funds with financial institutions. The Company has established guidelines relating to diversification and maturities of its investments, in order to minimize credit risk and maintain high liquidity of funds. For the purpose of these financial statements, all highly liquid investments with original maturities of three months or less are considered cash equivalents. Cash and cash equivalents include $740 and $0 invested in commercial papers with an initial term (upon purchase by the Company) of less than three months at March 31, 2013 and December 31,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Short-term investments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short-term investment securities as of March 31, 2013 and December 31, 2012, in the total amount of $3,120 and $0, respectively, consist of investment in commercial paper. The Company classified its investments as held-to-maturity. Held-to-maturity debt securities are those debt securities in which the Company has the ability and intent to hold the security until maturity. Held-to-maturity debt securities are recorded at amortized cost, adjusted for the amortization or accretion of premiums or discounts. Premiums and discounts on debt securities are amortized or accreted over the life of the related held-to-maturity security as an adjustment to yield using the effective-interest method. Such amortization and accretion is included in the “non-operating income” line item in the Consolidated Statements of Operations. Dividend and interest income are recognized when earned.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share data</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Such dilutive shares consist of incremental shares that would be issued upon exercise of the Company’s derivative warrants (see also Note 7). The table below presents the computation of basic and diluted net losses per common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8"/>
              </w:rPr>
              <w:t>Cumulative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Numerator:</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(11,964)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Denominator:</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during the period</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82,185,649</w:t>
            </w: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4,365,117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35,835,214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penny stock options</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203,704</w:t>
            </w:r>
          </w:p>
        </w:tc>
        <w:tc>
          <w:tcPr>
            <w:tcW w:w="3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113,220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82,389,353</w:t>
            </w:r>
          </w:p>
        </w:tc>
        <w:tc>
          <w:tcPr>
            <w:tcW w:w="2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4,365,117</w:t>
            </w:r>
          </w:p>
        </w:tc>
        <w:tc>
          <w:tcPr>
            <w:tcW w:w="2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35,948,434</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(0.15</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Numerator:</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(11,964)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loss attributable to Series 1 warrants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in net loss attributable to Preferential Reload warrants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loss attributable to Conversion warrants</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in net loss attributable to Special Bridge warrants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(11,964</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(39,921</w:t>
            </w: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shares of common stock outstanding during the period</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82,185,649</w:t>
            </w:r>
          </w:p>
        </w:tc>
        <w:tc>
          <w:tcPr>
            <w:tcW w:w="3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4,365,117</w:t>
            </w: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35,835,214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 average number of Series 1 warrants outstanding during the period</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2,061,332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Preferential Reload warrants outstanding during the period</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63,203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 average number of Conversion warrants outstanding during the period</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Special Bridge warrants outstanding during the period</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58,394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Weighted average number of penny stock options</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203,704</w:t>
            </w: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82,389,353</w:t>
            </w:r>
          </w:p>
        </w:tc>
        <w:tc>
          <w:tcPr>
            <w:tcW w:w="2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4,365,117</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38,171,284</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FFCC"/>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0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6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Net loss per share data presented excludes from the calculation of diluted net loss the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40"/>
              <w:spacing w:after="0"/>
              <w:rPr>
                <w:sz w:val="20"/>
                <w:szCs w:val="20"/>
                <w:color w:val="auto"/>
              </w:rPr>
            </w:pPr>
            <w:r>
              <w:rPr>
                <w:rFonts w:ascii="Arial" w:cs="Arial" w:eastAsia="Arial" w:hAnsi="Arial"/>
                <w:sz w:val="18"/>
                <w:szCs w:val="18"/>
                <w:b w:val="1"/>
                <w:bCs w:val="1"/>
                <w:color w:val="auto"/>
                <w:w w:val="90"/>
              </w:rPr>
              <w:t>following potentially dilutive securities, outstanding as of March 31, 2013, as they had an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140"/>
              <w:spacing w:after="0"/>
              <w:rPr>
                <w:sz w:val="20"/>
                <w:szCs w:val="20"/>
                <w:color w:val="auto"/>
              </w:rPr>
            </w:pPr>
            <w:r>
              <w:rPr>
                <w:rFonts w:ascii="Arial" w:cs="Arial" w:eastAsia="Arial" w:hAnsi="Arial"/>
                <w:sz w:val="18"/>
                <w:szCs w:val="18"/>
                <w:b w:val="1"/>
                <w:bCs w:val="1"/>
                <w:color w:val="auto"/>
              </w:rPr>
              <w:t>anti-dilutive impact: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w w:val="91"/>
              </w:rPr>
              <w:t>Both vested and unvested options at $0.96-$5.50 exercise price, to purchase an equal number of</w:t>
            </w:r>
          </w:p>
        </w:tc>
        <w:tc>
          <w:tcPr>
            <w:tcW w:w="260" w:type="dxa"/>
            <w:vAlign w:val="bottom"/>
            <w:shd w:val="clear" w:color="auto" w:fill="CCFFCC"/>
          </w:tcPr>
          <w:p>
            <w:pPr>
              <w:spacing w:after="0"/>
              <w:rPr>
                <w:sz w:val="18"/>
                <w:szCs w:val="18"/>
                <w:color w:val="auto"/>
              </w:rPr>
            </w:pPr>
          </w:p>
        </w:tc>
        <w:tc>
          <w:tcPr>
            <w:tcW w:w="120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11,583,888</w:t>
            </w: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shares of common stock of the Company</w:t>
            </w:r>
          </w:p>
        </w:tc>
        <w:tc>
          <w:tcPr>
            <w:tcW w:w="260" w:type="dxa"/>
            <w:vAlign w:val="bottom"/>
            <w:shd w:val="clear" w:color="auto" w:fill="CCFFCC"/>
          </w:tcPr>
          <w:p>
            <w:pPr>
              <w:spacing w:after="0"/>
              <w:rPr>
                <w:sz w:val="20"/>
                <w:szCs w:val="20"/>
                <w:color w:val="auto"/>
              </w:rPr>
            </w:pPr>
          </w:p>
        </w:tc>
        <w:tc>
          <w:tcPr>
            <w:tcW w:w="1200" w:type="dxa"/>
            <w:vAlign w:val="bottom"/>
            <w:gridSpan w:val="2"/>
            <w:vMerge w:val="continue"/>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11,583,888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tcPr>
          <w:p>
            <w:pPr>
              <w:spacing w:after="0" w:line="201" w:lineRule="exact"/>
              <w:rPr>
                <w:sz w:val="20"/>
                <w:szCs w:val="20"/>
                <w:color w:val="auto"/>
              </w:rPr>
            </w:pPr>
            <w:r>
              <w:rPr>
                <w:rFonts w:ascii="Arial" w:cs="Arial" w:eastAsia="Arial" w:hAnsi="Arial"/>
                <w:sz w:val="18"/>
                <w:szCs w:val="18"/>
                <w:color w:val="auto"/>
              </w:rPr>
              <w:t>Unvested $0.01 options to purchase an equal number of shares of common stock of the</w:t>
            </w:r>
          </w:p>
        </w:tc>
        <w:tc>
          <w:tcPr>
            <w:tcW w:w="260" w:type="dxa"/>
            <w:vAlign w:val="bottom"/>
          </w:tcPr>
          <w:p>
            <w:pPr>
              <w:spacing w:after="0"/>
              <w:rPr>
                <w:sz w:val="17"/>
                <w:szCs w:val="17"/>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12,125</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40"/>
              <w:spacing w:after="0"/>
              <w:rPr>
                <w:sz w:val="20"/>
                <w:szCs w:val="20"/>
                <w:color w:val="auto"/>
              </w:rPr>
            </w:pPr>
            <w:r>
              <w:rPr>
                <w:rFonts w:ascii="Arial" w:cs="Arial" w:eastAsia="Arial" w:hAnsi="Arial"/>
                <w:sz w:val="18"/>
                <w:szCs w:val="18"/>
                <w:color w:val="auto"/>
              </w:rPr>
              <w:t>Company</w:t>
            </w: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Unvested Restricted Stock Units (“RSU”) to issue an equal number of shares of common stock</w:t>
            </w:r>
          </w:p>
        </w:tc>
        <w:tc>
          <w:tcPr>
            <w:tcW w:w="260" w:type="dxa"/>
            <w:vAlign w:val="bottom"/>
            <w:shd w:val="clear" w:color="auto" w:fill="CCFFCC"/>
          </w:tcPr>
          <w:p>
            <w:pPr>
              <w:spacing w:after="0"/>
              <w:rPr>
                <w:sz w:val="17"/>
                <w:szCs w:val="17"/>
                <w:color w:val="auto"/>
              </w:rPr>
            </w:pPr>
          </w:p>
        </w:tc>
        <w:tc>
          <w:tcPr>
            <w:tcW w:w="98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3,336,375</w:t>
            </w:r>
          </w:p>
        </w:tc>
        <w:tc>
          <w:tcPr>
            <w:tcW w:w="2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of the Company</w:t>
            </w:r>
          </w:p>
        </w:tc>
        <w:tc>
          <w:tcPr>
            <w:tcW w:w="260" w:type="dxa"/>
            <w:vAlign w:val="bottom"/>
            <w:shd w:val="clear" w:color="auto" w:fill="CCFFCC"/>
          </w:tcPr>
          <w:p>
            <w:pPr>
              <w:spacing w:after="0"/>
              <w:rPr>
                <w:sz w:val="20"/>
                <w:szCs w:val="20"/>
                <w:color w:val="auto"/>
              </w:rPr>
            </w:pPr>
          </w:p>
        </w:tc>
        <w:tc>
          <w:tcPr>
            <w:tcW w:w="98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0"/>
                <w:szCs w:val="20"/>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3,336,375</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Common stock shares granted, but not yet vested</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77,193</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18,769,114</w:t>
            </w:r>
          </w:p>
        </w:tc>
        <w:tc>
          <w:tcPr>
            <w:tcW w:w="36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13,120,461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60" w:type="dxa"/>
            <w:vAlign w:val="bottom"/>
          </w:tcPr>
          <w:p>
            <w:pPr>
              <w:spacing w:after="0" w:line="178" w:lineRule="exact"/>
              <w:rPr>
                <w:sz w:val="20"/>
                <w:szCs w:val="20"/>
                <w:color w:val="auto"/>
              </w:rPr>
            </w:pPr>
            <w:r>
              <w:rPr>
                <w:rFonts w:ascii="Arial" w:cs="Arial" w:eastAsia="Arial" w:hAnsi="Arial"/>
                <w:sz w:val="18"/>
                <w:szCs w:val="18"/>
                <w:b w:val="1"/>
                <w:bCs w:val="1"/>
                <w:color w:val="auto"/>
                <w:w w:val="91"/>
              </w:rPr>
              <w:t>Total number of potentially dilutive instruments, excluded from the calculation of net loss</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60" w:type="dxa"/>
            <w:vAlign w:val="bottom"/>
          </w:tcPr>
          <w:p>
            <w:pPr>
              <w:ind w:left="140"/>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33,778,695</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1,380,800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28,130,042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comparative figures were reclassified to conform to the Company’s post-Merger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Note 3—Intangible Assets</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As of March 31,</w:t>
            </w:r>
          </w:p>
        </w:tc>
        <w:tc>
          <w:tcPr>
            <w:tcW w:w="17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As of December 31,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 period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5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5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Acquired technology (see Note 5)</w:t>
            </w:r>
          </w:p>
        </w:tc>
        <w:tc>
          <w:tcPr>
            <w:tcW w:w="1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10,133</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10,133</w:t>
            </w: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7"/>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Patents</w:t>
            </w:r>
          </w:p>
        </w:tc>
        <w:tc>
          <w:tcPr>
            <w:tcW w:w="2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26,694</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26,694</w:t>
            </w:r>
          </w:p>
        </w:tc>
        <w:tc>
          <w:tcPr>
            <w:tcW w:w="1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36,827</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36,827</w:t>
            </w: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amortization</w:t>
            </w:r>
          </w:p>
        </w:tc>
        <w:tc>
          <w:tcPr>
            <w:tcW w:w="26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(4,038)</w:t>
            </w:r>
          </w:p>
        </w:tc>
        <w:tc>
          <w:tcPr>
            <w:tcW w:w="17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(2,783)</w:t>
            </w:r>
          </w:p>
        </w:tc>
        <w:tc>
          <w:tcPr>
            <w:tcW w:w="15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2011, the Company’s subsidiary acquired patents from Lycos, Inc. The gross carrying amount of those patents is comprised of the original purchase price of $3,200 and $196 of associated patent acquisition costs.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2012, the Company purchased from Nokia Corporation a portfolio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reliably established.</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2012, the Company’s subsidiary entered into a patent purchase agreement. As partial consideration, the Company issued 160,600 shares of common stock to the seller with the fair value of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reliably established.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periods ended March 31, 2013 and 2012, the Company recorded amortization expense of $1,255 and $155, respectively. During the period from Inception through March 31, 2013, total amortization expense of $4,038 was recorded. Estimated amortization expense for each of the five succeeding years, based upon intangible assets owned at March 31, 2013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Period ending December 31,</w:t>
            </w:r>
          </w:p>
        </w:tc>
        <w:tc>
          <w:tcPr>
            <w:tcW w:w="31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right w:val="single" w:sz="8" w:color="CCFFCC"/>
            </w:tcBorders>
            <w:shd w:val="clear" w:color="auto" w:fill="CCFFCC"/>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2013 (nine months ending December 31, 2013)</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3,746</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41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5,002</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2015</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5,002</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41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4,610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2017 and thereafter</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14,429</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860" w:type="dxa"/>
            <w:vAlign w:val="bottom"/>
            <w:tcBorders>
              <w:top w:val="single" w:sz="8" w:color="CCFFCC"/>
              <w:bottom w:val="single" w:sz="8" w:color="CCFFCC"/>
            </w:tcBorders>
            <w:shd w:val="clear" w:color="auto" w:fill="CCFFCC"/>
          </w:tcPr>
          <w:p>
            <w:pPr>
              <w:spacing w:after="0"/>
              <w:rPr>
                <w:sz w:val="19"/>
                <w:szCs w:val="19"/>
                <w:color w:val="auto"/>
              </w:rPr>
            </w:pPr>
          </w:p>
        </w:tc>
        <w:tc>
          <w:tcPr>
            <w:tcW w:w="3180" w:type="dxa"/>
            <w:vAlign w:val="bottom"/>
            <w:tcBorders>
              <w:top w:val="single" w:sz="8" w:color="CCFFCC"/>
              <w:bottom w:val="single" w:sz="8" w:color="CCFFCC"/>
            </w:tcBorders>
            <w:shd w:val="clear" w:color="auto" w:fill="CCFFCC"/>
          </w:tcPr>
          <w:p>
            <w:pPr>
              <w:spacing w:after="0"/>
              <w:rPr>
                <w:sz w:val="19"/>
                <w:szCs w:val="19"/>
                <w:color w:val="auto"/>
              </w:rPr>
            </w:pPr>
          </w:p>
        </w:tc>
        <w:tc>
          <w:tcPr>
            <w:tcW w:w="9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32,789</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80" w:type="dxa"/>
            <w:vAlign w:val="bottom"/>
            <w:vMerge w:val="restart"/>
          </w:tcPr>
          <w:p>
            <w:pPr>
              <w:jc w:val="right"/>
              <w:ind w:right="245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by selling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Inputs are based upon quoted prices for similar instruments in active markets, quoted prices for identical or similar instruments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and model-based valuation techniques for which all significant inputs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Series 1 Warrants (as they are defined in Note 7) are classified within Level 3 because they are valued using the Black-Scholes-Merton and the Monte-Carlo models (as all of these warrants include down-round protection clauses), which utilize significant inputs that are unobservable in the market.</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March 31, 2013 and December 31, 2012, aggregated by the level in the fair-value hierarchy within which those measurements fall: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Significant 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 as of March 31, 2013:</w:t>
            </w:r>
          </w:p>
        </w:tc>
        <w:tc>
          <w:tcPr>
            <w:tcW w:w="1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1460" w:type="dxa"/>
            <w:vAlign w:val="bottom"/>
            <w:gridSpan w:val="2"/>
          </w:tcPr>
          <w:p>
            <w:pPr>
              <w:ind w:left="840"/>
              <w:spacing w:after="0"/>
              <w:rPr>
                <w:sz w:val="20"/>
                <w:szCs w:val="20"/>
                <w:color w:val="auto"/>
              </w:rPr>
            </w:pPr>
            <w:r>
              <w:rPr>
                <w:rFonts w:ascii="Arial" w:cs="Arial" w:eastAsia="Arial" w:hAnsi="Arial"/>
                <w:sz w:val="18"/>
                <w:szCs w:val="18"/>
                <w:b w:val="1"/>
                <w:bCs w:val="1"/>
                <w:color w:val="auto"/>
              </w:rPr>
              <w:t>7,919</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gridSpan w:val="2"/>
            <w:shd w:val="clear" w:color="auto" w:fill="CCFFCC"/>
          </w:tcPr>
          <w:p>
            <w:pPr>
              <w:spacing w:after="0" w:line="195" w:lineRule="exact"/>
              <w:rPr>
                <w:sz w:val="20"/>
                <w:szCs w:val="20"/>
                <w:color w:val="auto"/>
              </w:rPr>
            </w:pPr>
            <w:r>
              <w:rPr>
                <w:rFonts w:ascii="Arial" w:cs="Arial" w:eastAsia="Arial" w:hAnsi="Arial"/>
                <w:sz w:val="18"/>
                <w:szCs w:val="18"/>
                <w:b w:val="1"/>
                <w:bCs w:val="1"/>
                <w:color w:val="auto"/>
              </w:rPr>
              <w:t>Total liabilities as of March 31, 2013:</w:t>
            </w:r>
          </w:p>
        </w:tc>
        <w:tc>
          <w:tcPr>
            <w:tcW w:w="1240" w:type="dxa"/>
            <w:vAlign w:val="bottom"/>
            <w:tcBorders>
              <w:top w:val="single" w:sz="8" w:color="auto"/>
              <w:bottom w:val="single" w:sz="8" w:color="auto"/>
            </w:tcBorders>
            <w:shd w:val="clear" w:color="auto" w:fill="CCFFCC"/>
          </w:tcPr>
          <w:p>
            <w:pPr>
              <w:ind w:left="840"/>
              <w:spacing w:after="0" w:line="196" w:lineRule="exact"/>
              <w:rPr>
                <w:sz w:val="20"/>
                <w:szCs w:val="20"/>
                <w:color w:val="auto"/>
              </w:rPr>
            </w:pPr>
            <w:r>
              <w:rPr>
                <w:rFonts w:ascii="Arial" w:cs="Arial" w:eastAsia="Arial" w:hAnsi="Arial"/>
                <w:sz w:val="18"/>
                <w:szCs w:val="18"/>
                <w:b w:val="1"/>
                <w:bCs w:val="1"/>
                <w:color w:val="auto"/>
                <w:w w:val="84"/>
              </w:rPr>
              <w:t>7,919</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7,919</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Liabilities as of December 31, 2012:</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1460" w:type="dxa"/>
            <w:vAlign w:val="bottom"/>
            <w:gridSpan w:val="2"/>
          </w:tcPr>
          <w:p>
            <w:pPr>
              <w:ind w:left="840"/>
              <w:spacing w:after="0"/>
              <w:rPr>
                <w:sz w:val="20"/>
                <w:szCs w:val="20"/>
                <w:color w:val="auto"/>
              </w:rPr>
            </w:pPr>
            <w:r>
              <w:rPr>
                <w:rFonts w:ascii="Arial" w:cs="Arial" w:eastAsia="Arial" w:hAnsi="Arial"/>
                <w:sz w:val="18"/>
                <w:szCs w:val="18"/>
                <w:b w:val="1"/>
                <w:bCs w:val="1"/>
                <w:color w:val="auto"/>
              </w:rPr>
              <w:t>7,612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gridSpan w:val="2"/>
            <w:shd w:val="clear" w:color="auto" w:fill="CCFFCC"/>
          </w:tcPr>
          <w:p>
            <w:pPr>
              <w:spacing w:after="0" w:line="195" w:lineRule="exact"/>
              <w:rPr>
                <w:sz w:val="20"/>
                <w:szCs w:val="20"/>
                <w:color w:val="auto"/>
              </w:rPr>
            </w:pPr>
            <w:r>
              <w:rPr>
                <w:rFonts w:ascii="Arial" w:cs="Arial" w:eastAsia="Arial" w:hAnsi="Arial"/>
                <w:sz w:val="18"/>
                <w:szCs w:val="18"/>
                <w:b w:val="1"/>
                <w:bCs w:val="1"/>
                <w:color w:val="auto"/>
              </w:rPr>
              <w:t>Total liabilities as of December 31, 2012:</w:t>
            </w:r>
          </w:p>
        </w:tc>
        <w:tc>
          <w:tcPr>
            <w:tcW w:w="1240" w:type="dxa"/>
            <w:vAlign w:val="bottom"/>
            <w:tcBorders>
              <w:top w:val="single" w:sz="8" w:color="auto"/>
              <w:bottom w:val="single" w:sz="8" w:color="auto"/>
            </w:tcBorders>
            <w:shd w:val="clear" w:color="auto" w:fill="CCFFCC"/>
          </w:tcPr>
          <w:p>
            <w:pPr>
              <w:ind w:left="840"/>
              <w:spacing w:after="0" w:line="196" w:lineRule="exact"/>
              <w:rPr>
                <w:sz w:val="20"/>
                <w:szCs w:val="20"/>
                <w:color w:val="auto"/>
              </w:rPr>
            </w:pPr>
            <w:r>
              <w:rPr>
                <w:rFonts w:ascii="Arial" w:cs="Arial" w:eastAsia="Arial" w:hAnsi="Arial"/>
                <w:sz w:val="18"/>
                <w:szCs w:val="18"/>
                <w:b w:val="1"/>
                <w:bCs w:val="1"/>
                <w:color w:val="auto"/>
                <w:w w:val="84"/>
              </w:rPr>
              <w:t>7,612</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7,612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Measurements—(cont’d)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above, the Company’s financial instruments at March 31, 2013 and December 31, 2012 consisted of cash, cash equivalents, short-term investments, accounts receivable, accounts payable and long term deposits. The carrying amounts of all the aforementioned financial instruments approximate fair value. The following table summarizes the changes in the Company’s liabilities measured at fair value using significant unobservable inputs (Level 3) during the period from Inception through March 31, 2013. No assets, nor liabilities, were valued using Level 3 inputs for the period ended March 31, 2012: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8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Inception</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FFCC"/>
            </w:tcBorders>
            <w:gridSpan w:val="2"/>
            <w:shd w:val="clear" w:color="auto" w:fill="CCFFCC"/>
          </w:tcPr>
          <w:p>
            <w:pPr>
              <w:spacing w:after="0"/>
              <w:rPr>
                <w:sz w:val="18"/>
                <w:szCs w:val="18"/>
                <w:color w:val="auto"/>
              </w:rPr>
            </w:pPr>
          </w:p>
        </w:tc>
      </w:tr>
      <w:tr>
        <w:trPr>
          <w:trHeight w:val="210"/>
        </w:trPr>
        <w:tc>
          <w:tcPr>
            <w:tcW w:w="85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at December 31, 2011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FFCC"/>
            </w:tcBorders>
            <w:gridSpan w:val="2"/>
          </w:tcPr>
          <w:p>
            <w:pPr>
              <w:spacing w:after="0"/>
              <w:rPr>
                <w:sz w:val="18"/>
                <w:szCs w:val="18"/>
                <w:color w:val="auto"/>
              </w:rPr>
            </w:pPr>
          </w:p>
        </w:tc>
      </w:tr>
      <w:tr>
        <w:trPr>
          <w:trHeight w:val="210"/>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Derivative warrants issued to I/P’s shareholders in connection with the Merger, July 19, 2012</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21,954</w:t>
            </w: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Fair value of derivative warrants issued by Legal Parent (see Note 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3,162</w:t>
            </w:r>
          </w:p>
        </w:tc>
        <w:tc>
          <w:tcPr>
            <w:tcW w:w="60" w:type="dxa"/>
            <w:vAlign w:val="bottom"/>
          </w:tcPr>
          <w:p>
            <w:pPr>
              <w:spacing w:after="0"/>
              <w:rPr>
                <w:sz w:val="18"/>
                <w:szCs w:val="18"/>
                <w:color w:val="auto"/>
              </w:rPr>
            </w:pPr>
          </w:p>
        </w:tc>
      </w:tr>
      <w:tr>
        <w:trPr>
          <w:trHeight w:val="216"/>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156</w:t>
            </w:r>
          </w:p>
        </w:tc>
        <w:tc>
          <w:tcPr>
            <w:tcW w:w="60" w:type="dxa"/>
            <w:vAlign w:val="bottom"/>
            <w:shd w:val="clear" w:color="auto" w:fill="CCFFC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(10,657)</w:t>
            </w:r>
          </w:p>
        </w:tc>
      </w:tr>
      <w:tr>
        <w:trPr>
          <w:trHeight w:val="230"/>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11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(7,003)</w:t>
            </w:r>
          </w:p>
        </w:tc>
      </w:tr>
      <w:tr>
        <w:trPr>
          <w:trHeight w:val="210"/>
        </w:trPr>
        <w:tc>
          <w:tcPr>
            <w:tcW w:w="8560" w:type="dxa"/>
            <w:vAlign w:val="bottom"/>
          </w:tcPr>
          <w:p>
            <w:pPr>
              <w:spacing w:after="0"/>
              <w:rPr>
                <w:sz w:val="20"/>
                <w:szCs w:val="20"/>
                <w:color w:val="auto"/>
              </w:rPr>
            </w:pPr>
            <w:r>
              <w:rPr>
                <w:rFonts w:ascii="Arial" w:cs="Arial" w:eastAsia="Arial" w:hAnsi="Arial"/>
                <w:sz w:val="18"/>
                <w:szCs w:val="18"/>
                <w:b w:val="1"/>
                <w:bCs w:val="1"/>
                <w:color w:val="auto"/>
              </w:rPr>
              <w:t>Balance at December 31, 2012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11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(22)</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(69)</w:t>
            </w:r>
          </w:p>
        </w:tc>
      </w:tr>
      <w:tr>
        <w:trPr>
          <w:trHeight w:val="230"/>
        </w:trPr>
        <w:tc>
          <w:tcPr>
            <w:tcW w:w="85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398</w:t>
            </w:r>
          </w:p>
        </w:tc>
        <w:tc>
          <w:tcPr>
            <w:tcW w:w="60" w:type="dxa"/>
            <w:vAlign w:val="bottom"/>
            <w:shd w:val="clear" w:color="auto" w:fill="CCFFCC"/>
          </w:tcPr>
          <w:p>
            <w:pPr>
              <w:spacing w:after="0"/>
              <w:rPr>
                <w:sz w:val="19"/>
                <w:szCs w:val="19"/>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Balance at March 31, 2013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Preferential Reload Warrants and Series 1 Warrants (as defined in Note 7) fall within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Valuation technique</w:t>
            </w:r>
          </w:p>
        </w:tc>
        <w:tc>
          <w:tcPr>
            <w:tcW w:w="1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3"/>
                <w:szCs w:val="13"/>
                <w:b w:val="1"/>
                <w:bCs w:val="1"/>
                <w:color w:val="auto"/>
              </w:rPr>
              <w:t>Unobservable inputs</w:t>
            </w:r>
          </w:p>
        </w:tc>
        <w:tc>
          <w:tcPr>
            <w:tcW w:w="2020" w:type="dxa"/>
            <w:vAlign w:val="bottom"/>
            <w:gridSpan w:val="3"/>
          </w:tcPr>
          <w:p>
            <w:pPr>
              <w:ind w:left="100"/>
              <w:spacing w:after="0"/>
              <w:rPr>
                <w:sz w:val="20"/>
                <w:szCs w:val="20"/>
                <w:color w:val="auto"/>
              </w:rPr>
            </w:pPr>
            <w:r>
              <w:rPr>
                <w:rFonts w:ascii="Arial" w:cs="Arial" w:eastAsia="Arial" w:hAnsi="Arial"/>
                <w:sz w:val="13"/>
                <w:szCs w:val="13"/>
                <w:b w:val="1"/>
                <w:bCs w:val="1"/>
                <w:color w:val="auto"/>
              </w:rPr>
              <w:t>Range</w:t>
            </w:r>
          </w:p>
        </w:tc>
      </w:tr>
      <w:tr>
        <w:trPr>
          <w:trHeight w:val="114"/>
        </w:trPr>
        <w:tc>
          <w:tcPr>
            <w:tcW w:w="344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w w:val="88"/>
              </w:rPr>
              <w:t>Special Bridge Warrants, Conversion Warrants, Preferential Reload</w:t>
            </w:r>
          </w:p>
        </w:tc>
        <w:tc>
          <w:tcPr>
            <w:tcW w:w="120" w:type="dxa"/>
            <w:vAlign w:val="bottom"/>
            <w:tcBorders>
              <w:top w:val="single" w:sz="8" w:color="CCFFCC"/>
            </w:tcBorders>
            <w:shd w:val="clear" w:color="auto" w:fill="CCFFCC"/>
          </w:tcPr>
          <w:p>
            <w:pPr>
              <w:spacing w:after="0"/>
              <w:rPr>
                <w:sz w:val="9"/>
                <w:szCs w:val="9"/>
                <w:color w:val="auto"/>
              </w:rPr>
            </w:pPr>
          </w:p>
        </w:tc>
        <w:tc>
          <w:tcPr>
            <w:tcW w:w="286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w w:val="96"/>
              </w:rPr>
              <w:t>Black-Scholes-Merton and the Monte-Carlo models</w:t>
            </w:r>
          </w:p>
        </w:tc>
        <w:tc>
          <w:tcPr>
            <w:tcW w:w="120" w:type="dxa"/>
            <w:vAlign w:val="bottom"/>
            <w:tcBorders>
              <w:top w:val="single" w:sz="8" w:color="CCFFCC"/>
            </w:tcBorders>
            <w:shd w:val="clear" w:color="auto" w:fill="CCFFCC"/>
          </w:tcPr>
          <w:p>
            <w:pPr>
              <w:spacing w:after="0"/>
              <w:rPr>
                <w:sz w:val="9"/>
                <w:szCs w:val="9"/>
                <w:color w:val="auto"/>
              </w:rPr>
            </w:pPr>
          </w:p>
        </w:tc>
        <w:tc>
          <w:tcPr>
            <w:tcW w:w="286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182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r>
      <w:tr>
        <w:trPr>
          <w:trHeight w:val="135"/>
        </w:trPr>
        <w:tc>
          <w:tcPr>
            <w:tcW w:w="34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Warrants and the Series 1 Warrants</w:t>
            </w: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Volatility</w:t>
            </w: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56.48% – 58.10%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Risk free interest rate</w:t>
            </w: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0.25% – 0.60%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Expected term, in years</w:t>
            </w: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1.75 – 4.30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Dividend yield</w:t>
            </w:r>
          </w:p>
        </w:tc>
        <w:tc>
          <w:tcPr>
            <w:tcW w:w="202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w w:val="92"/>
              </w:rPr>
              <w:t>15% occurrence in December</w:t>
            </w:r>
          </w:p>
        </w:tc>
      </w:tr>
      <w:tr>
        <w:trPr>
          <w:trHeight w:val="149"/>
        </w:trPr>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3"/>
                <w:szCs w:val="13"/>
                <w:color w:val="auto"/>
                <w:w w:val="93"/>
              </w:rPr>
              <w:t>Probability and timing of down-round triggering event</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isolation can result in a significant change in the fair value measurement. Generally, a positive change in the market price of the Company’s common stock, and an increase in the volatility of the Company’s shares of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common stock, and thus, there is no change in the estimated fair value of the warrants due to the dividend assumption.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19, 2012, I/P consummated the Merger with the Legal Parent, as also described in Note 1. The consideration consisted of various equity instruments, including: shares of common stock, preferred stock, options and warrants. The purpose of the Merger was to increase the combined company's intellectual property portfolio and array of products, to gain access to capital markets, and for other reasons. Upon completion of the Merger, (i) all then outstanding 6,169,661 common stock shares of I/P, par value $0.0001 per share, were exchanged for 18,617,569, shares of the Company’s common stock, par value $0.01 per share, and (ii) all then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(see also Note 4).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FASB Topic ASC 805. The total purchase price of $75,654 was allocated to the assets acquired and liabilities assumed of the Legal Parent. Registration and issuance cost, in the total amount of $463, was recorded against the additional paid-in capital.</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Provisional allocation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of purchase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100" w:type="dxa"/>
            <w:vAlign w:val="bottom"/>
            <w:tcBorders>
              <w:top w:val="single" w:sz="8" w:color="CCFFCC"/>
            </w:tcBorders>
            <w:shd w:val="clear" w:color="auto" w:fill="CCFFCC"/>
          </w:tcPr>
          <w:p>
            <w:pPr>
              <w:spacing w:after="0"/>
              <w:rPr>
                <w:sz w:val="18"/>
                <w:szCs w:val="18"/>
                <w:color w:val="auto"/>
              </w:rPr>
            </w:pPr>
          </w:p>
        </w:tc>
        <w:tc>
          <w:tcPr>
            <w:tcW w:w="1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Long-term deposit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Technology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65,965</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 acquired, net</w:t>
            </w:r>
          </w:p>
        </w:tc>
        <w:tc>
          <w:tcPr>
            <w:tcW w:w="100" w:type="dxa"/>
            <w:vAlign w:val="bottom"/>
            <w:tcBorders>
              <w:bottom w:val="single" w:sz="8" w:color="CCFFCC"/>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1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w w:val="92"/>
              </w:rPr>
              <w:t>Fair value of outstanding warrants granted by Legal Parent prior to the Merger, classified as a long-term derivative liability</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 net</w:t>
            </w:r>
          </w:p>
        </w:tc>
        <w:tc>
          <w:tcPr>
            <w:tcW w:w="100" w:type="dxa"/>
            <w:vAlign w:val="bottom"/>
            <w:tcBorders>
              <w:top w:val="single" w:sz="8" w:color="CCFFCC"/>
            </w:tcBorders>
            <w:shd w:val="clear" w:color="auto" w:fill="CCFFCC"/>
          </w:tcPr>
          <w:p>
            <w:pPr>
              <w:spacing w:after="0"/>
              <w:rPr>
                <w:sz w:val="18"/>
                <w:szCs w:val="18"/>
                <w:color w:val="auto"/>
              </w:rPr>
            </w:pP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9060" w:type="dxa"/>
            <w:vAlign w:val="bottom"/>
            <w:shd w:val="clear" w:color="auto" w:fill="CCFFCC"/>
          </w:tcPr>
          <w:p>
            <w:pPr>
              <w:spacing w:after="0"/>
              <w:rPr>
                <w:sz w:val="19"/>
                <w:szCs w:val="19"/>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75,654</w:t>
            </w:r>
          </w:p>
        </w:tc>
        <w:tc>
          <w:tcPr>
            <w:tcW w:w="120" w:type="dxa"/>
            <w:vAlign w:val="bottom"/>
            <w:shd w:val="clear" w:color="auto" w:fill="CCFFCC"/>
          </w:tcPr>
          <w:p>
            <w:pPr>
              <w:spacing w:after="0"/>
              <w:rPr>
                <w:sz w:val="19"/>
                <w:szCs w:val="19"/>
                <w:color w:val="auto"/>
              </w:rPr>
            </w:pPr>
          </w:p>
        </w:tc>
      </w:tr>
      <w:tr>
        <w:trPr>
          <w:trHeight w:val="210"/>
        </w:trPr>
        <w:tc>
          <w:tcPr>
            <w:tcW w:w="9060" w:type="dxa"/>
            <w:vAlign w:val="bottom"/>
          </w:tcPr>
          <w:p>
            <w:pPr>
              <w:spacing w:after="0"/>
              <w:rPr>
                <w:sz w:val="20"/>
                <w:szCs w:val="20"/>
                <w:color w:val="auto"/>
              </w:rPr>
            </w:pPr>
            <w:r>
              <w:rPr>
                <w:rFonts w:ascii="Arial" w:cs="Arial" w:eastAsia="Arial" w:hAnsi="Arial"/>
                <w:sz w:val="18"/>
                <w:szCs w:val="18"/>
                <w:b w:val="1"/>
                <w:bCs w:val="1"/>
                <w:color w:val="auto"/>
              </w:rPr>
              <w:t>Measurement of consideration: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FFCC"/>
          </w:tcPr>
          <w:p>
            <w:pPr>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FFC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1660" w:type="dxa"/>
            <w:vAlign w:val="bottom"/>
          </w:tcPr>
          <w:p>
            <w:pPr>
              <w:jc w:val="right"/>
              <w:spacing w:after="0"/>
              <w:rPr>
                <w:sz w:val="20"/>
                <w:szCs w:val="20"/>
                <w:color w:val="auto"/>
              </w:rPr>
            </w:pPr>
            <w:r>
              <w:rPr>
                <w:rFonts w:ascii="Arial" w:cs="Arial" w:eastAsia="Arial" w:hAnsi="Arial"/>
                <w:sz w:val="18"/>
                <w:szCs w:val="18"/>
                <w:color w:val="auto"/>
              </w:rPr>
              <w:t>10,079</w:t>
            </w:r>
          </w:p>
        </w:tc>
        <w:tc>
          <w:tcPr>
            <w:tcW w:w="120" w:type="dxa"/>
            <w:vAlign w:val="bottom"/>
          </w:tcPr>
          <w:p>
            <w:pPr>
              <w:spacing w:after="0"/>
              <w:rPr>
                <w:sz w:val="18"/>
                <w:szCs w:val="18"/>
                <w:color w:val="auto"/>
              </w:rPr>
            </w:pPr>
          </w:p>
        </w:tc>
      </w:tr>
      <w:tr>
        <w:trPr>
          <w:trHeight w:val="230"/>
        </w:trPr>
        <w:tc>
          <w:tcPr>
            <w:tcW w:w="9060" w:type="dxa"/>
            <w:vAlign w:val="bottom"/>
            <w:shd w:val="clear" w:color="auto" w:fill="CCFFCC"/>
          </w:tcPr>
          <w:p>
            <w:pPr>
              <w:spacing w:after="0"/>
              <w:rPr>
                <w:sz w:val="20"/>
                <w:szCs w:val="20"/>
                <w:color w:val="auto"/>
              </w:rPr>
            </w:pPr>
            <w:r>
              <w:rPr>
                <w:rFonts w:ascii="Arial" w:cs="Arial" w:eastAsia="Arial" w:hAnsi="Arial"/>
                <w:sz w:val="18"/>
                <w:szCs w:val="18"/>
                <w:color w:val="auto"/>
                <w:w w:val="91"/>
              </w:rPr>
              <w:t>Fair value of Vringo shares of common stock and vested $0.01 options granted to employees, management and consultants</w:t>
            </w: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120" w:type="dxa"/>
            <w:vAlign w:val="bottom"/>
            <w:shd w:val="clear" w:color="auto" w:fill="CCFFCC"/>
          </w:tcPr>
          <w:p>
            <w:pPr>
              <w:spacing w:after="0"/>
              <w:rPr>
                <w:sz w:val="19"/>
                <w:szCs w:val="19"/>
                <w:color w:val="auto"/>
              </w:rPr>
            </w:pPr>
          </w:p>
        </w:tc>
      </w:tr>
      <w:tr>
        <w:trPr>
          <w:trHeight w:val="21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75,654</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fair values of the identified intangible assets were estimated using an income approach.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name,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As of March 31, 2013, according to ASC 805, the purchase price allocation is still provisional. The Company expects the existing value of its goodwill to change upon completion of a study regarding its total net tax loss carryforwards utilizable for tax purposes, performed by a third party expert. Goodwill recognized is not deductible for income tax purposes. Had the acquisition taken place on June 8, 2011 (Inception), the revenue in the consolidated statement of operations and the consolidated net loss would have been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Three month period</w:t>
            </w:r>
          </w:p>
        </w:tc>
        <w:tc>
          <w:tcPr>
            <w:tcW w:w="2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4780" w:type="dxa"/>
            <w:vAlign w:val="bottom"/>
          </w:tcPr>
          <w:p>
            <w:pPr>
              <w:spacing w:after="0"/>
              <w:rPr>
                <w:sz w:val="18"/>
                <w:szCs w:val="18"/>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ended March 31,</w:t>
            </w:r>
          </w:p>
        </w:tc>
        <w:tc>
          <w:tcPr>
            <w:tcW w:w="23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Inception to March 31,</w:t>
            </w:r>
          </w:p>
        </w:tc>
      </w:tr>
      <w:tr>
        <w:trPr>
          <w:trHeight w:val="234"/>
        </w:trPr>
        <w:tc>
          <w:tcPr>
            <w:tcW w:w="478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2012</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9"/>
              </w:rPr>
              <w:t>2013</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Net Loss</w:t>
            </w:r>
          </w:p>
        </w:tc>
        <w:tc>
          <w:tcPr>
            <w:tcW w:w="200" w:type="dxa"/>
            <w:vAlign w:val="bottom"/>
          </w:tcPr>
          <w:p>
            <w:pPr>
              <w:spacing w:after="0"/>
              <w:rPr>
                <w:sz w:val="19"/>
                <w:szCs w:val="19"/>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b w:val="1"/>
                <w:bCs w:val="1"/>
                <w:color w:val="auto"/>
              </w:rPr>
              <w:t>Revenue</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Net Loss</w:t>
            </w:r>
          </w:p>
        </w:tc>
        <w:tc>
          <w:tcPr>
            <w:tcW w:w="80" w:type="dxa"/>
            <w:vAlign w:val="bottom"/>
          </w:tcPr>
          <w:p>
            <w:pPr>
              <w:spacing w:after="0"/>
              <w:rPr>
                <w:sz w:val="19"/>
                <w:szCs w:val="19"/>
                <w:color w:val="auto"/>
              </w:rPr>
            </w:pPr>
          </w:p>
        </w:tc>
      </w:tr>
      <w:tr>
        <w:trPr>
          <w:trHeight w:val="210"/>
        </w:trPr>
        <w:tc>
          <w:tcPr>
            <w:tcW w:w="4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amount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(7,762)</w:t>
            </w:r>
          </w:p>
        </w:tc>
        <w:tc>
          <w:tcPr>
            <w:tcW w:w="2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1,074</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(52,580)</w:t>
            </w:r>
          </w:p>
        </w:tc>
        <w:tc>
          <w:tcPr>
            <w:tcW w:w="8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 forma adjustment consists of amortization of acquired technology. The amortization, net, for the three month period ended March 31, 2012 would have been $247. The amortization, net, for the period from Inception through March 31, 2013 would have been $1,789. The above pro forma disclosure excludes the possible impact of valuation of equity and derivative instruments valued in connection with the Merger.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721"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6—Series A Convertible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Merger, I/P was authorized to issue up to 10,000,000* shares of preferred stock, par value $0.0001, of which 6,968* shares of preferred stock were designated as Series A Convertible Preferred Stock with such rights and preferences designated in the relevant Certificate of Designations (the “Series A Preferred Stock”). In June 2011, I/P issued 6,968* shares of Series A Preferred Stock to Hudson Bay for $1,800. The Series A Preferred Stock had a liquidation preference of $1,250 per share and was otherwise convertible, at the option of the holder, into 6,968,000* shares of I/P’s common stock at a conversion price of $1 per common share received, subject to adjustment for anti-dilution and other corporate events. In 2012, prior to the Merger, 295 shares of Series A Convertible Preferred Stock were converted into 295,000* shares of common stock of I/P.</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Merger, the Series A Convertible Preferred Stock was classified as mezzanine equity, because of certain cash redemption triggering events which were outside the control of the Company. Upon the Merger, the remaining 6,673* Series A Preferred stock shares were exchanged for 6,673 shares of equity-classified new Series A Convertible Preferred Stock, $0.01 par value (“New Series A Convertible Preferred Stock”), issued by Legal Parent to former stockholders of I/P, as part of the Merger. The shares of New Series A Convertible Preferred Stock were convertible into 20,136,445 shares of the Legal Parent’s shares of common stock and were classified as equity, as a cash-based redemption event is only triggered by events which are fully in the control of the Company. In August 2012, following the consummation of the Merger, all outstanding shares of New Series A Convertible Preferred Stock were converted.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Share amounts were not retrospectively restated to reflect Vringo’s equity instruments after the Merger.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Pre-Merger common stock share amounts and balance sheet disclosures were retrospectively restated to reflect Vringo’s equity instruments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issued and outstanding common stock from Inception through March 31, 2013: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Shares of common stock</w:t>
            </w:r>
          </w:p>
        </w:tc>
        <w:tc>
          <w:tcPr>
            <w:tcW w:w="0" w:type="dxa"/>
            <w:vAlign w:val="bottom"/>
          </w:tcPr>
          <w:p>
            <w:pPr>
              <w:spacing w:after="0"/>
              <w:rPr>
                <w:sz w:val="1"/>
                <w:szCs w:val="1"/>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8,768,014</w:t>
            </w:r>
          </w:p>
        </w:tc>
        <w:tc>
          <w:tcPr>
            <w:tcW w:w="0" w:type="dxa"/>
            <w:vAlign w:val="bottom"/>
          </w:tcPr>
          <w:p>
            <w:pPr>
              <w:spacing w:after="0"/>
              <w:rPr>
                <w:sz w:val="1"/>
                <w:szCs w:val="1"/>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8,204,963</w:t>
            </w: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6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16,972,977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890,192</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15,206,118</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754,400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6,832,150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stock options and RSUs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726,346</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20,136,445</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w w:val="91"/>
              </w:rPr>
              <w:t>Issuance of shares of common stock in connection with $31,148 received in a private financing round, net of issuance cost of $52</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9,600,000</w:t>
            </w:r>
          </w:p>
        </w:tc>
        <w:tc>
          <w:tcPr>
            <w:tcW w:w="0" w:type="dxa"/>
            <w:vAlign w:val="bottom"/>
          </w:tcPr>
          <w:p>
            <w:pPr>
              <w:spacing w:after="0"/>
              <w:rPr>
                <w:sz w:val="1"/>
                <w:szCs w:val="1"/>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$44,962 received in a private financing round, net of issuance cost of $39</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10,344,998</w:t>
            </w:r>
          </w:p>
        </w:tc>
        <w:tc>
          <w:tcPr>
            <w:tcW w:w="0" w:type="dxa"/>
            <w:vAlign w:val="bottom"/>
          </w:tcPr>
          <w:p>
            <w:pPr>
              <w:spacing w:after="0"/>
              <w:rPr>
                <w:sz w:val="1"/>
                <w:szCs w:val="1"/>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Shares issued for acquisition of patents, see Note 3</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160,600</w:t>
            </w:r>
          </w:p>
        </w:tc>
        <w:tc>
          <w:tcPr>
            <w:tcW w:w="0" w:type="dxa"/>
            <w:vAlign w:val="bottom"/>
          </w:tcPr>
          <w:p>
            <w:pPr>
              <w:spacing w:after="0"/>
              <w:rPr>
                <w:sz w:val="1"/>
                <w:szCs w:val="1"/>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warrants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94,147</w:t>
            </w:r>
          </w:p>
        </w:tc>
        <w:tc>
          <w:tcPr>
            <w:tcW w:w="0" w:type="dxa"/>
            <w:vAlign w:val="bottom"/>
          </w:tcPr>
          <w:p>
            <w:pPr>
              <w:spacing w:after="0"/>
              <w:rPr>
                <w:sz w:val="1"/>
                <w:szCs w:val="1"/>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RSUs</w:t>
            </w:r>
          </w:p>
        </w:tc>
        <w:tc>
          <w:tcPr>
            <w:tcW w:w="2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533,562</w:t>
            </w:r>
          </w:p>
        </w:tc>
        <w:tc>
          <w:tcPr>
            <w:tcW w:w="0" w:type="dxa"/>
            <w:vAlign w:val="bottom"/>
          </w:tcPr>
          <w:p>
            <w:pPr>
              <w:spacing w:after="0"/>
              <w:rPr>
                <w:sz w:val="1"/>
                <w:szCs w:val="1"/>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March 31, 2013</w:t>
            </w:r>
          </w:p>
        </w:tc>
        <w:tc>
          <w:tcPr>
            <w:tcW w:w="6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82,516,935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4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Equity—(cont'd)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August 2011, I/P adopted its 2011 Equity and Performance Incentive Plan (the “I/P 2011 Plan”). The I/P 2011 Plan provided for the issuance of stock options and restricted stock to the Company’s directors, employees and consultants. Terminated, expired or forfeited grants may be reissued under the I/P 2011 Plan. The number of shares available under I/P 2011 Plan was subject to adjustments for certain changes. Following the Merger with the Legal Parent, the I/P 2011 Plan was assumed by the Company’s 2012 Employee, Director and Consultant Equity Incentive Plan (“2012 Plan”).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19, 2012, following the Merger with the Legal Parent, the Company’s stockholders approved the 2012 Plan, replacing the existing 2006 Stock Option Plan of the Legal Parent, and the remaining 9,100,000 authorized shares thereunder were cancelled. The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expired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March 31, 2013, 3,722,750 shares were available for future grants under the 2012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common stock options granted for the three month period ended March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No. of</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Share price at grant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gridSpan w:val="2"/>
          </w:tcPr>
          <w:p>
            <w:pPr>
              <w:ind w:left="640"/>
              <w:spacing w:after="0"/>
              <w:rPr>
                <w:sz w:val="20"/>
                <w:szCs w:val="20"/>
                <w:color w:val="auto"/>
              </w:rPr>
            </w:pPr>
            <w:r>
              <w:rPr>
                <w:rFonts w:ascii="Arial" w:cs="Arial" w:eastAsia="Arial" w:hAnsi="Arial"/>
                <w:sz w:val="13"/>
                <w:szCs w:val="13"/>
                <w:b w:val="1"/>
                <w:bCs w:val="1"/>
                <w:color w:val="auto"/>
              </w:rPr>
              <w:t>Assumptions used in Black-Scholes option</w:t>
            </w:r>
          </w:p>
        </w:tc>
      </w:tr>
      <w:tr>
        <w:trPr>
          <w:trHeight w:val="153"/>
        </w:trPr>
        <w:tc>
          <w:tcPr>
            <w:tcW w:w="2080" w:type="dxa"/>
            <w:vAlign w:val="bottom"/>
          </w:tcPr>
          <w:p>
            <w:pPr>
              <w:ind w:left="920"/>
              <w:spacing w:after="0"/>
              <w:rPr>
                <w:sz w:val="20"/>
                <w:szCs w:val="20"/>
                <w:color w:val="auto"/>
              </w:rPr>
            </w:pPr>
            <w:r>
              <w:rPr>
                <w:rFonts w:ascii="Arial" w:cs="Arial" w:eastAsia="Arial" w:hAnsi="Arial"/>
                <w:sz w:val="13"/>
                <w:szCs w:val="13"/>
                <w:b w:val="1"/>
                <w:bCs w:val="1"/>
                <w:color w:val="auto"/>
              </w:rPr>
              <w:t>Title</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2"/>
              </w:rPr>
              <w:t>Grant date</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options</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date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Vesting terms</w:t>
            </w:r>
          </w:p>
        </w:tc>
        <w:tc>
          <w:tcPr>
            <w:tcW w:w="2360" w:type="dxa"/>
            <w:vAlign w:val="bottom"/>
          </w:tcPr>
          <w:p>
            <w:pPr>
              <w:ind w:left="1400"/>
              <w:spacing w:after="0"/>
              <w:rPr>
                <w:sz w:val="20"/>
                <w:szCs w:val="20"/>
                <w:color w:val="auto"/>
              </w:rPr>
            </w:pPr>
            <w:r>
              <w:rPr>
                <w:rFonts w:ascii="Arial" w:cs="Arial" w:eastAsia="Arial" w:hAnsi="Arial"/>
                <w:sz w:val="13"/>
                <w:szCs w:val="13"/>
                <w:b w:val="1"/>
                <w:bCs w:val="1"/>
                <w:color w:val="auto"/>
              </w:rPr>
              <w:t>pricing model</w:t>
            </w:r>
          </w:p>
        </w:tc>
        <w:tc>
          <w:tcPr>
            <w:tcW w:w="1160" w:type="dxa"/>
            <w:vAlign w:val="bottom"/>
          </w:tcPr>
          <w:p>
            <w:pPr>
              <w:spacing w:after="0"/>
              <w:rPr>
                <w:sz w:val="13"/>
                <w:szCs w:val="13"/>
                <w:color w:val="auto"/>
              </w:rPr>
            </w:pPr>
          </w:p>
        </w:tc>
      </w:tr>
      <w:tr>
        <w:trPr>
          <w:trHeight w:val="114"/>
        </w:trPr>
        <w:tc>
          <w:tcPr>
            <w:tcW w:w="208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w w:val="90"/>
              </w:rPr>
              <w:t>Management, Directors and Employees</w:t>
            </w:r>
          </w:p>
        </w:tc>
        <w:tc>
          <w:tcPr>
            <w:tcW w:w="120" w:type="dxa"/>
            <w:vAlign w:val="bottom"/>
            <w:tcBorders>
              <w:top w:val="single" w:sz="8" w:color="CCFFCC"/>
            </w:tcBorders>
            <w:shd w:val="clear" w:color="auto" w:fill="CCFFCC"/>
          </w:tcPr>
          <w:p>
            <w:pPr>
              <w:spacing w:after="0"/>
              <w:rPr>
                <w:sz w:val="9"/>
                <w:szCs w:val="9"/>
                <w:color w:val="auto"/>
              </w:rPr>
            </w:pPr>
          </w:p>
        </w:tc>
        <w:tc>
          <w:tcPr>
            <w:tcW w:w="1040" w:type="dxa"/>
            <w:vAlign w:val="bottom"/>
            <w:tcBorders>
              <w:top w:val="single" w:sz="8" w:color="auto"/>
            </w:tcBorders>
            <w:shd w:val="clear" w:color="auto" w:fill="CCFFCC"/>
          </w:tcPr>
          <w:p>
            <w:pPr>
              <w:jc w:val="center"/>
              <w:spacing w:after="0" w:line="114" w:lineRule="exact"/>
              <w:rPr>
                <w:sz w:val="20"/>
                <w:szCs w:val="20"/>
                <w:color w:val="auto"/>
              </w:rPr>
            </w:pPr>
            <w:r>
              <w:rPr>
                <w:rFonts w:ascii="Arial" w:cs="Arial" w:eastAsia="Arial" w:hAnsi="Arial"/>
                <w:sz w:val="13"/>
                <w:szCs w:val="13"/>
                <w:color w:val="auto"/>
                <w:w w:val="87"/>
              </w:rPr>
              <w:t>January-March</w:t>
            </w:r>
          </w:p>
        </w:tc>
        <w:tc>
          <w:tcPr>
            <w:tcW w:w="120" w:type="dxa"/>
            <w:vAlign w:val="bottom"/>
            <w:tcBorders>
              <w:top w:val="single" w:sz="8" w:color="CCFFCC"/>
            </w:tcBorders>
            <w:shd w:val="clear" w:color="auto" w:fill="CCFFCC"/>
          </w:tcPr>
          <w:p>
            <w:pPr>
              <w:spacing w:after="0"/>
              <w:rPr>
                <w:sz w:val="9"/>
                <w:szCs w:val="9"/>
                <w:color w:val="auto"/>
              </w:rPr>
            </w:pPr>
          </w:p>
        </w:tc>
        <w:tc>
          <w:tcPr>
            <w:tcW w:w="92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2,630,833</w:t>
            </w:r>
          </w:p>
        </w:tc>
        <w:tc>
          <w:tcPr>
            <w:tcW w:w="220" w:type="dxa"/>
            <w:vAlign w:val="bottom"/>
            <w:tcBorders>
              <w:top w:val="single" w:sz="8" w:color="CCFFCC"/>
            </w:tcBorders>
            <w:shd w:val="clear" w:color="auto" w:fill="CCFFCC"/>
          </w:tcPr>
          <w:p>
            <w:pPr>
              <w:spacing w:after="0"/>
              <w:rPr>
                <w:sz w:val="9"/>
                <w:szCs w:val="9"/>
                <w:color w:val="auto"/>
              </w:rPr>
            </w:pPr>
          </w:p>
        </w:tc>
        <w:tc>
          <w:tcPr>
            <w:tcW w:w="900" w:type="dxa"/>
            <w:vAlign w:val="bottom"/>
            <w:tcBorders>
              <w:top w:val="single" w:sz="8" w:color="auto"/>
            </w:tcBorders>
            <w:shd w:val="clear" w:color="auto" w:fill="CCFFCC"/>
          </w:tcPr>
          <w:p>
            <w:pPr>
              <w:jc w:val="right"/>
              <w:ind w:right="37"/>
              <w:spacing w:after="0" w:line="114" w:lineRule="exact"/>
              <w:rPr>
                <w:sz w:val="20"/>
                <w:szCs w:val="20"/>
                <w:color w:val="auto"/>
              </w:rPr>
            </w:pPr>
            <w:r>
              <w:rPr>
                <w:rFonts w:ascii="Arial" w:cs="Arial" w:eastAsia="Arial" w:hAnsi="Arial"/>
                <w:sz w:val="13"/>
                <w:szCs w:val="13"/>
                <w:color w:val="auto"/>
              </w:rPr>
              <w:t>$3.18-$3.24</w:t>
            </w:r>
          </w:p>
        </w:tc>
        <w:tc>
          <w:tcPr>
            <w:tcW w:w="220" w:type="dxa"/>
            <w:vAlign w:val="bottom"/>
            <w:tcBorders>
              <w:top w:val="single" w:sz="8" w:color="CCFFCC"/>
            </w:tcBorders>
            <w:shd w:val="clear" w:color="auto" w:fill="CCFFCC"/>
          </w:tcPr>
          <w:p>
            <w:pPr>
              <w:spacing w:after="0"/>
              <w:rPr>
                <w:sz w:val="9"/>
                <w:szCs w:val="9"/>
                <w:color w:val="auto"/>
              </w:rPr>
            </w:pPr>
          </w:p>
        </w:tc>
        <w:tc>
          <w:tcPr>
            <w:tcW w:w="1060" w:type="dxa"/>
            <w:vAlign w:val="bottom"/>
            <w:tcBorders>
              <w:top w:val="single" w:sz="8" w:color="auto"/>
            </w:tcBorders>
            <w:shd w:val="clear" w:color="auto" w:fill="CCFFCC"/>
          </w:tcPr>
          <w:p>
            <w:pPr>
              <w:jc w:val="right"/>
              <w:ind w:right="117"/>
              <w:spacing w:after="0" w:line="114" w:lineRule="exact"/>
              <w:rPr>
                <w:sz w:val="20"/>
                <w:szCs w:val="20"/>
                <w:color w:val="auto"/>
              </w:rPr>
            </w:pPr>
            <w:r>
              <w:rPr>
                <w:rFonts w:ascii="Arial" w:cs="Arial" w:eastAsia="Arial" w:hAnsi="Arial"/>
                <w:sz w:val="13"/>
                <w:szCs w:val="13"/>
                <w:color w:val="auto"/>
              </w:rPr>
              <w:t>$3.18-$3.24</w:t>
            </w:r>
          </w:p>
        </w:tc>
        <w:tc>
          <w:tcPr>
            <w:tcW w:w="220" w:type="dxa"/>
            <w:vAlign w:val="bottom"/>
            <w:tcBorders>
              <w:top w:val="single" w:sz="8" w:color="CCFFCC"/>
            </w:tcBorders>
            <w:shd w:val="clear" w:color="auto" w:fill="CCFFCC"/>
          </w:tcPr>
          <w:p>
            <w:pPr>
              <w:spacing w:after="0"/>
              <w:rPr>
                <w:sz w:val="9"/>
                <w:szCs w:val="9"/>
                <w:color w:val="auto"/>
              </w:rPr>
            </w:pPr>
          </w:p>
        </w:tc>
        <w:tc>
          <w:tcPr>
            <w:tcW w:w="900" w:type="dxa"/>
            <w:vAlign w:val="bottom"/>
            <w:tcBorders>
              <w:top w:val="single" w:sz="8" w:color="auto"/>
            </w:tcBorders>
            <w:shd w:val="clear" w:color="auto" w:fill="CCFFCC"/>
          </w:tcPr>
          <w:p>
            <w:pPr>
              <w:jc w:val="center"/>
              <w:spacing w:after="0" w:line="114" w:lineRule="exact"/>
              <w:rPr>
                <w:sz w:val="20"/>
                <w:szCs w:val="20"/>
                <w:color w:val="auto"/>
              </w:rPr>
            </w:pPr>
            <w:r>
              <w:rPr>
                <w:rFonts w:ascii="Arial" w:cs="Arial" w:eastAsia="Arial" w:hAnsi="Arial"/>
                <w:sz w:val="13"/>
                <w:szCs w:val="13"/>
                <w:color w:val="auto"/>
                <w:w w:val="86"/>
              </w:rPr>
              <w:t>Over 1-3 years</w:t>
            </w:r>
          </w:p>
        </w:tc>
        <w:tc>
          <w:tcPr>
            <w:tcW w:w="100" w:type="dxa"/>
            <w:vAlign w:val="bottom"/>
            <w:tcBorders>
              <w:top w:val="single" w:sz="8" w:color="CCFFCC"/>
            </w:tcBorders>
            <w:shd w:val="clear" w:color="auto" w:fill="CCFFCC"/>
          </w:tcPr>
          <w:p>
            <w:pPr>
              <w:spacing w:after="0"/>
              <w:rPr>
                <w:sz w:val="9"/>
                <w:szCs w:val="9"/>
                <w:color w:val="auto"/>
              </w:rPr>
            </w:pPr>
          </w:p>
        </w:tc>
        <w:tc>
          <w:tcPr>
            <w:tcW w:w="2360" w:type="dxa"/>
            <w:vAlign w:val="bottom"/>
            <w:tcBorders>
              <w:top w:val="single" w:sz="8" w:color="auto"/>
            </w:tcBorders>
            <w:shd w:val="clear" w:color="auto" w:fill="CCFFCC"/>
          </w:tcPr>
          <w:p>
            <w:pPr>
              <w:spacing w:after="0"/>
              <w:rPr>
                <w:sz w:val="9"/>
                <w:szCs w:val="9"/>
                <w:color w:val="auto"/>
              </w:rPr>
            </w:pPr>
          </w:p>
        </w:tc>
        <w:tc>
          <w:tcPr>
            <w:tcW w:w="1160" w:type="dxa"/>
            <w:vAlign w:val="bottom"/>
            <w:tcBorders>
              <w:top w:val="single" w:sz="8" w:color="auto"/>
            </w:tcBorders>
            <w:shd w:val="clear" w:color="auto" w:fill="CCFFCC"/>
          </w:tcPr>
          <w:p>
            <w:pPr>
              <w:spacing w:after="0"/>
              <w:rPr>
                <w:sz w:val="9"/>
                <w:szCs w:val="9"/>
                <w:color w:val="auto"/>
              </w:rPr>
            </w:pPr>
          </w:p>
        </w:tc>
      </w:tr>
      <w:tr>
        <w:trPr>
          <w:trHeight w:val="135"/>
        </w:trPr>
        <w:tc>
          <w:tcPr>
            <w:tcW w:w="20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center"/>
              <w:ind w:left="37"/>
              <w:spacing w:after="0" w:line="135" w:lineRule="exact"/>
              <w:rPr>
                <w:sz w:val="20"/>
                <w:szCs w:val="20"/>
                <w:color w:val="auto"/>
              </w:rPr>
            </w:pPr>
            <w:r>
              <w:rPr>
                <w:rFonts w:ascii="Arial" w:cs="Arial" w:eastAsia="Arial" w:hAnsi="Arial"/>
                <w:sz w:val="13"/>
                <w:szCs w:val="13"/>
                <w:color w:val="auto"/>
                <w:w w:val="89"/>
              </w:rPr>
              <w:t>2013</w:t>
            </w: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Volatility</w:t>
            </w:r>
          </w:p>
        </w:tc>
        <w:tc>
          <w:tcPr>
            <w:tcW w:w="116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63.65%-64.26%</w:t>
            </w:r>
          </w:p>
        </w:tc>
      </w:tr>
      <w:tr>
        <w:trPr>
          <w:trHeight w:val="135"/>
        </w:trPr>
        <w:tc>
          <w:tcPr>
            <w:tcW w:w="2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Risk free interest rate</w:t>
            </w:r>
          </w:p>
        </w:tc>
        <w:tc>
          <w:tcPr>
            <w:tcW w:w="116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1.07%-2.06%</w:t>
            </w:r>
          </w:p>
        </w:tc>
      </w:tr>
      <w:tr>
        <w:trPr>
          <w:trHeight w:val="135"/>
        </w:trPr>
        <w:tc>
          <w:tcPr>
            <w:tcW w:w="2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3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Expected term, in years</w:t>
            </w:r>
          </w:p>
        </w:tc>
        <w:tc>
          <w:tcPr>
            <w:tcW w:w="116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5.71-10.00</w:t>
            </w:r>
          </w:p>
        </w:tc>
      </w:tr>
      <w:tr>
        <w:trPr>
          <w:trHeight w:val="149"/>
        </w:trPr>
        <w:tc>
          <w:tcPr>
            <w:tcW w:w="20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360" w:type="dxa"/>
            <w:vAlign w:val="bottom"/>
            <w:shd w:val="clear" w:color="auto" w:fill="CCFFCC"/>
          </w:tcPr>
          <w:p>
            <w:pPr>
              <w:spacing w:after="0"/>
              <w:rPr>
                <w:sz w:val="20"/>
                <w:szCs w:val="20"/>
                <w:color w:val="auto"/>
              </w:rPr>
            </w:pPr>
            <w:r>
              <w:rPr>
                <w:rFonts w:ascii="Arial" w:cs="Arial" w:eastAsia="Arial" w:hAnsi="Arial"/>
                <w:sz w:val="13"/>
                <w:szCs w:val="13"/>
                <w:color w:val="auto"/>
              </w:rPr>
              <w:t>Dividend yield</w:t>
            </w:r>
          </w:p>
        </w:tc>
        <w:tc>
          <w:tcPr>
            <w:tcW w:w="11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0.00%</w:t>
            </w: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Consultants *</w:t>
            </w:r>
          </w:p>
        </w:tc>
        <w:tc>
          <w:tcPr>
            <w:tcW w:w="12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auto"/>
                <w:w w:val="87"/>
              </w:rPr>
              <w:t>January-March</w:t>
            </w:r>
          </w:p>
        </w:tc>
        <w:tc>
          <w:tcPr>
            <w:tcW w:w="1260" w:type="dxa"/>
            <w:vAlign w:val="bottom"/>
            <w:gridSpan w:val="3"/>
          </w:tcPr>
          <w:p>
            <w:pPr>
              <w:jc w:val="right"/>
              <w:ind w:right="220"/>
              <w:spacing w:after="0" w:line="121" w:lineRule="exact"/>
              <w:rPr>
                <w:sz w:val="20"/>
                <w:szCs w:val="20"/>
                <w:color w:val="auto"/>
              </w:rPr>
            </w:pPr>
            <w:r>
              <w:rPr>
                <w:rFonts w:ascii="Arial" w:cs="Arial" w:eastAsia="Arial" w:hAnsi="Arial"/>
                <w:sz w:val="13"/>
                <w:szCs w:val="13"/>
                <w:color w:val="auto"/>
              </w:rPr>
              <w:t>112,500</w:t>
            </w:r>
          </w:p>
        </w:tc>
        <w:tc>
          <w:tcPr>
            <w:tcW w:w="9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$2.90-$3.30</w:t>
            </w:r>
          </w:p>
        </w:tc>
        <w:tc>
          <w:tcPr>
            <w:tcW w:w="220" w:type="dxa"/>
            <w:vAlign w:val="bottom"/>
          </w:tcPr>
          <w:p>
            <w:pPr>
              <w:spacing w:after="0"/>
              <w:rPr>
                <w:sz w:val="10"/>
                <w:szCs w:val="10"/>
                <w:color w:val="auto"/>
              </w:rPr>
            </w:pPr>
          </w:p>
        </w:tc>
        <w:tc>
          <w:tcPr>
            <w:tcW w:w="10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$2.90-$3.30</w:t>
            </w:r>
          </w:p>
        </w:tc>
        <w:tc>
          <w:tcPr>
            <w:tcW w:w="220" w:type="dxa"/>
            <w:vAlign w:val="bottom"/>
          </w:tcPr>
          <w:p>
            <w:pPr>
              <w:spacing w:after="0"/>
              <w:rPr>
                <w:sz w:val="10"/>
                <w:szCs w:val="10"/>
                <w:color w:val="auto"/>
              </w:rPr>
            </w:pPr>
          </w:p>
        </w:tc>
        <w:tc>
          <w:tcPr>
            <w:tcW w:w="100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6"/>
              </w:rPr>
              <w:t>Over 0-2.5 years</w:t>
            </w:r>
          </w:p>
        </w:tc>
        <w:tc>
          <w:tcPr>
            <w:tcW w:w="23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116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89"/>
              </w:rPr>
              <w:t>2013</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Volatility</w:t>
            </w:r>
          </w:p>
        </w:tc>
        <w:tc>
          <w:tcPr>
            <w:tcW w:w="11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63.87%-68.96%</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Risk free interest rate</w:t>
            </w:r>
          </w:p>
        </w:tc>
        <w:tc>
          <w:tcPr>
            <w:tcW w:w="11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1.86%-2.16%</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Remaining expected term, in years</w:t>
            </w:r>
          </w:p>
        </w:tc>
        <w:tc>
          <w:tcPr>
            <w:tcW w:w="11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9.75-10</w:t>
            </w:r>
          </w:p>
        </w:tc>
      </w:tr>
      <w:tr>
        <w:trPr>
          <w:trHeight w:val="160"/>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20"/>
                <w:szCs w:val="20"/>
                <w:color w:val="auto"/>
              </w:rPr>
            </w:pPr>
            <w:r>
              <w:rPr>
                <w:rFonts w:ascii="Arial" w:cs="Arial" w:eastAsia="Arial" w:hAnsi="Arial"/>
                <w:sz w:val="13"/>
                <w:szCs w:val="13"/>
                <w:color w:val="auto"/>
              </w:rPr>
              <w:t>Dividend yield</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0.00%</w:t>
            </w:r>
          </w:p>
        </w:tc>
      </w:tr>
    </w:tbl>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RSUs granted for the three month period ended March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ind w:left="600"/>
              <w:spacing w:after="0"/>
              <w:rPr>
                <w:sz w:val="20"/>
                <w:szCs w:val="20"/>
                <w:color w:val="auto"/>
              </w:rPr>
            </w:pPr>
            <w:r>
              <w:rPr>
                <w:rFonts w:ascii="Arial" w:cs="Arial" w:eastAsia="Arial" w:hAnsi="Arial"/>
                <w:sz w:val="18"/>
                <w:szCs w:val="18"/>
                <w:b w:val="1"/>
                <w:bCs w:val="1"/>
                <w:color w:val="auto"/>
              </w:rPr>
              <w:t>Title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 of RSUs</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 price</w:t>
            </w: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8"/>
              </w:rPr>
              <w:t>Share price at grant date</w:t>
            </w:r>
          </w:p>
        </w:tc>
        <w:tc>
          <w:tcPr>
            <w:tcW w:w="1520" w:type="dxa"/>
            <w:vAlign w:val="bottom"/>
          </w:tcPr>
          <w:p>
            <w:pPr>
              <w:ind w:left="240"/>
              <w:spacing w:after="0"/>
              <w:rPr>
                <w:sz w:val="20"/>
                <w:szCs w:val="20"/>
                <w:color w:val="auto"/>
              </w:rPr>
            </w:pPr>
            <w:r>
              <w:rPr>
                <w:rFonts w:ascii="Arial" w:cs="Arial" w:eastAsia="Arial" w:hAnsi="Arial"/>
                <w:sz w:val="18"/>
                <w:szCs w:val="18"/>
                <w:b w:val="1"/>
                <w:bCs w:val="1"/>
                <w:color w:val="auto"/>
              </w:rPr>
              <w:t>Vesting terms</w:t>
            </w:r>
          </w:p>
        </w:tc>
      </w:tr>
      <w:tr>
        <w:trPr>
          <w:trHeight w:val="195"/>
        </w:trPr>
        <w:tc>
          <w:tcPr>
            <w:tcW w:w="15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Management,</w:t>
            </w:r>
          </w:p>
        </w:tc>
        <w:tc>
          <w:tcPr>
            <w:tcW w:w="100" w:type="dxa"/>
            <w:vAlign w:val="bottom"/>
            <w:tcBorders>
              <w:top w:val="single" w:sz="8" w:color="CCFFCC"/>
            </w:tcBorders>
            <w:shd w:val="clear" w:color="auto" w:fill="CCFFCC"/>
          </w:tcPr>
          <w:p>
            <w:pPr>
              <w:spacing w:after="0"/>
              <w:rPr>
                <w:sz w:val="16"/>
                <w:szCs w:val="16"/>
                <w:color w:val="auto"/>
              </w:rPr>
            </w:pPr>
          </w:p>
        </w:tc>
        <w:tc>
          <w:tcPr>
            <w:tcW w:w="154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1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50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520" w:type="dxa"/>
            <w:vAlign w:val="bottom"/>
            <w:tcBorders>
              <w:top w:val="single" w:sz="8" w:color="auto"/>
            </w:tcBorders>
            <w:shd w:val="clear" w:color="auto" w:fill="CCFFCC"/>
          </w:tcPr>
          <w:p>
            <w:pPr>
              <w:spacing w:after="0"/>
              <w:rPr>
                <w:sz w:val="16"/>
                <w:szCs w:val="16"/>
                <w:color w:val="auto"/>
              </w:rPr>
            </w:pPr>
          </w:p>
        </w:tc>
      </w:tr>
      <w:tr>
        <w:trPr>
          <w:trHeight w:val="216"/>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directors and</w:t>
            </w: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r>
      <w:tr>
        <w:trPr>
          <w:trHeight w:val="230"/>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 *</w:t>
            </w:r>
          </w:p>
        </w:tc>
        <w:tc>
          <w:tcPr>
            <w:tcW w:w="164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February 2013</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636,250</w:t>
            </w:r>
          </w:p>
        </w:tc>
        <w:tc>
          <w:tcPr>
            <w:tcW w:w="1680" w:type="dxa"/>
            <w:vAlign w:val="bottom"/>
            <w:gridSpan w:val="2"/>
            <w:shd w:val="clear" w:color="auto" w:fill="CCFFCC"/>
          </w:tcPr>
          <w:p>
            <w:pPr>
              <w:ind w:left="1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3.18</w:t>
            </w:r>
          </w:p>
        </w:tc>
        <w:tc>
          <w:tcPr>
            <w:tcW w:w="15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Over 1-3 years</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Consultants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2013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33,000</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1520" w:type="dxa"/>
            <w:vAlign w:val="bottom"/>
          </w:tcPr>
          <w:p>
            <w:pPr>
              <w:ind w:left="220"/>
              <w:spacing w:after="0"/>
              <w:rPr>
                <w:sz w:val="20"/>
                <w:szCs w:val="20"/>
                <w:color w:val="auto"/>
              </w:rPr>
            </w:pPr>
            <w:r>
              <w:rPr>
                <w:rFonts w:ascii="Arial" w:cs="Arial" w:eastAsia="Arial" w:hAnsi="Arial"/>
                <w:sz w:val="18"/>
                <w:szCs w:val="18"/>
                <w:color w:val="auto"/>
              </w:rPr>
              <w:t>Over 9 months</w:t>
            </w:r>
          </w:p>
        </w:tc>
      </w:tr>
    </w:tbl>
    <w:p>
      <w:pPr>
        <w:spacing w:after="0" w:line="187" w:lineRule="exact"/>
        <w:rPr>
          <w:sz w:val="20"/>
          <w:szCs w:val="20"/>
          <w:color w:val="auto"/>
        </w:rPr>
      </w:pPr>
    </w:p>
    <w:p>
      <w:pPr>
        <w:ind w:left="660" w:hanging="4"/>
        <w:spacing w:after="0" w:line="277" w:lineRule="auto"/>
        <w:tabs>
          <w:tab w:leader="none" w:pos="812"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optionee), upon a subsequent change of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RSU activity for the three month period ended March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4"/>
              </w:rPr>
              <w:t>Options</w:t>
            </w: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5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0"/>
                <w:szCs w:val="10"/>
                <w:color w:val="auto"/>
              </w:rPr>
            </w:pPr>
          </w:p>
        </w:tc>
        <w:tc>
          <w:tcPr>
            <w:tcW w:w="118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40" w:type="dxa"/>
            <w:vAlign w:val="bottom"/>
          </w:tcPr>
          <w:p>
            <w:pPr>
              <w:spacing w:after="0"/>
              <w:rPr>
                <w:sz w:val="10"/>
                <w:szCs w:val="10"/>
                <w:color w:val="auto"/>
              </w:rPr>
            </w:pP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No. of</w:t>
            </w:r>
          </w:p>
        </w:tc>
        <w:tc>
          <w:tcPr>
            <w:tcW w:w="60" w:type="dxa"/>
            <w:vAlign w:val="bottom"/>
          </w:tcPr>
          <w:p>
            <w:pPr>
              <w:spacing w:after="0"/>
              <w:rPr>
                <w:sz w:val="10"/>
                <w:szCs w:val="10"/>
                <w:color w:val="auto"/>
              </w:rPr>
            </w:pPr>
          </w:p>
        </w:tc>
        <w:tc>
          <w:tcPr>
            <w:tcW w:w="15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 average</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value</w:t>
            </w: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5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exercise price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range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26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Outstanding at January 1, 2013</w:t>
            </w:r>
          </w:p>
        </w:tc>
        <w:tc>
          <w:tcPr>
            <w:tcW w:w="12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3,125,000</w:t>
            </w:r>
          </w:p>
        </w:tc>
        <w:tc>
          <w:tcPr>
            <w:tcW w:w="2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3.72</w:t>
            </w:r>
          </w:p>
        </w:tc>
        <w:tc>
          <w:tcPr>
            <w:tcW w:w="240" w:type="dxa"/>
            <w:vAlign w:val="bottom"/>
            <w:tcBorders>
              <w:top w:val="single" w:sz="8" w:color="CCFFCC"/>
            </w:tcBorders>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9,149,105</w:t>
            </w:r>
          </w:p>
        </w:tc>
        <w:tc>
          <w:tcPr>
            <w:tcW w:w="2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3.33</w:t>
            </w:r>
          </w:p>
        </w:tc>
        <w:tc>
          <w:tcPr>
            <w:tcW w:w="2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ind w:left="300"/>
              <w:spacing w:after="0" w:line="142" w:lineRule="exact"/>
              <w:rPr>
                <w:sz w:val="20"/>
                <w:szCs w:val="20"/>
                <w:color w:val="auto"/>
              </w:rPr>
            </w:pPr>
            <w:r>
              <w:rPr>
                <w:rFonts w:ascii="Arial" w:cs="Arial" w:eastAsia="Arial" w:hAnsi="Arial"/>
                <w:sz w:val="14"/>
                <w:szCs w:val="14"/>
                <w:color w:val="auto"/>
                <w:w w:val="91"/>
              </w:rPr>
              <w:t>$0.01 – $5.50</w:t>
            </w:r>
          </w:p>
        </w:tc>
        <w:tc>
          <w:tcPr>
            <w:tcW w:w="2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2.57</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669,250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2,743,333</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w:t>
            </w:r>
          </w:p>
        </w:tc>
        <w:tc>
          <w:tcPr>
            <w:tcW w:w="140" w:type="dxa"/>
            <w:vAlign w:val="bottom"/>
          </w:tcPr>
          <w:p>
            <w:pPr>
              <w:spacing w:after="0"/>
              <w:rPr>
                <w:sz w:val="12"/>
                <w:szCs w:val="12"/>
                <w:color w:val="auto"/>
              </w:rPr>
            </w:pPr>
          </w:p>
        </w:tc>
        <w:tc>
          <w:tcPr>
            <w:tcW w:w="11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3"/>
              </w:rPr>
              <w:t>$3.18 – $3.24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Exercised</w:t>
            </w:r>
          </w:p>
        </w:tc>
        <w:tc>
          <w:tcPr>
            <w:tcW w:w="15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(449,749)</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3.70</w:t>
            </w:r>
          </w:p>
        </w:tc>
        <w:tc>
          <w:tcPr>
            <w:tcW w:w="15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(83,813)</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w w:val="93"/>
              </w:rPr>
              <w:t>$0.01 – $1.50</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20"/>
                <w:szCs w:val="20"/>
                <w:color w:val="auto"/>
              </w:rPr>
            </w:pPr>
            <w:r>
              <w:rPr>
                <w:rFonts w:ascii="Arial" w:cs="Arial" w:eastAsia="Arial" w:hAnsi="Arial"/>
                <w:sz w:val="14"/>
                <w:szCs w:val="14"/>
                <w:color w:val="auto"/>
              </w:rPr>
              <w:t>Forfeited</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(8,126)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3.72</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(95,312)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3.62</w:t>
            </w:r>
          </w:p>
        </w:tc>
        <w:tc>
          <w:tcPr>
            <w:tcW w:w="140" w:type="dxa"/>
            <w:vAlign w:val="bottom"/>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w w:val="93"/>
              </w:rPr>
              <w:t>$0.01 – $5.50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6"/>
        </w:trPr>
        <w:tc>
          <w:tcPr>
            <w:tcW w:w="2640" w:type="dxa"/>
            <w:vAlign w:val="bottom"/>
            <w:tcBorders>
              <w:top w:val="single" w:sz="8" w:color="CCFFCC"/>
              <w:bottom w:val="single" w:sz="8" w:color="CCFFCC"/>
            </w:tcBorders>
            <w:shd w:val="clear" w:color="auto" w:fill="CCFFCC"/>
          </w:tcPr>
          <w:p>
            <w:pPr>
              <w:spacing w:after="0" w:line="155" w:lineRule="exact"/>
              <w:rPr>
                <w:sz w:val="20"/>
                <w:szCs w:val="20"/>
                <w:color w:val="auto"/>
              </w:rPr>
            </w:pPr>
            <w:r>
              <w:rPr>
                <w:rFonts w:ascii="Arial" w:cs="Arial" w:eastAsia="Arial" w:hAnsi="Arial"/>
                <w:sz w:val="14"/>
                <w:szCs w:val="14"/>
                <w:b w:val="1"/>
                <w:bCs w:val="1"/>
                <w:color w:val="auto"/>
              </w:rPr>
              <w:t>Outstanding at March 31, 2013</w:t>
            </w:r>
          </w:p>
        </w:tc>
        <w:tc>
          <w:tcPr>
            <w:tcW w:w="12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3,336,375</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3.61</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2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11,713,313</w:t>
            </w:r>
          </w:p>
        </w:tc>
        <w:tc>
          <w:tcPr>
            <w:tcW w:w="220" w:type="dxa"/>
            <w:vAlign w:val="bottom"/>
            <w:tcBorders>
              <w:top w:val="single" w:sz="8" w:color="CCFFCC"/>
              <w:bottom w:val="single" w:sz="8" w:color="CCFFCC"/>
            </w:tcBorders>
            <w:shd w:val="clear" w:color="auto" w:fill="CCFFCC"/>
          </w:tcPr>
          <w:p>
            <w:pPr>
              <w:spacing w:after="0"/>
              <w:rPr>
                <w:sz w:val="13"/>
                <w:szCs w:val="13"/>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3.31</w:t>
            </w:r>
          </w:p>
        </w:tc>
        <w:tc>
          <w:tcPr>
            <w:tcW w:w="22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spacing w:after="0"/>
              <w:rPr>
                <w:sz w:val="13"/>
                <w:szCs w:val="13"/>
                <w:color w:val="auto"/>
              </w:rPr>
            </w:pPr>
          </w:p>
        </w:tc>
        <w:tc>
          <w:tcPr>
            <w:tcW w:w="1100" w:type="dxa"/>
            <w:vAlign w:val="bottom"/>
            <w:tcBorders>
              <w:top w:val="single" w:sz="8" w:color="auto"/>
              <w:bottom w:val="single" w:sz="8" w:color="auto"/>
            </w:tcBorders>
            <w:shd w:val="clear" w:color="auto" w:fill="CCFFCC"/>
          </w:tcPr>
          <w:p>
            <w:pPr>
              <w:ind w:left="300"/>
              <w:spacing w:after="0" w:line="155" w:lineRule="exact"/>
              <w:rPr>
                <w:sz w:val="20"/>
                <w:szCs w:val="20"/>
                <w:color w:val="auto"/>
              </w:rPr>
            </w:pPr>
            <w:r>
              <w:rPr>
                <w:rFonts w:ascii="Arial" w:cs="Arial" w:eastAsia="Arial" w:hAnsi="Arial"/>
                <w:sz w:val="14"/>
                <w:szCs w:val="14"/>
                <w:color w:val="auto"/>
                <w:w w:val="91"/>
              </w:rPr>
              <w:t>$0.01 – $5.50</w:t>
            </w:r>
          </w:p>
        </w:tc>
        <w:tc>
          <w:tcPr>
            <w:tcW w:w="20" w:type="dxa"/>
            <w:vAlign w:val="bottom"/>
            <w:tcBorders>
              <w:top w:val="single" w:sz="8" w:color="CCFFCC"/>
              <w:bottom w:val="single" w:sz="8" w:color="CCFFCC"/>
            </w:tcBorders>
            <w:shd w:val="clear" w:color="auto" w:fill="CCFFCC"/>
          </w:tcPr>
          <w:p>
            <w:pPr>
              <w:spacing w:after="0"/>
              <w:rPr>
                <w:sz w:val="13"/>
                <w:szCs w:val="13"/>
                <w:color w:val="auto"/>
              </w:rPr>
            </w:pP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2.53</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Exercisable at March 31, 2013</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vMerge w:val="continue"/>
          </w:tcPr>
          <w:p>
            <w:pPr>
              <w:spacing w:after="0"/>
              <w:rPr>
                <w:sz w:val="13"/>
                <w:szCs w:val="13"/>
                <w:color w:val="auto"/>
              </w:rPr>
            </w:pPr>
          </w:p>
        </w:tc>
        <w:tc>
          <w:tcPr>
            <w:tcW w:w="15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5,010,156</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3"/>
                <w:szCs w:val="13"/>
                <w:color w:val="auto"/>
              </w:rPr>
            </w:pPr>
          </w:p>
        </w:tc>
        <w:tc>
          <w:tcPr>
            <w:tcW w:w="1120" w:type="dxa"/>
            <w:vAlign w:val="bottom"/>
            <w:gridSpan w:val="2"/>
          </w:tcPr>
          <w:p>
            <w:pPr>
              <w:ind w:left="300"/>
              <w:spacing w:after="0" w:line="156" w:lineRule="exact"/>
              <w:rPr>
                <w:sz w:val="20"/>
                <w:szCs w:val="20"/>
                <w:color w:val="auto"/>
              </w:rPr>
            </w:pPr>
            <w:r>
              <w:rPr>
                <w:rFonts w:ascii="Arial" w:cs="Arial" w:eastAsia="Arial" w:hAnsi="Arial"/>
                <w:sz w:val="14"/>
                <w:szCs w:val="14"/>
                <w:color w:val="auto"/>
                <w:w w:val="93"/>
              </w:rPr>
              <w:t>$0.01 – $5.50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Equity—(cont'd)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 month periods ended March 31, 2013 and 2012, the Company recorded total stock compensation expense of $3,094 and $84, respectively. Cumulatively from Inception through March 31, 2013, the Company has recorded stock compensation expense of $11,655.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cumulatively did not create tax benefits related to its stock-based compensation due to a full valuation allowance in the 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three month period ended March 31, 2013:</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Outstanding at March 31, 2013</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Company’s outstanding warrants consisted of the following: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Series 1 and Series 2 Warrants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Weighted average</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No. of warrants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price range</w:t>
            </w:r>
          </w:p>
        </w:tc>
      </w:tr>
      <w:tr>
        <w:trPr>
          <w:trHeight w:val="195"/>
        </w:trPr>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18,863,261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40"/>
              <w:spacing w:after="0" w:line="195" w:lineRule="exact"/>
              <w:rPr>
                <w:sz w:val="20"/>
                <w:szCs w:val="20"/>
                <w:color w:val="auto"/>
              </w:rPr>
            </w:pPr>
            <w:r>
              <w:rPr>
                <w:rFonts w:ascii="Arial" w:cs="Arial" w:eastAsia="Arial" w:hAnsi="Arial"/>
                <w:sz w:val="18"/>
                <w:szCs w:val="18"/>
                <w:color w:val="auto"/>
                <w:w w:val="79"/>
              </w:rPr>
              <w:t>3.11</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$0.94 – $5.06</w:t>
            </w:r>
          </w:p>
        </w:tc>
        <w:tc>
          <w:tcPr>
            <w:tcW w:w="20" w:type="dxa"/>
            <w:vAlign w:val="bottom"/>
          </w:tcPr>
          <w:p>
            <w:pPr>
              <w:spacing w:after="0"/>
              <w:rPr>
                <w:sz w:val="16"/>
                <w:szCs w:val="16"/>
                <w:color w:val="auto"/>
              </w:rPr>
            </w:pPr>
          </w:p>
        </w:tc>
      </w:tr>
      <w:tr>
        <w:trPr>
          <w:trHeight w:val="216"/>
        </w:trPr>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(94,147)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1.76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18,769,114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79"/>
              </w:rPr>
              <w:t>3.12</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$0.94 – $5.06</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4860" w:space="720"/>
            <w:col w:w="5840"/>
          </w:cols>
          <w:pgMar w:left="240" w:top="877" w:right="239" w:bottom="1440" w:gutter="0" w:footer="0" w:header="0"/>
          <w:type w:val="continuous"/>
        </w:sectPr>
      </w:pPr>
    </w:p>
    <w:p>
      <w:pPr>
        <w:spacing w:after="0" w:line="2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As part of the Merger, on July 19, 2012, the Legal Parent issued to I/P’s stockholders 8,299,116 warrants at an exercise price of $1.76 per share and contractual term of 5 years (“Series 1 Warrant”). These warrants bear down-round protection clauses and as a result, they were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 During the three month period ended March 31, 2013, 48,957 Series 1 Warrants and 45,190 Series 2 Warrants were exercised. From Inception and through March 31, 2013, 4,704,056 Series 1 Warrants and 1,326,060 Series 2 Warrants were exercised.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Conversion Warrants, Special Bridge Warrants and Reload Warrants</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On July 19, 2012, the date of the Merger, Legal Parent’s outstanding warrants included: (i) 148,390 derivative warrants, at an exercise price of $0.94 per share, with a remaining contractual term of 2.44 years (the “Special Bridge Warrants”); (ii) 101,445 derivative warrants, at an exercise price of $0.94 per share, with a remaining contractual term of 2.44 years (the “Conversion Warrants”); (iii) 887,330 derivative warrants, at an exercise price of $1.76 per share, with a remaining contractual term of 4.55 years (the “Preferential Reload Warrants”); and (iv) 814,408 warrants, classified as equity, at an exercise price of $1.76 per share, with a remaining contractual term of 4.55 years (the “non-Preferential Reload Warrants”). During the three month period ended March 31, 2013, none of these warrants were exercised. From Inception and through March 31, 2013, 169,520 non-Preferential Reload Warrants and 726,721 Preferential Reload Warrants were exercised.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 Initial Public Offering Warrants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completion of its initial public offering, the Legal Parent issued 4,784,000 warrants at an exercise price of $5.06 per share. These warrants are publicly traded and are exercisable until June 21, 2015, at an exercise price of $5.06 per share. As of March 31, 2013, all of these warrants were outstanding and classified as equity.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 October 2012 Warrants</w:t>
      </w:r>
    </w:p>
    <w:p>
      <w:pPr>
        <w:spacing w:after="0" w:line="225"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As of March 31, 2013, all October 2012 warrants were outstanding.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retains the services of law firms that specialize in intellectual property licensing, enforcement and patent law. These law firms are retained on an hourly fee, monthly fee, project fee, contingent fee, or blended fee basis. In a contingency fee arrangement, law firms are paid a scaled percentage of any negotiated fees, settlements or judgments awarded, based on how and when the fees, settlements or judgments are obtained.</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6, 2012, the Company received a verdict in its case against AOL, Inc., Google, Inc., IAC Search &amp; Media, Inc., Gannett Company, Inc. and Target Corporation (collectively, "Defendants") with respect to the Defendants' infringement of the asserted claims of U.S. Patent Nos. 6,314,420 and 6,775,664 (collectively, the "IPE Patents"). After finding that the asserted claims of the IPE Patents were not invalid, and infringed by the Defendants,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as follows: Google: $15,800, AOL: $7,943, IAC: $6,650, Gannett: $4, Target: $99. Motions by I/P Engine for awards of pre-judgment interest, post-judgment interest, supplemental damages and post-judgment royalties, are pending in U.S. District Court. I/P Engine and Defendants have filed notices of appeal with the Court of Appeals for the Federal Circuit. In response to a request by Google, Inc., the IPE Patents are being reexamined by the U.S. Patent and Trademark Office (see also Note 9 (b)). On January 31, 2013, I/P Engine filed an action asserting infringement of the IPE Patents in the United States District Court, Southern District of New York, against Microsoft Corporation. According to certain scaled fee agreements, I/P Engine will pay between 15% and 20% of any recovery to professional service providers. As of March 31, 2013, the Company did not record any revenue, nor a liability for any potential, contingent, legal fees, related to these litigations, as timing of collection, if any, or the amounts due to it, cannot be determined.</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October 2012 through March 31, 2013, the Company’s subsidiaries filed patent infringement lawsuits against the subsidiaries of ZTE Corporation in the United Kingdom, France and Germany. Should the Company be deemed the losing party in any of its applications to the court in the UK, it may be held responsible for a substantial percentage of the defendant’s legal fees for the relevant application or for the litigation. As a result, the Company placed a guarantee to ensure the payment of a potential liability, which the defendants estimated to be approximately $2,900. However, should the Company be successful on any court applications or the entire litigation, ZTE would be responsible for a substantial percentage of its legal fees. In addition, the Company will grant additional guarantees, as necessary, in connection with its commenced proceedings against ZTE in Europe.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2012, the Company signed a rental agreement for its new headquarters in New York. According to the new agreement, the Company shall pay an annual fee of approximately $137 (subject to certain adjustments). The Company’s subsidiary in Israel leases an office space for a period of up to four years (including options to extend the terms of the lease). According to the agreement, the subsidiary in Israel shall pay an annual fee of approximately $72 (in NIS, subject to certain adjustments). Rent expense for operating leases and automobiles for the three month periods ended March 31, 2013 and 2012, and the cumulative period from Inception until March 31, 2013, was $53, $8 and $227,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for office space and cars, as of March 31, 2013,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Period ending December 31,</w:t>
            </w:r>
          </w:p>
        </w:tc>
        <w:tc>
          <w:tcPr>
            <w:tcW w:w="2860" w:type="dxa"/>
            <w:vAlign w:val="bottom"/>
            <w:tcBorders>
              <w:top w:val="single" w:sz="8" w:color="CCFFCC"/>
            </w:tcBorders>
            <w:shd w:val="clear" w:color="auto" w:fill="CCFFCC"/>
          </w:tcPr>
          <w:p>
            <w:pPr>
              <w:spacing w:after="0"/>
              <w:rPr>
                <w:sz w:val="19"/>
                <w:szCs w:val="19"/>
                <w:color w:val="auto"/>
              </w:rPr>
            </w:pPr>
          </w:p>
        </w:tc>
        <w:tc>
          <w:tcPr>
            <w:tcW w:w="940" w:type="dxa"/>
            <w:vAlign w:val="bottom"/>
            <w:tcBorders>
              <w:top w:val="single" w:sz="8" w:color="auto"/>
              <w:right w:val="single" w:sz="8" w:color="CCFFCC"/>
            </w:tcBorders>
            <w:shd w:val="clear" w:color="auto" w:fill="CCFFCC"/>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2013 (nine months ending December 31, 2013)</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38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2015</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80" w:type="dxa"/>
            <w:vAlign w:val="bottom"/>
            <w:tcBorders>
              <w:top w:val="single" w:sz="8" w:color="CCFFCC"/>
              <w:bottom w:val="single" w:sz="8" w:color="CCFFCC"/>
            </w:tcBorders>
            <w:shd w:val="clear" w:color="auto" w:fill="CCFFCC"/>
          </w:tcPr>
          <w:p>
            <w:pPr>
              <w:spacing w:after="0"/>
              <w:rPr>
                <w:sz w:val="19"/>
                <w:szCs w:val="19"/>
                <w:color w:val="auto"/>
              </w:rPr>
            </w:pPr>
          </w:p>
        </w:tc>
        <w:tc>
          <w:tcPr>
            <w:tcW w:w="2860" w:type="dxa"/>
            <w:vAlign w:val="bottom"/>
            <w:tcBorders>
              <w:top w:val="single" w:sz="8" w:color="CCFFCC"/>
              <w:bottom w:val="single" w:sz="8" w:color="CCFFCC"/>
            </w:tcBorders>
            <w:shd w:val="clear" w:color="auto" w:fill="CCFFCC"/>
          </w:tcPr>
          <w:p>
            <w:pPr>
              <w:spacing w:after="0"/>
              <w:rPr>
                <w:sz w:val="19"/>
                <w:szCs w:val="19"/>
                <w:color w:val="auto"/>
              </w:rPr>
            </w:pPr>
          </w:p>
        </w:tc>
        <w:tc>
          <w:tcPr>
            <w:tcW w:w="9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459</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60" w:type="dxa"/>
            <w:vAlign w:val="bottom"/>
            <w:vMerge w:val="restart"/>
          </w:tcPr>
          <w:p>
            <w:pPr>
              <w:jc w:val="right"/>
              <w:ind w:right="181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9—Risks and Uncertainties</w:t>
      </w:r>
    </w:p>
    <w:p>
      <w:pPr>
        <w:spacing w:after="0" w:line="211" w:lineRule="exact"/>
        <w:rPr>
          <w:sz w:val="20"/>
          <w:szCs w:val="20"/>
          <w:color w:val="auto"/>
        </w:rPr>
      </w:pPr>
    </w:p>
    <w:p>
      <w:pPr>
        <w:jc w:val="both"/>
        <w:ind w:left="460" w:hanging="300"/>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86" w:lineRule="exact"/>
        <w:rPr>
          <w:rFonts w:ascii="Arial" w:cs="Arial" w:eastAsia="Arial" w:hAnsi="Arial"/>
          <w:sz w:val="18"/>
          <w:szCs w:val="18"/>
          <w:color w:val="auto"/>
        </w:rPr>
      </w:pPr>
    </w:p>
    <w:p>
      <w:pPr>
        <w:jc w:val="both"/>
        <w:ind w:left="460" w:hanging="311"/>
        <w:spacing w:after="0" w:line="28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part of the Company’s ongoing legal proceedings, the validity and/or enforceability of the patents is often challenged in a court or administrative proceeding. Several of the Company’s patents are being challenged in several jurisdictions. In particular, on March 15, 2012, Google submitted a request to the USPTO for ex parte reexamination of U.S. Patent No. 6,314,420. On July 18, 2012, the USPTO issued a determination ordering a reexamination. On September 25, 2012, the USPTO issued a first, non-final office action where it adopted the rejections proposed by Google. The Company's response was filed on November 26, 2012. A final, appealable office action maintaining the rejections was mailed on May 3, 2013. The Company has until July 3, 2013 to file a response or a notice of appeal to the Patent Trial and Appeal Board. On November 28, 2012, Google submitted a request to the USPTO for ex parte reexamination of U.S. Patent No. 6,775,664. On January 17, 2013, the USPTO issued a determination ordering a reexamination, but found that three of the prior art references identified by Google were not considered prior art to the 6,775,664 patent. Google filed a second reexamination request of that patent on February 8, 2013. On March 7, 2013, the USPTO issued a determination ordering a reexamination based on the three additional references. The Company believes its patents are both valid and enforceable.</w:t>
      </w:r>
    </w:p>
    <w:p>
      <w:pPr>
        <w:spacing w:after="0" w:line="169" w:lineRule="exact"/>
        <w:rPr>
          <w:rFonts w:ascii="Arial" w:cs="Arial" w:eastAsia="Arial" w:hAnsi="Arial"/>
          <w:sz w:val="16"/>
          <w:szCs w:val="16"/>
          <w:color w:val="auto"/>
        </w:rPr>
      </w:pPr>
    </w:p>
    <w:p>
      <w:pPr>
        <w:jc w:val="both"/>
        <w:ind w:left="460" w:hanging="300"/>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cash equivalents, short-term investments and accounts receivable. The Company maintains its cash, cash equivalents and short-term investments with various major financial institutions. These major financial institutions are located in the United States, Germany and Israel, and the Company’s policy is designed to limit exposure to any one institution.</w:t>
      </w:r>
    </w:p>
    <w:p>
      <w:pPr>
        <w:spacing w:after="0" w:line="186" w:lineRule="exact"/>
        <w:rPr>
          <w:rFonts w:ascii="Arial" w:cs="Arial" w:eastAsia="Arial" w:hAnsi="Arial"/>
          <w:sz w:val="18"/>
          <w:szCs w:val="18"/>
          <w:color w:val="auto"/>
        </w:rPr>
      </w:pPr>
    </w:p>
    <w:p>
      <w:pPr>
        <w:jc w:val="both"/>
        <w:ind w:left="460" w:hanging="311"/>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British Pound and Euro.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21, 2013 and any future reports we file with the Securities and Exchange Commission. The forward-looking statements set forth herein speak only as of the date of this report. Except as required by law, we undertake no obligation to update any forward-looking statements to reflect events or circumstances after the date of such statements. In this report, “Vringo,” the “Company,” “we,” “us,” and “our” refer to Vringo,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color w:val="auto"/>
        </w:rPr>
        <w:t>We were incorporated in Delaware on January 9, 2006 and commenced operations during the first quarter of 2006. In March 2006, we formed a wholly-owned subsidiary, Vringo (Israel) Ltd., for the primary purpose of providing research and development services, as detailed in the intercompany service agreement. On July 19, 2012, I/P merged with us through an exchange of equity instruments of I/P for those of Vringo. The Merger was accounted for as a reverse acquisition under which I/P was considered the accounting acquirer of Vringo. As such, the financial statements of I/P are treated as the historical financial statements of the combined company, with the results of Vringo included from July 19, 2012. I/P was incorporated in Delaware on June 8, 2011, originally as Labrador Search Corporation, and holds two wholly-owned subsidiaries: I/P Engine Inc., which was formed in Virginia on June 14, 2011, originally as Smart Search Labs Inc., which operates for the purpose of realizing economic benefits of intellectual property, and I/P Labs, Inc., which was incorporated in Delaware on June 8, 2011, originally as Scottish Terrier Capital Inc., which operates for the purpose of acquiring and developing patented technologies and intellectual property. In August 2012, we formed two wholly-owned subsidiaries, incorporated in Delaware: Vringo Labs, Inc. which operates for the purpose of acquiring and developing patented technologies and intellectual property, and Vringo Infrastructure, Inc., which operates for the purpose of realizing economic benefits mainly from telecommunications infrastructure patents. Vringo Infrastructure, Inc. acquired assets from Nokia Corporation (“Nokia”) upon its formation, as further described below. In addition, on October 18, 2012, we formed a wholly-owned subsidiary in Germany, Vringo Germany GmbH, for the purpose of innovating, developing, and monetizing mobile technology and intellectual property in Germany.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strives to innovate, acquire, license and protect intellectual property worldwide. Our attempts are focused on identification, acquisition and generation of economic benefits of intellectual property assets. We plan to continue to further expand our portfolio of intellectual property assets through acquisition and internal development of new technologies. We intend to monetize our intellectual property assets through a variety of value enhancing initiatives, including, but not limited to:</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We are still a development stage company. From the inception of I/P (June 8, 2011) (“Inception”) to date, we have raised approximately $96,013,000. These amounts have been used to finance our operations, as until now, we have not yet generated any significant revenues. From Inception through March 31, 2013, we recorded losses of approximately $35,559,000 and net cash outflow from operations of approximately $20,868,000. Our average monthly cash burn rate from operations for the three month period ended March 31, 2013 was approximately $1,624,000.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Inception in June 2011, I/P acquired its initial patent assets from Lycos, Inc (“Lycos”) through its wholly-owned subsidiary, I/P Engine. Such assets were comprised of eight patents relating to information filtering and search technologies. As one means of realizing the value of the patents acquired from Lycos, on September 15, 2011, I/P initiated (through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 Motions by I/P Engine for awards of pre-judgment interest, post-judgment interest, and supplemental damages, and post-judgment royalties, are pending in U.S. District Court. I/P Engine and Defendants have filed appeals with the Court of Appeals for the Federal Circuit. The docket numbers are 13-1307 and 13-1311. The parties' filings are available on PACER.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59"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On March 15, 2012, Google submitted a request to the USPTO for ex parte reexamination of U.S. Patent No. 6,314,420, one of the two patents-in-suit. The request was deposited on March 16, 2012 and was assigned Control No. 90/009,991. On July 18, 2012, the USPTO issued a determination ordering a reexamination. On September 25, 2012, the USPTO issued a first, non-final office action where it adopted the rejections proposed by Google. Our response was filed on November 26, 2012. Since then, we conducted an examiner interview and filed an Interview Summary on February 22, 2013. A final, appealable office action maintaining the rejections was mailed on May 3, 2013. We currently have until July 3, 2013 to file a response or a notice of appeal to the Patent Trial and Appeal Board.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28, 2012, Google submitted a request to the USPTO for ex parte reexamination of U.S. Patent No. 6,775,664, the other of the two patents-in-suit. The request was assigned Control No. 90/012,722. On January 17, 2013, the USPTO issued a determination ordering a reexamination, but found that three of the prior art references identified by Google were not considered prior art to the 6,775,664 patent. In an effort to have those three prior art references considered in a reexamination request of U.S. Patent No. 6,775,664, Google filed a second reexamination request of that patent on February 8, 2013. On March 7, 2013, the USPTO issued a determination ordering a reexamination based on the three additional references. The reexamination was assigned Control No. 90/012,791. It is expected that the two reexaminations of U.S. Patent No. 6,775,664 will be merged into a single proceeding. Further action from the USPTO is thereafter expected, including either a Notice of Intent to Issue a Reexamination Certificate affirming the patentability of all subject claims or a First Non-Final Office Action.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The case number is 1:13 CV 688-JGK.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sold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and handsets,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$22,000,000, a royalty of 35% of such excess would be payable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alleging infringement of certain European patents.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European Patents (UK) 1,212,919; 1,166,589; and 1,808,029. ZTE (UK) Ltd.’s formal response to the complaint was received on November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A case management conference where among other matters, the schedule for the UK lawsuits will be set, is anticipated in the first week of June 2013.</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 and the Patents Court are heard by distinct appellate courts. The final appeals from those appeal courts are combined and heard together in German Federal Supreme Court. Infringement actions are typically decided by the trial court within 8 to 13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European Patent (DE) 1,212,919. ZTE Corporation and ZTE Deutschland GmbH formally responded to the complaint on February, 15, 2013. The lawsuit was expanded to include a second patent on February 21, 2013, alleging infringement of European Patent (DE) 1,186,119. At the Mannheim Court’s request a consolidated trial is scheduled to be held on October 15, 2013. On February 14, 2013, ZTE filed its first defensive infringement pleading with respect to European Patent (DE) 1,186,119. The Mannheim Court has set the due date for Vringo Germany’s reply brief on May 31, 2013 and ZTE’s rejoinder brief on August 30, 2013. No further briefing before trial is currently anticipated.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To date, ZTE has not made an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offer with respect to European Patent (DE) 1,186,119. Under German law, where a defendant alleges:</w:t>
      </w:r>
    </w:p>
    <w:p>
      <w:pPr>
        <w:spacing w:after="0" w:line="46" w:lineRule="exact"/>
        <w:rPr>
          <w:sz w:val="20"/>
          <w:szCs w:val="20"/>
          <w:color w:val="auto"/>
        </w:rPr>
      </w:pPr>
    </w:p>
    <w:p>
      <w:pPr>
        <w:jc w:val="both"/>
        <w:ind w:firstLine="8"/>
        <w:spacing w:after="0" w:line="27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plaintiff has a dominant position under the relevant competition (a/k/a anti-trust) laws, for example, because of plaintiff’s assertion of a patent that is essential to a technical standard, and (b) plaintiff has failed to offer a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February 15, 2013, ZTE filed a nullity suit with respect to European Patent (DE) 1,212,919 in the Federal Court, Munich, Germany, alleging invalidity of the patent. Vringo’s responsive pleading is due on July 25, 2013. We anticipate a trial in the nullity suit to occur in the second half of 2014.</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November and December 2012, ZTE Corporation initiated invalidity proceedings in China against Chinese Patents ZL00806049.5; ZL 00812876.6; and ZL200480044232.1, the Chinese equivalents of European Patents 1,212,919; 1,166,589; and 1,808,029. Vringo Infrastructure has begun defending these actions by filing responses in January and February 2013. The oral hearing for ZL200480044232.1 occurred on April 10, 2013 and is still pending. An oral hearing for ZL00806049.5 occurred on May 9, 2013 and is still pending. A hearing for ZL00812876.6 has not yet been scheduled.</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29, 2013 Vringo Infrastructure, Inc., filed a patent infringement lawsuit in France against ZTE Corporation,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case has been filed with the tribunal de grande instance de Paris for it to allocate the case to a division of the 3rd chamber (specializing in IP matters). A first scheduling conference has not yet been 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Social Applications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181818"/>
        </w:rPr>
        <w:t>We have developed a platform for the distribution of mobile applications. We continue to develop this platform and integrate it with mobile operators and content providers. Our product, which encompasses a suite of mobile and PC-based tools, enables users to create, download and share video ringtones and provides our business partners with a consumer-friendly and easy-to-integrate monetization platform. The standard revenue model for our video ringtone service offered through the carriers is a subscription-based model where users pay a monthly fee for access to our service and additional fees for premium content. Our Vringo video ringtone mobile application also functions as a standalone direct-to-consumer offering. Our free version has been released as an advertisement-supported application on the Google Play marketplace and is available in markets where we have not entered into commercial arrangements with carriers or other partners. As of May 9, 2013, we have commercial video ringtone services with nine carriers and partners.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181818"/>
        </w:rPr>
        <w:t>Our Facetones® social ringtone application generates social visual ringtone content automatically by aggregating and displaying a user’s friends’ pictures from social networks and then displaying the pictures as a video ringtone, as well as a video ringback tone. These ringtones do not replace, but rather enhance, standard ringtone and ringback tones with relevant, current social content that is visually displayed. The product is available to consumers on several operating systems, most notably Android and is delivered in various configurations, with a variety of monetization methods. As of March 31, 2013, the Facetones® app reached over 2,000,000 total downloads across all platforms. In Q1 2013, the Facetones® app generated over 15,000,000 mobile impressions. Facetones® is offered directly to consumers via leading mobile application stores and download sites where both freemium and ad-supported versions are available. Our revenue model is based on proceeds received from advertising networks, as well as from related development projects and potential payment of royalties. We have developed five separate versions of Facetones, including our most recent partnership with Nokia for the Asha Full Touch 311 devices.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I/P, Legal Parent and their wholly-owned subsidiaries, and are presented in accordance with generally accepted accounting principles in the United States of America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March 31, 2013. Moreover, common stock amounts presented for comparative periods differ from those previously presented by I/P, due to application of accounting requirements applicable to a reverse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18, 2013, we provided written notice to the NYSE MKT LLC that the Company intends to transfer the listing of the Company’s common stock and warrants from the NYSE MKT LLC to the NASDAQ Capital Market, and withdraw the listing and registration of the common stock and warrants from the NYSE MKT LLC. The common stock and the warrants have been authorized for listing on the NASDAQ Capital Market. Our common stock and warrants ceased trading on the NYSE MKT LLC at the close of business on April 29, 2013, and began trading on the NASDAQ Capital Market on April 30,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innovate, acquire, license and protect intellectual property worldwide. We continually strive to expand our portfolio of intellectual property both through acquisition and development. Our goal is to partner with inventors who own the rights to compelling technologies. As of today, we manage an intellectual property portfolio consisting of over 500 patents and patent applications, covering telecom infrastructure, internet search, and mobile technologies. These patents and patent applications have been developed internally and acquired from third parties. To date we have filed 24 patent applications and have three issued patents in the United States and one notice of allowance in Europe. We believe that licenses to certain of our patents will be of interest to other application developers, infrastructure providers and manufacturers, and hardware manufacturers.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seek to purchase all of, or interests in, intellectual property in exchange for cash and/or securities of our company and/or interests in the monetization of those assets. Our revenue from this business can be generated through licensing and litigation efforts. We engage in robust due diligence and a principled risk underwriting process to evaluate the merits and potential value of these assets. We seek to structure the terms of our acquisitions in a manner that will achieve the highest risk-adjusted returns possible. We believe that our capital resources and potential access to capital, together with the experience of our management team and board, will allow us to assemble a portfolio of quality assets with short and long-term revenue opportunities.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our core technology and business relationships will allow us to distribute applications and services through mobile operators, handset makers, and application storefronts. Our video ringtone platform remains the primary source of revenues among our mobile products and we continue to develop business for this product with mobile operators and content providers. Our solution, which encompasses a suite of mobile and PC-based tools, enables users to create, download and share video ringtones and provides our business partners with a consumer-friendly and easy-to-integrate monetization platform. Our Vringo video ringtone mobile app also functions as a standalone direct-to-consumer offering. As of May 9, 2013, we have commercial video ringtone services with seven carriers and partners. Separately, we seek to continue to expand the distribution of our free, ad-supported, mobile application.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Revenue from subscription services, software development and intellectual property is recognized if collection is probable, persuasive evidence of an arrangement exists, the sales price is fixed or determinable and delivery of the service has been rendered. Revenues from non-refundable up-front fees are recognized according to the guidance in </w:t>
      </w:r>
      <w:r>
        <w:rPr>
          <w:rFonts w:ascii="Arial" w:cs="Arial" w:eastAsia="Arial" w:hAnsi="Arial"/>
          <w:sz w:val="17"/>
          <w:szCs w:val="17"/>
          <w:i w:val="1"/>
          <w:iCs w:val="1"/>
          <w:color w:val="auto"/>
        </w:rPr>
        <w:t>SAB Topic 13.A.3.f.</w:t>
      </w:r>
      <w:r>
        <w:rPr>
          <w:rFonts w:ascii="Arial" w:cs="Arial" w:eastAsia="Arial" w:hAnsi="Arial"/>
          <w:sz w:val="17"/>
          <w:szCs w:val="17"/>
          <w:color w:val="auto"/>
        </w:rPr>
        <w:t xml:space="preserve"> As these up-front fees relate to the hosting of the service over a period of the contract, we recognize these up-front fees over the life time of the contract. According to </w:t>
      </w:r>
      <w:r>
        <w:rPr>
          <w:rFonts w:ascii="Arial" w:cs="Arial" w:eastAsia="Arial" w:hAnsi="Arial"/>
          <w:sz w:val="17"/>
          <w:szCs w:val="17"/>
          <w:i w:val="1"/>
          <w:iCs w:val="1"/>
          <w:color w:val="auto"/>
        </w:rPr>
        <w:t>ASU 2009-13, Revenue Recognition (Topic 605),</w:t>
      </w:r>
      <w:r>
        <w:rPr>
          <w:rFonts w:ascii="Arial" w:cs="Arial" w:eastAsia="Arial" w:hAnsi="Arial"/>
          <w:sz w:val="17"/>
          <w:szCs w:val="17"/>
          <w:color w:val="auto"/>
        </w:rPr>
        <w:t xml:space="preserve"> we use management's best estimate of selling price for individual elements in multiple-element arrangements, where other sources of evidence are unavailable.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Cost of revenues mainly include the costs and expenses incurred in connection with our patent licensing and enforcement activities, contingent legal fees paid to external patent counsels, other patent-related legal expenses paid to external patent counsel, licensing and enforcement related research, consulting and other expenses paid to third parties, the amortization of patent-related acquisition costs and of the acquired technology, the value to which was allocated upon consummation of the Merger. Cost of revenue also includes third party expenses directly related to providing our service in launched markets. Cost of revenue does not include expenses related to product development, integration and support, as these costs are included in 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Research and development expenses consist primarily of the cost of our development and operations personnel, as well as of the cost of outsourced development, server and support activities needed to maintain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general and administrative expenses include the cost of marketing, management and administrative personnel, public and investor relations, advertising, overhead/office cost and various professional fees, as well as insurance, depreciation and amortization.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923"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The value of such derivative liabilities is highly influenced by assumptions used in its valuation, as well as by the Company’s stock price at the period end (revaluation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 No valuation allowance has been provided for the deferred tax assets of the Israeli subsidiary, since as of March 31, 2013 they are more likely than not to be realized.</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subsidiary in Israel generates net taxable income from services it provides to us. The subsidiary in Israel charges us for research, development, certain management and other services provided to us, plus a profit margin on such costs, which is currently 8%. In the zone where the production facilities of the subsidiary in Israel are located, the statutory tax rate is 12.5% in 2013 and expected to be 12.5% in 2014, and 12% in 2015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Three month period ended March 31, 2013 compared to the three month period ended March 31, 2012 and the development stage period (cumulative from Inception through March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Three months ended March 31,</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three month period ended March 31, 2013, we recorded total revenues of $65,000, compared to $0 in the three month period ended March 31, 2012. The revenue recorded in the first quarter of 2013 consisted solely of subscription and content based revenue generated by legacy Vringo business, whereas the comparative figures refer to pre-Merger I/P.</w:t>
      </w:r>
    </w:p>
    <w:p>
      <w:pPr>
        <w:spacing w:after="0" w:line="18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March 31, 2013, revenue amounted to $434,000. The recognized revenue consisted of: (i) subscription and content sales based revenue of $234,000, which represents legacy Vringo revenue from July 19, 2012, the date of the Merger, (ii) revenue from a development project with Nokia of $100,000, completed in 2012, and (iii) proceeds from partial settlement with AOL in the total amount of $100,000.</w:t>
      </w:r>
    </w:p>
    <w:p>
      <w:pPr>
        <w:spacing w:after="0" w:line="187"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On November 6, 2012, we received a verdict in a patent infringement action against AOL, Inc., Google, Inc., IAC Search &amp; Media, Inc., Gannett Company, Inc. and Target Corporation (collectively, "Defendants") with respect to the Defendants' infringement of the asserted claims of U.S. Patent Nos. 6,314,420 and 6,775,664, and that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U.S. District Court issued a ruling that the patents-in-suit were not invalid as obvious, and the clerk entered the Court's final judgment.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as follows: Google: $15,800,000, AOL: $7,943,000, IAC: $6,650,000, Gannett: $4,000 Target: $99,000. Motions by I/P Engine for awards of pre-judgment interest, post-judgment interest, and supplemental damages, and post-judgment royalties, are pending in U.S. District Court. I/P Engine and Defendants have filed notices of appeal with the Court of Appeals for the Federal Circuit.</w:t>
      </w:r>
    </w:p>
    <w:p>
      <w:pPr>
        <w:spacing w:after="0" w:line="169"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On January 31, 2013, I/P Engine filed an action asserting infringement of the IPE Patents in the United States District Court, Southern District of New York, against Microsoft Corporation. As of March 31, 2013, we did not record any revenue related to this litigation, as timing of collection, if any, or the amounts due to it, cannot be determined.</w:t>
      </w:r>
    </w:p>
    <w:p>
      <w:pPr>
        <w:spacing w:after="0" w:line="181"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We seek to generate revenue through licensing or litigation, when required, which may be resolved through a settlement or collection. We also intend to continue to expand our planned operations through acquisitions and monetization of additional patents, other intellectual property or operating business. In particular, following the incorporation of our subsidiary in Germany and the acquisition of a patent portfolio from Nokia, we intend to expand our intellectual property monetization efforts worldwide. In October and November 2012, we filed litigation against the UK and German subsidiaries of ZTE, respectively. In March 2013 we filed litigation against the French subsidiary of ZTE, with a goal of achieving a positive verdict or settlement, including, potentially, a licensing arrangement on terms beneficial to us. In addition, in January 2013, we filed an action asserting infringement of two of the patents acquired from Lycos, against Microsoft Corporation. In addition we expect to maintain a portion of our future revenues from mobile applications and services.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ectPr>
          <w:pgSz w:w="11900" w:h="16838" w:orient="portrait"/>
          <w:cols w:equalWidth="0" w:num="1">
            <w:col w:w="11420"/>
          </w:cols>
          <w:pgMar w:left="240" w:top="881" w:right="239" w:bottom="133"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w w:val="97"/>
              </w:rPr>
              <w:t>from Inception</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9"/>
          </w:tcPr>
          <w:p>
            <w:pPr>
              <w:ind w:left="52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9"/>
                <w:szCs w:val="19"/>
                <w:color w:val="auto"/>
              </w:rPr>
            </w:pPr>
          </w:p>
        </w:tc>
        <w:tc>
          <w:tcPr>
            <w:tcW w:w="1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Cost of services provided</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27,000</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27,000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74,000</w:t>
            </w: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1,255,000</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155,000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4,038,000</w:t>
            </w:r>
          </w:p>
        </w:tc>
        <w:tc>
          <w:tcPr>
            <w:tcW w:w="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Operating legal</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5,399,000</w:t>
            </w:r>
          </w:p>
        </w:tc>
        <w:tc>
          <w:tcPr>
            <w:tcW w:w="2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1,096,000</w:t>
            </w:r>
          </w:p>
        </w:tc>
        <w:tc>
          <w:tcPr>
            <w:tcW w:w="30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4,303,000</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16,642,000</w:t>
            </w:r>
          </w:p>
        </w:tc>
        <w:tc>
          <w:tcPr>
            <w:tcW w:w="60" w:type="dxa"/>
            <w:vAlign w:val="bottom"/>
            <w:shd w:val="clear" w:color="auto" w:fill="CCFFCC"/>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6,681,000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5,430,000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20,754,000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During the three month period ended March 31, 2013, our cost of revenue was $6,681,000, which represents an increase of $5,430,000 (434%) from cost of revenue recorded for the three month period ended March 31, 2012. The increase in cost of revenue, compared to the first quarter of 2012, was mainly related to increased amortization expenses related to patents acquired ($839,000, compared to $155,000 in the first quarter of 2012), as well as due to amortization of acquired Vringo technology, the value to which was allocated upon consummation of the Merger ($416,000, compared to $0 in the first quarter of 2012). In addition, we incurred significant consulting and litigation costs, ($5,105,000, compared to $1,096,000 in the first quarter of 2012), mainly related to the recently commenced legal proceedings against ZTE, and non-cash, stock-based compensation costs ($294,000, compared to $0 in the first quarter of 2012). Finally, the increase of $27,000 in cost of revenue relates to cost of Vringo mobile products, recorded pursuant to the Merger with I/P.</w:t>
      </w:r>
    </w:p>
    <w:p>
      <w:pPr>
        <w:spacing w:after="0" w:line="17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March 31, 2013, cost of revenue expenses amounted to $20,754,000. Of this amount, $74,000 was attributed to the cost of mobile services, $817,000 to non-cash, stock-based compensation expense, $1,179,000 was attributed to amortization of the acquired technology, $15,825,000 was attributed to operating legal expenses, mainly related to our patent litigations, and $2,859,000 was attributed to patent amortization.</w:t>
      </w:r>
    </w:p>
    <w:p>
      <w:pPr>
        <w:spacing w:after="0" w:line="18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that our cost of revenue will increase over time, as we diversify the portfolio of our products and increase our intellectual property. With the goal of monetizing our intellectual property, we intend to commence a new licensing and litigation campaigns which are expected to be costly.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Three months ended 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826,000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826,000</w:t>
            </w:r>
          </w:p>
        </w:tc>
        <w:tc>
          <w:tcPr>
            <w:tcW w:w="1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2,566,000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three month period ended March 31, 2013, our research and development expense amounted to $826,000. This is primarily comprised of: (i) development team cost of $467,000, and (ii) related non cash, stock-based compensation cost of $243,000. These expenses mainly relate to post-Merger cost of the legacy Vringo research and development center in Israel.</w:t>
      </w:r>
    </w:p>
    <w:p>
      <w:pPr>
        <w:spacing w:after="0" w:line="181"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From Inception through March 31, 2013, research and development expenses, in the total amount of $2,566,000, recorded following the Merger with I/P, consist primarily of the cost of our development team of $1,277,000 and related stock-based compensation cost $934,000.</w:t>
      </w:r>
    </w:p>
    <w:p>
      <w:pPr>
        <w:spacing w:after="0" w:line="147"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We anticipate that research and development costs incurred in connection with our core mobile services may decrease over time. In particular, in March 2013, we reduced research and development personnel. In addition, we now focus our efforts towards finding new technologies and local intellectual property. We expect that following the above-mentioned reorganization, should we seek to introduce new products, or new business opportunities, such as a merger or acquisition relating to our technology, our research and development costs would be expected to increase.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Marketing, general and administrative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Three months ended March 31,</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Marketing, general and administrative</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4,137,000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616,000</w:t>
            </w:r>
          </w:p>
        </w:tc>
        <w:tc>
          <w:tcPr>
            <w:tcW w:w="2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3,521,000</w:t>
            </w:r>
          </w:p>
        </w:tc>
        <w:tc>
          <w:tcPr>
            <w:tcW w:w="18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   16,207,000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During the three month period ended March 31, 2013, marketing, general and administrative expenses increased by $3,521,000 (or 572%), to $4,137,000, from $616,000 recorded during the three month period ended March 31, 2012. Marketing, general and administrative expenses increased mostly due to an increase in payroll expense ($671,000, compared to $141,000 recorded in the first quarter of 2012), as well as due to an increase in stock-based compensation expense ($2,557,000, compared to $84,000 recorded in the first quarter of 2012), and increased corporate legal expenses ($134,000, compared to $58,000 recorded in the first quarter of 2012), offset by a decrease in merger and acquisition expenses ($12, compared to $172,000 recorded in the first quarter of 2012).</w:t>
      </w:r>
    </w:p>
    <w:p>
      <w:pPr>
        <w:spacing w:after="0" w:line="178"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March 31, 2013, marketing, general and administrative expenses amounted to $16,207,000. Of that amount, $2,473,000 was attributed to salaries and related expenses, $9,904,000 was attributed to non-cash stock-based compensation, $297,000 was attributed to merger and acquisition activity and $1,899,000 was attributed to various professional fees.</w:t>
      </w:r>
    </w:p>
    <w:p>
      <w:pPr>
        <w:sectPr>
          <w:pgSz w:w="11900" w:h="16838" w:orient="portrait"/>
          <w:cols w:equalWidth="0" w:num="1">
            <w:col w:w="11420"/>
          </w:cols>
          <w:pgMar w:left="240" w:top="881"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both"/>
        <w:ind w:left="660" w:firstLine="648"/>
        <w:spacing w:after="0" w:line="286" w:lineRule="auto"/>
        <w:rPr>
          <w:sz w:val="20"/>
          <w:szCs w:val="20"/>
          <w:color w:val="auto"/>
        </w:rPr>
      </w:pPr>
      <w:r>
        <w:rPr>
          <w:rFonts w:ascii="Arial" w:cs="Arial" w:eastAsia="Arial" w:hAnsi="Arial"/>
          <w:sz w:val="17"/>
          <w:szCs w:val="17"/>
          <w:color w:val="auto"/>
        </w:rPr>
        <w:t>We expect our marketing, general and administrative expenses to increase, as our expenses will incorporate full costs of the new management, on a post-Merger basis, as well as increased administration, rent, office, accounting, legal and insurance costs. New merger and acquisition opportunities, should such arise, may also significantly increase our marketing, general and administrative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Non-operating income (expense),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Three months ended 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Non-operating income (expense), net</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(365,000</w:t>
            </w:r>
          </w:p>
        </w:tc>
        <w:tc>
          <w:tcPr>
            <w:tcW w:w="1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3,605,000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Following the Merger, our non-operating income (expenses), net, included mainly the impact of changes in fair value of derivative warrants, the fair value of which is highly affected by our share price at the measurement date. Consequently, during the three month period ended March 31, 2013, we recorded an expense of $376,000 due to the increase of our share price, compared to the share price at December 31, 2012.</w:t>
      </w:r>
    </w:p>
    <w:p>
      <w:pPr>
        <w:spacing w:after="0" w:line="147"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181818"/>
        </w:rPr>
        <w:t>We expect that our non-operating income (expenses), net, will remain highly volatile, as we may choose to fund our operations through additional financing. In particular, non-operating income (expenses) will be affected by the adjustments to fair value of our derivative instruments. Fair value of these derivative instruments depends on variety of assumptions, such as estimations regarding volatility, triggering of down-round protection and estimated future share price. An estimated increase in the price of our common stock increases the value of the warrants and thus results in a loss on our statement of operations. In addition, increase in estimated probability of a down-round protection, increases the value of the warrants and again results in a loss on our statement of operations. Also see Notes 4 and 7 to the accompanying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Three months ended 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three month ended March 31, 2013, we recorded income tax expense in the total amount of $16,000, compared to $0 recorded in the three month period ended March 31, 2012.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profit. For financial statements purposes, these profits are eliminated upon consolidation.</w:t>
      </w:r>
    </w:p>
    <w:p>
      <w:pPr>
        <w:spacing w:after="0" w:line="188"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As of December 31, 2012, the Legal Parent and I/P had approximately $55,728,000 in aggregate total net tax loss carryforwards ("NOL") for U.S. federal state and local purposes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our initial public offering, financing activities, as well as the Merger, may significantly limit our ability to utilize such NOL’s and credit carryforwards. We are currently in the process of completing a full Section 382 study that will allow us to determine the amounts we will be able to utilize for tax purposes in the future.</w:t>
      </w:r>
    </w:p>
    <w:p>
      <w:pPr>
        <w:spacing w:after="0" w:line="16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We file our tax returns in the U.S. federal jurisdiction, as well as in various state and local jurisdictions. Vringo has open tax assessments for the years 2009 through 2012. As of March 31, 2013, all tax assessments for I/P are still open. The Israeli subsidiary files its income tax returns in Israel. As of March 31, 2013, the Israeli subsidiary has open tax assessments for the years 2009 through 2012.</w:t>
      </w:r>
    </w:p>
    <w:p>
      <w:pPr>
        <w:spacing w:after="0" w:line="166"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As part of the Merger purchase price allocation, we recorded a deferred tax liability in connection with the acquired technology (see also Note 5 to the accompanying financial statements).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 No valuation allowance has been provided for the deferred tax assets of the Israeli subsidiary since as of March 31, 2013, they are more likely than not to be realized.</w:t>
      </w:r>
    </w:p>
    <w:p>
      <w:pPr>
        <w:spacing w:after="0" w:line="17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expect that our tax expense in Israel to decrease in 2013, as the scope of services provided to us is expected to decrease, mainly due to reduction in operating and support personnel, which is expected to take effect in the second quarter of 2013. We also expect our income tax expenses in the U.S. to increase in 2013, partially due to the potential increase in revenues, as well as due to increase in local taxes influenced by the increased equity and our total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As of March 31, 2013, we had a cash balance of $49,128,000 and $48,528,000 in net working capital. The decrease of $7,832,000 in our cash balance from December 31, 2012, was mainly due to $3,120,000 invested in commercial paper (classified as short-term investments) and net cash used by us in our business operations, in the total amount of approximately $4,872,000, offset by $174,000 received from the exercise of options and warrants.</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181818"/>
        </w:rPr>
        <w:t xml:space="preserve">During the three month period ended March 31, 2013, 94,147 warrants to purchase an aggregate of 94,147 shares of our common stock, at an exercise price of </w:t>
      </w:r>
      <w:r>
        <w:rPr>
          <w:rFonts w:ascii="Arial" w:cs="Arial" w:eastAsia="Arial" w:hAnsi="Arial"/>
          <w:sz w:val="18"/>
          <w:szCs w:val="18"/>
          <w:color w:val="000000"/>
        </w:rPr>
        <w:t>$1.76 per share, were exercised by our warrant holders, pursuant to which we received an additional $165,000. In addition,</w:t>
      </w:r>
      <w:r>
        <w:rPr>
          <w:rFonts w:ascii="Arial" w:cs="Arial" w:eastAsia="Arial" w:hAnsi="Arial"/>
          <w:sz w:val="18"/>
          <w:szCs w:val="18"/>
          <w:color w:val="181818"/>
        </w:rPr>
        <w:t xml:space="preserve"> </w:t>
      </w:r>
      <w:r>
        <w:rPr>
          <w:rFonts w:ascii="Arial" w:cs="Arial" w:eastAsia="Arial" w:hAnsi="Arial"/>
          <w:sz w:val="18"/>
          <w:szCs w:val="18"/>
          <w:color w:val="000000"/>
        </w:rPr>
        <w:t>533,562 options and RSUs, collectively, to purchase 533,562 shares of our common stock, issued to employees, directors and management, were exercised. As a result, we received an additional $9,000.</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As of May 8, 2013, we had approximately $49,298,000 in cash, cash equivalents and short-term investments.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tbl>
      <w:tblPr>
        <w:tblLayout w:type="fixed"/>
        <w:tblInd w:w="6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7"/>
              </w:rPr>
              <w:t>from Inception</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514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CCFFCC"/>
            </w:tcBorders>
          </w:tcPr>
          <w:p>
            <w:pPr>
              <w:spacing w:after="0"/>
              <w:rPr>
                <w:sz w:val="19"/>
                <w:szCs w:val="19"/>
                <w:color w:val="auto"/>
              </w:rPr>
            </w:pPr>
          </w:p>
        </w:tc>
        <w:tc>
          <w:tcPr>
            <w:tcW w:w="8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r>
      <w:tr>
        <w:trPr>
          <w:trHeight w:val="210"/>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(4,872,000)</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(1,227,000)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(3,645,000)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(20,868,000)</w:t>
            </w:r>
          </w:p>
        </w:tc>
        <w:tc>
          <w:tcPr>
            <w:tcW w:w="80" w:type="dxa"/>
            <w:vAlign w:val="bottom"/>
            <w:shd w:val="clear" w:color="auto" w:fill="CCFFC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(3,140,000)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(3,135,000)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(26,021,000)</w:t>
            </w: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174,000</w:t>
            </w:r>
          </w:p>
        </w:tc>
        <w:tc>
          <w:tcPr>
            <w:tcW w:w="2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96,013,000</w:t>
            </w:r>
          </w:p>
        </w:tc>
      </w:tr>
      <w:tr>
        <w:trPr>
          <w:trHeight w:val="20"/>
        </w:trPr>
        <w:tc>
          <w:tcPr>
            <w:tcW w:w="51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three month periods ended March 31, 2013 and 2012, net cash used in operating activities totaled $4,872,000 and $1,227,000, respectively. The $3,645,000 increase in net cash used in operating activities was mainly due to increased litigation costs, as well as an increase in our in-house staff, hired since the Merger in July 19, 2012.</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development of our products and enhancement of our intellectual property. As we move towards greater revenue generation, we expect that these amounts will be offset over time by collection of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three month periods ended March 31, 2013 and 2012, net cash used in investing activities totaled $3,140,000 and $5,000, respectively. The increase in cash used in investing activities, in the total amount of $3,135,000, was primarily due to the investment in commercial paper classified as short-term investments, in the total amount of $3,120,000. Fixed asset purchases during the three month period ended March 31, 2013, amounted to $28,000 compared to $5,000 for the three month period ended March 31, 2012, mainly due to post-Merger relocation of our headquarters.</w:t>
      </w:r>
    </w:p>
    <w:p>
      <w:pPr>
        <w:spacing w:after="0" w:line="18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60" w:firstLine="706"/>
        <w:spacing w:after="0" w:line="264" w:lineRule="auto"/>
        <w:rPr>
          <w:sz w:val="20"/>
          <w:szCs w:val="20"/>
          <w:color w:val="auto"/>
        </w:rPr>
      </w:pPr>
      <w:r>
        <w:rPr>
          <w:rFonts w:ascii="Arial" w:cs="Arial" w:eastAsia="Arial" w:hAnsi="Arial"/>
          <w:sz w:val="18"/>
          <w:szCs w:val="18"/>
          <w:color w:val="auto"/>
        </w:rPr>
        <w:t>During the three month period ended March 31, 2013, net cash provided by financing activities totaled $174,000, which relates to funds received from the exercise of warrants and options in the total amount of $165,000 and $9,000, respectively. No cash was used, nor provided, in/by financing activities in the three month period ended March 31, 2012.</w:t>
      </w:r>
    </w:p>
    <w:p>
      <w:pPr>
        <w:spacing w:after="0" w:line="18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 significant portion of our issued and outstanding warrants are currently “in the money” and the shares of common stock underlying such warrants held by non-affiliates are freely tradable, with the potential of up to $19,127,937 of additional incoming funds. We may choose to raise additional funds in connection with any acquisition of patent portfolios or other intellectual property assets that we may pursue. There can be no assurance, however, that any such opportunity will materialize, and moreover, any such financing would likely be dilutive to our current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8, 2012, our subsidiary filed a patent infringement lawsuit against a subsidiary of ZTE Corporation in the United Kingdom. Should we be deemed the losing party in any of our applications to the court in the UK, we may be held responsible for a substantial percentage of the defendant’s legal fees for the relevant application or for the litigation. As a result, we placed a guarantee of approximately $2,900,000 to ensure this contingent liability. However, should we be successful on any court applications or the entire litigation, ZTE would be responsible for a substantial percentage of our legal fees. In addition, we expect that additional guarantee placements may be necessary in connection with additional proceedings in Europe.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2012, we believe the following accounting policies to be the most critical in understanding the judgments and estimates we use in preparing our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67"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accounted for the Merger in accordance with FASB Topic ASC 805 ”Business Combinations” and for identified goodwill and technology in accordance with FASB Topic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Additionally, we review our long-lived assets for recoverability in accordance with FASB Topic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identification and valuation of intangible assets and the determination of the estimated useful lives at the time of acquisition are based on various valuation methodologies including reviews of projected future cash flows. The use of alternative estimates and assumptions could increase or decrease the estimated fair value of our goodwill and other intangible assets, and potentially result in a different impact to our results of operations. Further, changes in business strategy and/or market conditions may significantly impact these judgments thereby impacting the fair value of these assets, which could result in an impairment of the goodwill and acquired intangible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addition, at March 31, 2013, our purchase price allocation is still provisional, as existing estimations are subject to change, in certain future events. See also Note 5 </w:t>
      </w:r>
      <w:r>
        <w:rPr>
          <w:rFonts w:ascii="Arial" w:cs="Arial" w:eastAsia="Arial" w:hAnsi="Arial"/>
          <w:sz w:val="18"/>
          <w:szCs w:val="18"/>
          <w:color w:val="181818"/>
        </w:rPr>
        <w:t>to the accompanying financial statements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our long-lived tangible and intangible assets for impairment in accordance with FASB Topic ASC 350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and FASB Topic ASC 360 “Property, Plant and Equipment” whenever events or changes in circumstances indicate that the carrying amount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Goodwill is subject to an annual test for impairment, or for impairment testing up on the occurrence of triggering events. If such assets are considered to be impaired, the impairment to be recognized is measured by the amount by which the carrying amount of the assets exceeds the fair value of the assets. While we use available information to prepare our estimates and to perform impairment evaluations, the completion of annual impairment tests requires significant management judgments and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19, 2012, the date of the Merger, Vringo’s outstanding warrants included: (i) 148,390 Special Bridge Warrants, at an exercise price of $0.94, with an expected remaining term of 2.44 years; (ii) 101,445 Conversion Warrants, at an exercise price of $0.94, with an expected remaining term of 2.44 years; (iii) 887,330 Preferential Reload Warrants, at an exercise price of $1.76, with an expected remaining term of 4.55 years; and (iv) 814,408 non-Preferential Reload Warrants, at an exercise price of $1.76, with an expected remaining term of 4.55 years. During the three month period ended March 31, 2013, none of these warrants were exercised. Following the Merger and through December 31, 2012, 169,520 non-Preferential Reload Warrants and 726,721 Preferential Reload Warrants were exercised.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Merger, on July 19, 2012, we issued to I/P’s stockholders 8,299,116 warrants at an exercise price of $1.76 and expected term of 5 years (“Series 1 Warrant”). These warrants bear down-round protection clauses, as a result, they were classified as a long-term derivative liability and recorded at fair value. In addition, I/P’s stockholders received another 7,660,722 warrants at an exercise price of $1.76 and expected term of 5 years (“Series 2 Warrant”). As these warrants do not have down-round protection clauses, they were classified as equity. During the three month period ended March 31, 2013, 48,957 Series 1 Warrants and 45,190 Series 2 Warrants were exercised. Following the Merger and through December 31, 2012, 4,655,099 Series 1 Warrants and 1,280,870 Series 2 Warrants were exercised. The following table represents the assumptions, valuation models and inputs used, as of March 31,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88"/>
              </w:rPr>
              <w:t>Valuation</w:t>
            </w:r>
          </w:p>
        </w:tc>
        <w:tc>
          <w:tcPr>
            <w:tcW w:w="120" w:type="dxa"/>
            <w:vAlign w:val="bottom"/>
          </w:tcPr>
          <w:p>
            <w:pPr>
              <w:spacing w:after="0"/>
              <w:rPr>
                <w:sz w:val="12"/>
                <w:szCs w:val="12"/>
                <w:color w:val="auto"/>
              </w:rPr>
            </w:pPr>
          </w:p>
        </w:tc>
        <w:tc>
          <w:tcPr>
            <w:tcW w:w="2960" w:type="dxa"/>
            <w:vAlign w:val="bottom"/>
            <w:gridSpan w:val="2"/>
          </w:tcPr>
          <w:p>
            <w:pPr>
              <w:ind w:left="1060"/>
              <w:spacing w:after="0"/>
              <w:rPr>
                <w:sz w:val="20"/>
                <w:szCs w:val="20"/>
                <w:color w:val="auto"/>
              </w:rPr>
            </w:pPr>
            <w:r>
              <w:rPr>
                <w:rFonts w:ascii="Arial" w:cs="Arial" w:eastAsia="Arial" w:hAnsi="Arial"/>
                <w:sz w:val="13"/>
                <w:szCs w:val="13"/>
                <w:b w:val="1"/>
                <w:bCs w:val="1"/>
                <w:color w:val="auto"/>
              </w:rPr>
              <w:t>Unobservable</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3440" w:type="dxa"/>
            <w:vAlign w:val="bottom"/>
          </w:tcPr>
          <w:p>
            <w:pPr>
              <w:ind w:left="14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82"/>
              </w:rPr>
              <w:t>Technique</w:t>
            </w:r>
          </w:p>
        </w:tc>
        <w:tc>
          <w:tcPr>
            <w:tcW w:w="120" w:type="dxa"/>
            <w:vAlign w:val="bottom"/>
          </w:tcPr>
          <w:p>
            <w:pPr>
              <w:spacing w:after="0"/>
              <w:rPr>
                <w:sz w:val="13"/>
                <w:szCs w:val="13"/>
                <w:color w:val="auto"/>
              </w:rPr>
            </w:pPr>
          </w:p>
        </w:tc>
        <w:tc>
          <w:tcPr>
            <w:tcW w:w="2960" w:type="dxa"/>
            <w:vAlign w:val="bottom"/>
            <w:gridSpan w:val="2"/>
          </w:tcPr>
          <w:p>
            <w:pPr>
              <w:ind w:left="1260"/>
              <w:spacing w:after="0"/>
              <w:rPr>
                <w:sz w:val="20"/>
                <w:szCs w:val="20"/>
                <w:color w:val="auto"/>
              </w:rPr>
            </w:pPr>
            <w:r>
              <w:rPr>
                <w:rFonts w:ascii="Arial" w:cs="Arial" w:eastAsia="Arial" w:hAnsi="Arial"/>
                <w:sz w:val="13"/>
                <w:szCs w:val="13"/>
                <w:b w:val="1"/>
                <w:bCs w:val="1"/>
                <w:color w:val="auto"/>
              </w:rPr>
              <w:t>Inputs</w:t>
            </w:r>
          </w:p>
        </w:tc>
        <w:tc>
          <w:tcPr>
            <w:tcW w:w="1920" w:type="dxa"/>
            <w:vAlign w:val="bottom"/>
            <w:gridSpan w:val="2"/>
          </w:tcPr>
          <w:p>
            <w:pPr>
              <w:ind w:left="740"/>
              <w:spacing w:after="0"/>
              <w:rPr>
                <w:sz w:val="20"/>
                <w:szCs w:val="20"/>
                <w:color w:val="auto"/>
              </w:rPr>
            </w:pPr>
            <w:r>
              <w:rPr>
                <w:rFonts w:ascii="Arial" w:cs="Arial" w:eastAsia="Arial" w:hAnsi="Arial"/>
                <w:sz w:val="13"/>
                <w:szCs w:val="13"/>
                <w:b w:val="1"/>
                <w:bCs w:val="1"/>
                <w:color w:val="auto"/>
              </w:rPr>
              <w:t>Range</w:t>
            </w:r>
          </w:p>
        </w:tc>
      </w:tr>
      <w:tr>
        <w:trPr>
          <w:trHeight w:val="114"/>
        </w:trPr>
        <w:tc>
          <w:tcPr>
            <w:tcW w:w="344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Special Bridge Warrants, Conversion Warrants,</w:t>
            </w:r>
          </w:p>
        </w:tc>
        <w:tc>
          <w:tcPr>
            <w:tcW w:w="120" w:type="dxa"/>
            <w:vAlign w:val="bottom"/>
            <w:tcBorders>
              <w:top w:val="single" w:sz="8" w:color="CCFFCC"/>
            </w:tcBorders>
            <w:shd w:val="clear" w:color="auto" w:fill="CCFFCC"/>
          </w:tcPr>
          <w:p>
            <w:pPr>
              <w:spacing w:after="0"/>
              <w:rPr>
                <w:sz w:val="9"/>
                <w:szCs w:val="9"/>
                <w:color w:val="auto"/>
              </w:rPr>
            </w:pPr>
          </w:p>
        </w:tc>
        <w:tc>
          <w:tcPr>
            <w:tcW w:w="286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w w:val="96"/>
              </w:rPr>
              <w:t>Black-Scholes-Merton and the Monte-Carlo models</w:t>
            </w:r>
          </w:p>
        </w:tc>
        <w:tc>
          <w:tcPr>
            <w:tcW w:w="120" w:type="dxa"/>
            <w:vAlign w:val="bottom"/>
            <w:tcBorders>
              <w:top w:val="single" w:sz="8" w:color="CCFFCC"/>
            </w:tcBorders>
            <w:shd w:val="clear" w:color="auto" w:fill="CCFFCC"/>
          </w:tcPr>
          <w:p>
            <w:pPr>
              <w:spacing w:after="0"/>
              <w:rPr>
                <w:sz w:val="9"/>
                <w:szCs w:val="9"/>
                <w:color w:val="auto"/>
              </w:rPr>
            </w:pPr>
          </w:p>
        </w:tc>
        <w:tc>
          <w:tcPr>
            <w:tcW w:w="286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Volatility</w:t>
            </w:r>
          </w:p>
        </w:tc>
        <w:tc>
          <w:tcPr>
            <w:tcW w:w="100" w:type="dxa"/>
            <w:vAlign w:val="bottom"/>
            <w:tcBorders>
              <w:top w:val="single" w:sz="8" w:color="CCFFCC"/>
            </w:tcBorders>
            <w:shd w:val="clear" w:color="auto" w:fill="CCFFCC"/>
          </w:tcPr>
          <w:p>
            <w:pPr>
              <w:spacing w:after="0"/>
              <w:rPr>
                <w:sz w:val="9"/>
                <w:szCs w:val="9"/>
                <w:color w:val="auto"/>
              </w:rPr>
            </w:pPr>
          </w:p>
        </w:tc>
        <w:tc>
          <w:tcPr>
            <w:tcW w:w="1820" w:type="dxa"/>
            <w:vAlign w:val="bottom"/>
            <w:tcBorders>
              <w:top w:val="single" w:sz="8" w:color="auto"/>
            </w:tcBorders>
            <w:shd w:val="clear" w:color="auto" w:fill="CCFFCC"/>
          </w:tcPr>
          <w:p>
            <w:pPr>
              <w:jc w:val="right"/>
              <w:spacing w:after="0" w:line="114" w:lineRule="exact"/>
              <w:rPr>
                <w:sz w:val="20"/>
                <w:szCs w:val="20"/>
                <w:color w:val="auto"/>
              </w:rPr>
            </w:pPr>
            <w:r>
              <w:rPr>
                <w:rFonts w:ascii="Arial" w:cs="Arial" w:eastAsia="Arial" w:hAnsi="Arial"/>
                <w:sz w:val="13"/>
                <w:szCs w:val="13"/>
                <w:color w:val="auto"/>
              </w:rPr>
              <w:t>56.48% – 58.10%</w:t>
            </w:r>
          </w:p>
        </w:tc>
        <w:tc>
          <w:tcPr>
            <w:tcW w:w="100" w:type="dxa"/>
            <w:vAlign w:val="bottom"/>
            <w:tcBorders>
              <w:top w:val="single" w:sz="8" w:color="CCFFCC"/>
            </w:tcBorders>
            <w:shd w:val="clear" w:color="auto" w:fill="CCFFCC"/>
          </w:tcPr>
          <w:p>
            <w:pPr>
              <w:spacing w:after="0"/>
              <w:rPr>
                <w:sz w:val="9"/>
                <w:szCs w:val="9"/>
                <w:color w:val="auto"/>
              </w:rPr>
            </w:pPr>
          </w:p>
        </w:tc>
      </w:tr>
      <w:tr>
        <w:trPr>
          <w:trHeight w:val="135"/>
        </w:trPr>
        <w:tc>
          <w:tcPr>
            <w:tcW w:w="34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Preferential Reload Warrants and the Series 1 Warrants</w:t>
            </w: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9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Risk free interest rate</w:t>
            </w: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0.25% – 0.60%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9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Expected term, in years</w:t>
            </w: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1.75 – 4.30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96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Dividend yield</w:t>
            </w:r>
          </w:p>
        </w:tc>
        <w:tc>
          <w:tcPr>
            <w:tcW w:w="1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w:t>
            </w:r>
          </w:p>
        </w:tc>
      </w:tr>
      <w:tr>
        <w:trPr>
          <w:trHeight w:val="135"/>
        </w:trPr>
        <w:tc>
          <w:tcPr>
            <w:tcW w:w="34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8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w w:val="92"/>
              </w:rPr>
              <w:t>15% occurrence in December</w:t>
            </w:r>
          </w:p>
        </w:tc>
      </w:tr>
      <w:tr>
        <w:trPr>
          <w:trHeight w:val="149"/>
        </w:trPr>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8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3"/>
                <w:szCs w:val="13"/>
                <w:color w:val="auto"/>
                <w:w w:val="96"/>
              </w:rPr>
              <w:t>Probability and timing of down-round triggering event</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2013</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stock-based awards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determine the fair value of stock options granted to employees, directors and consultants using the Black-Scholes-Merton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incorporating historical stock volatility from comparable companies.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113" w:gutter="0" w:footer="0" w:header="0"/>
        </w:sectPr>
      </w:pPr>
    </w:p>
    <w:bookmarkStart w:id="32" w:name="page33"/>
    <w:bookmarkEnd w:id="32"/>
    <w:p>
      <w:pPr>
        <w:jc w:val="both"/>
        <w:ind w:firstLine="648"/>
        <w:spacing w:after="0" w:line="31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made different assumptions about the risk-free interest rate, volatility, or the estimated time that the options will be outstanding before they are ultimately exercised, the recorded expense, our net loss and net loss per share amounts could have been significantly different. Had we used different assumptions, our results may have been significantly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As part of the Merger purchase price allocation, we recorded a deferred tax liability in connection with the acquired technology (see also Note 5 to the accompanying financial statements). This deferred tax liability was offset by a deferred tax asset in the same amount. The deferred tax asset in respect of the remaining tax loss carryforwards has been offset by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740, “</w:t>
      </w:r>
      <w:r>
        <w:rPr>
          <w:rFonts w:ascii="Arial" w:cs="Arial" w:eastAsia="Arial" w:hAnsi="Arial"/>
          <w:sz w:val="18"/>
          <w:szCs w:val="18"/>
          <w:i w:val="1"/>
          <w:iCs w:val="1"/>
          <w:color w:val="auto"/>
        </w:rPr>
        <w:t>Income Taxes</w:t>
      </w:r>
      <w:r>
        <w:rPr>
          <w:rFonts w:ascii="Arial" w:cs="Arial" w:eastAsia="Arial" w:hAnsi="Arial"/>
          <w:sz w:val="18"/>
          <w:szCs w:val="18"/>
          <w:color w:val="auto"/>
        </w:rPr>
        <w:t>”,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2013, our Chief Executive Officer and Chief Financial Officer concluded that, as of such date, our disclosure controls and procedures were effective for the reasons set forth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2012, our management has identified a material weakness in our disclosure controls and procedures relating to insufficient controls in connection with valuation and accounting for equity, debt and derivative instruments. In January 2013, we have added an additional member to our accounting department and in addition enhanced our proficiency of the professional literature on these subjects and broadened external oversight. As a result of these steps we have remediated the material weakness in our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inception in June 2011, I/P acquired its initial patent assets from Lycos, Inc (“Lycos”) through its wholly-owned subsidiary, I/P Engine. Such assets were comprised of eight patents relating to information filtering and search technologies. As one means of realizing the value of the patents acquired from Lycos, on September 15, 2011, I/P initiated (through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Motions by I/P Engine for awards of pre-judgment interest, post-judgment interest, and supplemental damages, and post-judgment royalties, are pending in U.S. District Court. I/P Engine and Defendants have filed appeals with the Court of Appeals for the Federal Circuit. The docket numbers are 13-1307 and 13-1311. The parties' filings are available on PACER.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15, 2012, Google submitted a request to the USPTO for ex parte reexamination of U.S. Patent No. 6,314,420, one of the two patents-in-suit. The request was deposited on March 16, 2012 and was assigned Control No. 90/009,991. On July 18, 2012, the USPTO issued a determination ordering a reexamination. On September 25, 2012, the USPTO issued a first, non-final office action where it adopted the rejections proposed by Google. Our response was filed on November 26, 2012. Since then, we conducted an examiner interview and filed an Interview Summary on February 22, 2013. A final, appealable office action maintaining the rejections was mailed on May 3, 2013. We currently have until July 3, 2013 to file a response or a notice of appeal to the Patent Trial and Appeal Board.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28, 2012, Google submitted a request to the USPTO for ex parte reexamination of U.S. Patent No. 6,775,664, the other of the two patents-in-suit. The request was assigned Control No. 90/012,722. On January 17, 2013, the USPTO issued a determination ordering a reexamination, but found that three of the prior art references identified by Google were not considered prior art to the 6,775,664 patent. In an effort to have those three prior art references considered in a reexamination request of U.S. Patent No. 6,775,664, Google filed a second reexamination request of that patent on February 8, 2013. On March 7, 2013, the USPTO issued a determination ordering a reexamination based on the three additional references. The reexamination was assigned Control No. 90/012,791. It is expected that the two reexaminations of U.S. Patent No. 6,775,664 will be merged into a single proceeding. Further action from the USPTO is thereafter expected, including either a Notice of Intent to Issue a Reexamination Certificate affirming the patentability of all subject claims or a First Non-Final Office Action.</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The case number is 1:13 CV 688-JGK.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agreed to and did sell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including communication management, data and signal transmission, mobility management, radio resources management and services. Declarations have been filed by Nokia indicating that thirty-one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$22,000,000, a royalty of 35% of such excess would be payable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alleging infringement of certain European patents.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European Patents (UK) 1,212,919; 1,166,589; and 1,808,029. ZTE (UK) Ltd.’s formal response to the complaint was received on November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A case management conference where among other matters, the schedule for the UK lawsuits will be set, is anticipated in the first week of June 2013.</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 and the Patents Court are heard by distinct appellate courts. The final appeals from those appeal courts are combined and heard together in German Federal Supreme Court. Infringement actions are typically decided by the trial court within 8 to 13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European Patent (DE) 1,212,919. ZTE Corporation and ZTE Deutschland GmbH formally responded to the complaint on February, 15, 2013. The lawsuit was expanded to include a second patent on February 21, 2013, alleging infringement of European Patent (DE) 1,186,119. At the Mannheim Court’s request a consolidated trial is scheduled to be held on October 15, 2013. On February 14, 2013, ZTE filed its first defensive infringement pleading with respect to European Patent (DE) 1,186,119. The Mannheim Court has set the due date for Vringo Germany’s reply brief on May 31, 2013 and ZTE’s rejoinder brief on August 30, 2013. No further briefing before trial is currently anticipated.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To date, ZTE has not made an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offer with respect to European Patent (DE) 1,186,119. Under German law, where a defendant alleges:</w:t>
      </w:r>
    </w:p>
    <w:p>
      <w:pPr>
        <w:spacing w:after="0" w:line="46" w:lineRule="exact"/>
        <w:rPr>
          <w:sz w:val="20"/>
          <w:szCs w:val="20"/>
          <w:color w:val="auto"/>
        </w:rPr>
      </w:pPr>
    </w:p>
    <w:p>
      <w:pPr>
        <w:jc w:val="both"/>
        <w:ind w:firstLine="8"/>
        <w:spacing w:after="0" w:line="270"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plaintiff has a dominant position under the relevant competition (a/k/a anti-trust) laws, for example, because of plaintiff’s assertion of a patent that is essential to a technical standard, and (b) plaintiff has failed to offer a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15, 2013, ZTE filed a nullity suit with respect to European Patent (DE) 1,212,919 in the Federal Court, Munich, Germany, alleging invalidity of the patent. We anticipate a trial in the nullity suit to occur in the second half of 2014.</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November and December 2012, ZTE Corporation initiated invalidity proceedings in China against Chinese Patents ZL00806049.5; ZL 00812876.6; and ZL200480044232.1, the Chinese equivalents of European Patents 1,212,919; 1,166,589; and 1,808,029. Vringo Infrastructure has begun defending these actions by filing responses in January and February 2013. The oral hearing for ZL200480044232.1 occurred on April 10, 2013 and is still pending. An oral hearing for ZL00806049.5, occurred on May 9, 2013 and is still pending. A hearing for ZL00812876.6 has not yet been scheduled.</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29, 2013 Vringo Infrastructure, Inc., filed a patent infringement lawsuit in France against ZTE Corporation,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case has been filed with the tribunal de grande instance de Paris for it to allocate the case to a division of the 3rd chamber (specializing in IP matters). A first scheduling conference has not yet been 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risk factors set forth below update the risk factors in Part I, “Item 1A. Risk Factors” in our Annual Report on Form 10-K for the year ended December 31, 2012.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focused on the assertion of these patents.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ectPr>
          <w:pgSz w:w="11900" w:h="16838" w:orient="portrait"/>
          <w:cols w:equalWidth="0" w:num="1">
            <w:col w:w="11420"/>
          </w:cols>
          <w:pgMar w:left="240" w:top="881" w:right="239" w:bottom="0" w:gutter="0" w:footer="0" w:header="0"/>
        </w:sectPr>
      </w:pPr>
    </w:p>
    <w:bookmarkStart w:id="35" w:name="page36"/>
    <w:bookmarkEnd w:id="35"/>
    <w:p>
      <w:pPr>
        <w:ind w:left="640" w:hanging="32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execute any one of the foregoing or similar matters relating to our operations, our business may fail.</w:t>
      </w:r>
    </w:p>
    <w:p>
      <w:pPr>
        <w:spacing w:after="0" w:line="200" w:lineRule="exact"/>
        <w:rPr>
          <w:sz w:val="20"/>
          <w:szCs w:val="20"/>
          <w:color w:val="auto"/>
        </w:rPr>
      </w:pPr>
    </w:p>
    <w:p>
      <w:pPr>
        <w:spacing w:after="0" w:line="2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36" w:name="page37"/>
    <w:bookmarkEnd w:id="36"/>
    <w:p>
      <w:pPr>
        <w:jc w:val="both"/>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 license or otherwise monetize the patent assets we own, we commenced legal proceedings against the owners of online search engines and other companies (including Microsoft Corp, ZTE (UK) Ltd., AOL, Inc., Google, Inc., IAC Search &amp; Media, Inc., Gannett Company, Inc., and Target Corporation), pursuant to which we allege that such companies infringe on one or more of our patents. Our viability is highly dependent on the outcome of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others to enforce or defend our intellectual property rights or to determine the validity and scope of other parties’ proprietary rights. The defendants or other third parties involved in the lawsuits in which we are involved may allege defenses and/or file counterclaims in an effort to avoid or limit liability and damages for patent infringement. If such defenses or counterclaims are successful, they may preclude our ability to derive licensing revenue from the patents. A negative outcome of any such litigation, or one or more claims contained within any such litigation, could materially and adversely impact our business. Additionally, we anticipate that our legal fees and other expenses will be material and will negatively impact our financial condition and results of operations and may result in our inability to continue our business. Expenses are also dependent on the outcome of current proceedings. Our failure to monetize our patent assets would significantly harm our business and financial position.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While we believe that the patents we own are being infringed by certain major online search engines and communications companies, there is a risk that a court will find the patents invalid, not infringed or unenforceable and/or that the U.S. Patent Office (USPTO) will either invalidate the patents or materially narrow the scope of their claims during the course of a reexamination.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companies infringe our patents, but recognize that obtaining and collecting a judgment against such companies may be difficult or impossible. Patent litigation is inherently risky and the outcome is uncertain. Some of the parties we believe infringe on our patents are large and well-financed companies with substantially greater resources than ours. We believe that these parties would devote a substantial amount of resources in an attempt to avoid or limit a finding that they are liable for infringing our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we own.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statutory authority, regulatory authority, federal rules, local court rules, or governing standards relating to the substantive or procedural aspects of such enforcement actions. In such event, a court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There is a higher rate of appeals in patent enforcement litigation than standard business litigation. The defendants in any patent action we bring in the United States, including without limitation in the I/P Engine v. AOL et al. matter have filed an appeal to the Court of Appeals to the Federal Circuit and eventually may do so in the United States Supreme Court. Such appeals are expensive and time-consuming, and the outcomes of such appeals are sometimes unpredictable, resulting in increased costs and reduced or delayed revenue.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believe that the more prevalent patent enforcement actions become, the more difficult it will be for us to license our patents without engaging in litigation. As a result, we may need to increase the number of our patent enforcement actions to cause infringing companies to license the patent or pay damages for lost royalties. This will adversely affect our operating results due to the high costs of litigation and the uncertainty of the results.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subsidiaries, Vringo Infrastructure Inc. (“Vringo Infrastructure”) and Vringo Germany GmbH (“Vringo Germany”), have commenced legal proceedings against ZTE (UK) Ltd., ZTE Corporation, ZTE Deutschland GmbH, and ZTE France SASU (collectively “ZTE”)</w:t>
      </w:r>
      <w:r>
        <w:rPr>
          <w:rFonts w:ascii="Arial" w:cs="Arial" w:eastAsia="Arial" w:hAnsi="Arial"/>
          <w:sz w:val="17"/>
          <w:szCs w:val="17"/>
          <w:color w:val="auto"/>
        </w:rPr>
        <w:t>,</w:t>
      </w:r>
      <w:r>
        <w:rPr>
          <w:rFonts w:ascii="Arial" w:cs="Arial" w:eastAsia="Arial" w:hAnsi="Arial"/>
          <w:sz w:val="17"/>
          <w:szCs w:val="17"/>
          <w:b w:val="1"/>
          <w:bCs w:val="1"/>
          <w:color w:val="auto"/>
        </w:rPr>
        <w:t xml:space="preserve"> and expect such litigation to be time-consuming and costly, which may adversely affect our financial position and our ability to operate our business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license or otherwise monetize the patent assets we acquired from Nokia, Vringo Infrastructure and Vringo Germany have commenced legal proceedings against ZTE, pursuant to which, Vringo Infrastructure and Vringo Germany allege that ZTE infringe certain of Vringo Infrastructure and/or Vringo Germany’s patents. The defendant’s parent company is much larger than us and has substantially more resources, which could make our litigation efforts more difficult.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anticipate that the above-mentioned legal proceedings may continue for several years and may require significant expenditures for legal fees and other expenses. Disputes regarding the assertion of patents and other intellectual property rights are highly complex and technical. Once initiated, Vringo Infrastructure and Vringo Germany may be forced to litigate against others to enforce or defend their intellectual property rights or to determine the validity and scope of other parties’ proprietary rights. ZTE may allege defenses and/or file counterclaims for inter alia revocation or file collateral litigations or initiate investigations in the UK or elsewhere in an effort to avoid or limit liability and damages for patent infringement. If such actions by ZTE are successful, they may preclude our ability to derive licensing revenue from the patents currently being asserted.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37" w:name="page38"/>
    <w:bookmarkEnd w:id="37"/>
    <w:p>
      <w:pPr>
        <w:jc w:val="both"/>
        <w:ind w:firstLine="648"/>
        <w:spacing w:after="0" w:line="253" w:lineRule="auto"/>
        <w:rPr>
          <w:sz w:val="20"/>
          <w:szCs w:val="20"/>
          <w:color w:val="auto"/>
        </w:rPr>
      </w:pPr>
      <w:r>
        <w:rPr>
          <w:rFonts w:ascii="Arial" w:cs="Arial" w:eastAsia="Arial" w:hAnsi="Arial"/>
          <w:sz w:val="18"/>
          <w:szCs w:val="18"/>
          <w:color w:val="auto"/>
        </w:rPr>
        <w:t>Further, should we be deemed the losing party in any of our applications to the Court in the UK litigation or for the entire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$2,900,000. In Germany, the amount of fees payable by a losing party is determined based on one of four possible statutory levels of “value in dispute.” The value is dispute is only very loosely correlated to the actual value of any potential final settlement or license. Under the current statute, our risk is capped at €735,000 were the court to determine that the value in dispute is at the highest tier under law. 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40-60%. As of today, we cannot estimate our potential future liability. However, should we be successful on any court applications or the entire litigation, ZTE would be responsible for a substantial percentage of our legal fees.</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Germany, should the court order an injunction, for it to be enforced, per the statutory rates, we believe the security would be for €1,000,000 for each of the two patents asserted. The statutory rate is not correlated to any actual monetary harm ZTE may suffer from the injunction. As a result, the district court judge is entitled to increase the amount of the security.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European patents (UK) would be viewed as essential and therefore infringed by all unlicensed market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 is also possible that, in light of our litigation with ZTE, it will choose to suspend or sever its Facetones® related commercial relationship with us.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assurance that we will be able to successfully monetize the patent portfolio that we have acquired from Nokia.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there is no assurance that we will be able to monetize the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interference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707" w:gutter="0" w:footer="0" w:header="0"/>
        </w:sectPr>
      </w:pPr>
    </w:p>
    <w:bookmarkStart w:id="38" w:name="page39"/>
    <w:bookmarkEnd w:id="38"/>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Congress, the USPTO or courts implement new legislation, regulations or rulings that impact the patent enforcement process or the rights of patent holders, these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the United States patent law. These changes include provisions that affect the way patent applications will be prosecuted and may also affect patent litigation. As the regulations and procedures to govern administration of the Leahy-Smith Act, were only recently fully effective, it is too early to tell what, if any, impact the Leahy-Smith Act will have on the operation of our business. However, the Leahy-Smith Act and its implementation could increase the uncertainties and costs surrounding the prosecution of patent applications and the enforcement or defense of patents issued to us, all of which could have a material adverse effect on our business and financial condition.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of patent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 assets, there is no guarantee that we will generate sufficient revenue related to those patent assets to offset the acquisition costs. While we will seek to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79" w:lineRule="exact"/>
        <w:rPr>
          <w:sz w:val="20"/>
          <w:szCs w:val="20"/>
          <w:color w:val="auto"/>
        </w:rPr>
      </w:pPr>
    </w:p>
    <w:p>
      <w:pPr>
        <w:jc w:val="both"/>
        <w:ind w:firstLine="701"/>
        <w:spacing w:after="0" w:line="259" w:lineRule="auto"/>
        <w:rPr>
          <w:sz w:val="20"/>
          <w:szCs w:val="20"/>
          <w:color w:val="auto"/>
        </w:rPr>
      </w:pPr>
      <w:r>
        <w:rPr>
          <w:rFonts w:ascii="Arial" w:cs="Arial" w:eastAsia="Arial" w:hAnsi="Arial"/>
          <w:sz w:val="18"/>
          <w:szCs w:val="18"/>
          <w:color w:val="auto"/>
        </w:rPr>
        <w:t>We may also identify patent or other intellectual property assets that cost more than we are prepared to spend with our own capital resources. We may incur significant costs to organize and negotiate a structured acquisition that does not ultimately result in an acquisition of any patent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our patent assets or other intellectual property rights could significantly impair our return on investment from such assets and harm our brand, business and operating results.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operate our business and compete in the intellectual property market largely depends on the superiority, uniqueness and value of our patent assets and other intellectual property. To protect our proprietary rights, we rely on and will rely on a combination of patent, trademark, copyright and trade secret laws, confidentiality agreements with our employees and third parties, and protective contractual provisions. No assurances can be given that any of the measures we undertake to protect and maintain our assets will have any measure of success.</w:t>
      </w:r>
    </w:p>
    <w:p>
      <w:pPr>
        <w:sectPr>
          <w:pgSz w:w="11900" w:h="16838" w:orient="portrait"/>
          <w:cols w:equalWidth="0" w:num="1">
            <w:col w:w="11420"/>
          </w:cols>
          <w:pgMar w:left="240" w:top="881" w:right="239" w:bottom="5"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jc w:val="both"/>
        <w:ind w:firstLine="648"/>
        <w:spacing w:after="0" w:line="293" w:lineRule="auto"/>
        <w:rPr>
          <w:sz w:val="20"/>
          <w:szCs w:val="20"/>
          <w:color w:val="auto"/>
        </w:rPr>
      </w:pPr>
      <w:r>
        <w:rPr>
          <w:rFonts w:ascii="Arial" w:cs="Arial" w:eastAsia="Arial" w:hAnsi="Arial"/>
          <w:sz w:val="16"/>
          <w:szCs w:val="16"/>
          <w:color w:val="auto"/>
        </w:rPr>
        <w:t>Following the acquisition of patent assets, we will likely be required to spend significant time and resources to maintain the effectiveness of those assets by paying maintenance fees and making filings with the USPTO. We may acquire patent assets, including patent applications, which require us to spend resources to prosecute the applications with the USPTO. Further, there is a material risk that patent related claims (such as, for example, infringement claims (and/or claims for indemnification resulting therefrom), unenforceability claims, or invalidity claims) will be asserted or prosecuted against us, and such assertions or prosecutions could materially and adversely affect our business. Regardless of whether any such claims are valid or can be successfully asserted, defending such claims could cause us to incur significant costs and could divert resources away from our other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our efforts to protect our intellectual property rights, any of the following or similar occurrences may reduce the value of our intellectual property:</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applications for patents, trademarks and copyrights may not be granted and, if granted, may be challenged or invalidated;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us with any competitive advantages versus potentially infringing parties;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to protect our intellectual property rights may not be effective in preventing misappropriation of our technology;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may not prevent the development and design by others of products or technologies similar to or competitive with, or superior to those we acquire and/or prosecute.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we may not be able to effectively protect our intellectual property rights in certain foreign countries where we may do business in the future or from which competitors may operate. If we fail to maintain, defend or prosecute our patent assets properly, the value of those assets would be reduced or eliminated, and our business would be harmed.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Should our warrants outstanding as of May 8, 2013, be exercised, there would be an additional 18,764,114 shares of common stock eligible for trading in the public market. In addition, we currently have incentive equity instruments outstanding to purchase 15,282,983 shares of our common stock granted to our management, employees, directors and consultants. Certain options granted to officers, directors and certain key employees are subject to acceleration of vesting of up to 100% (according to the agreement signed with each grantee), upon a subsequent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May 8, 2013, is $3.19 per share.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May 8, 2013, we had 82,749,093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are unable to adequately protect our intellectual property, we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in such collaborators.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our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that we currently support.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represented less than 5% of our revenue for the three month period ended March 31, 2013, is heavily reliant upon our Android devices users. Currently, over 96% of our Facetones® users utilize the Android operating system. In addition, our commercial agreement with ZTE is solely reliant on our ability to maintain our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8"/>
          <w:szCs w:val="18"/>
          <w:b w:val="1"/>
          <w:bCs w:val="1"/>
          <w:color w:val="auto"/>
        </w:rPr>
        <w:t>Because our current revenues are, and are expected to be, generated in U.S Dollars, British Pounds and Euros, while a portion of our expenses is, and is expected to be, incurred in British Pounds, Euros and in New Israeli Shekels, our results may be significantly affected by currency exchange rate fluctuations.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revenues are, and are expected to be, generated in U.S Dollars, Euros and in the British Pound, while significant salary related expenses are paid in New Israeli Shekels and expenses related to maintaining, prosecuting and enforcing the patents acquired from Nokia are expected to be paid in British Pounds and in Euros. As a result, we are exposed to the adverse effect of increased dollar-measured cost of our operations, as value of these currencies may materially fluctuate against the U.S Dollar, as it is affected by, among other things, changes in political and economic conditions. Fluctuations in the abovementioned exchange rates, or even the appearance of instability in any such exchange rate, could adversely affect our ability to operate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Israeli subsidiary, may increase our operating costs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w w:val="95"/>
              </w:rPr>
              <w:t>Item 2. Unregistered Sales of Equity Securities and Use of Proceeds.</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620" w:type="dxa"/>
            <w:vAlign w:val="bottom"/>
          </w:tcPr>
          <w:p>
            <w:pPr>
              <w:ind w:left="66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ind w:left="66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4. Mine Safety Disclosures.</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ind w:left="660"/>
              <w:spacing w:after="0"/>
              <w:rPr>
                <w:sz w:val="20"/>
                <w:szCs w:val="20"/>
                <w:color w:val="auto"/>
              </w:rPr>
            </w:pPr>
            <w:r>
              <w:rPr>
                <w:rFonts w:ascii="Arial" w:cs="Arial" w:eastAsia="Arial" w:hAnsi="Arial"/>
                <w:sz w:val="18"/>
                <w:szCs w:val="18"/>
                <w:color w:val="auto"/>
              </w:rPr>
              <w:t>Not applicable.</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5. Other Information.</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ind w:left="66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620" w:type="dxa"/>
            <w:vAlign w:val="bottom"/>
          </w:tcPr>
          <w:p>
            <w:pPr>
              <w:ind w:left="252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6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20"/>
                <w:szCs w:val="20"/>
                <w:color w:val="auto"/>
              </w:rPr>
            </w:pPr>
          </w:p>
        </w:tc>
        <w:tc>
          <w:tcPr>
            <w:tcW w:w="502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Description</w:t>
            </w:r>
          </w:p>
        </w:tc>
        <w:tc>
          <w:tcPr>
            <w:tcW w:w="580" w:type="dxa"/>
            <w:vAlign w:val="bottom"/>
            <w:tcBorders>
              <w:bottom w:val="single" w:sz="8" w:color="auto"/>
            </w:tcBorders>
          </w:tcPr>
          <w:p>
            <w:pPr>
              <w:spacing w:after="0"/>
              <w:rPr>
                <w:sz w:val="20"/>
                <w:szCs w:val="20"/>
                <w:color w:val="auto"/>
              </w:rPr>
            </w:pPr>
          </w:p>
        </w:tc>
      </w:tr>
      <w:tr>
        <w:trPr>
          <w:trHeight w:val="411"/>
        </w:trPr>
        <w:tc>
          <w:tcPr>
            <w:tcW w:w="5620" w:type="dxa"/>
            <w:vAlign w:val="bottom"/>
          </w:tcPr>
          <w:p>
            <w:pPr>
              <w:ind w:left="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February 13, 2013, by and between Vringo</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and Andrew D. Perlman (incorporated by reference from our Annual Report</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on Form 10-K filed on March 21, 2013)</w:t>
            </w:r>
          </w:p>
        </w:tc>
        <w:tc>
          <w:tcPr>
            <w:tcW w:w="58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February 13, 2013, by and between Vringo</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and Alexander R. Berger (incorporated by reference from our Annual Report</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on Form 10-K filed on March 21, 2013)</w:t>
            </w:r>
          </w:p>
        </w:tc>
        <w:tc>
          <w:tcPr>
            <w:tcW w:w="58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Certification of Principal Executive Officer Pursuant to Rule 13-14(a) of the</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Securities Exchange Act of 1934, pursuant to Section 302 of the Sarbanes-</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Oxley Act of 2002.</w:t>
            </w:r>
          </w:p>
        </w:tc>
        <w:tc>
          <w:tcPr>
            <w:tcW w:w="58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Certification of Principal Financial Officer Pursuant to Rule 13-14(a) of the</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Securities Exchange Act of 1934, pursuant to Section 302 of the Sarbanes-</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Oxley Act of 2002.</w:t>
            </w:r>
          </w:p>
        </w:tc>
        <w:tc>
          <w:tcPr>
            <w:tcW w:w="58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w:t>
            </w:r>
          </w:p>
        </w:tc>
        <w:tc>
          <w:tcPr>
            <w:tcW w:w="580" w:type="dxa"/>
            <w:vAlign w:val="bottom"/>
          </w:tcPr>
          <w:p>
            <w:pPr>
              <w:ind w:left="80"/>
              <w:spacing w:after="0"/>
              <w:rPr>
                <w:sz w:val="20"/>
                <w:szCs w:val="20"/>
                <w:color w:val="auto"/>
              </w:rPr>
            </w:pPr>
            <w:r>
              <w:rPr>
                <w:rFonts w:ascii="Arial" w:cs="Arial" w:eastAsia="Arial" w:hAnsi="Arial"/>
                <w:sz w:val="18"/>
                <w:szCs w:val="18"/>
                <w:color w:val="auto"/>
                <w:w w:val="90"/>
              </w:rPr>
              <w:t>U.S.C.</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Section 1350, pursuant to Section 906 of the Sarbanes-Oxley Act of 2002.</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w:t>
            </w:r>
          </w:p>
        </w:tc>
        <w:tc>
          <w:tcPr>
            <w:tcW w:w="580" w:type="dxa"/>
            <w:vAlign w:val="bottom"/>
          </w:tcPr>
          <w:p>
            <w:pPr>
              <w:ind w:left="80"/>
              <w:spacing w:after="0"/>
              <w:rPr>
                <w:sz w:val="20"/>
                <w:szCs w:val="20"/>
                <w:color w:val="auto"/>
              </w:rPr>
            </w:pPr>
            <w:r>
              <w:rPr>
                <w:rFonts w:ascii="Arial" w:cs="Arial" w:eastAsia="Arial" w:hAnsi="Arial"/>
                <w:sz w:val="18"/>
                <w:szCs w:val="18"/>
                <w:color w:val="auto"/>
                <w:w w:val="90"/>
              </w:rPr>
              <w:t>U.S.C.</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Section 1350, pursuant to Section 906 of the Sarbanes-Oxley Act of 2002.</w:t>
            </w:r>
          </w:p>
        </w:tc>
      </w:tr>
      <w:tr>
        <w:trPr>
          <w:trHeight w:val="864"/>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40</w:t>
            </w:r>
          </w:p>
        </w:tc>
        <w:tc>
          <w:tcPr>
            <w:tcW w:w="5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The following information from Vringo’s Quarterly Report on Form 10-Q for the quarter ended March 31, 2013 formatted in XBRL: (i) Unaudited Consolidated Statements of Operations for the three months ended March 31, 2013, three month period ended March 31, 2012 and the period from inception of I/P (June 8, 2011) through March 31, 2012; (ii) Consolidated Balance Sheets as of March 31, 2013 (Unaudited) and December 31, 2012; (iii) Unaudited Consolidated Statements of Stockholders’ Equity as of March 31, 2013; (iv) Unaudited Consolidated Statements of Cash Flows for the three months ended March 31, 2013 and the Period from June 8, 2011 (inception) to March 31, 2012; and (v) Notes to Unaudited Consolidated Financial Statements tagged as blocks of text.</w:t>
      </w:r>
    </w:p>
    <w:p>
      <w:pPr>
        <w:spacing w:after="0" w:line="200" w:lineRule="exact"/>
        <w:rPr>
          <w:sz w:val="20"/>
          <w:szCs w:val="20"/>
          <w:color w:val="auto"/>
        </w:rPr>
      </w:pPr>
    </w:p>
    <w:p>
      <w:pPr>
        <w:sectPr>
          <w:pgSz w:w="11900" w:h="16838" w:orient="portrait"/>
          <w:cols w:equalWidth="0" w:num="2">
            <w:col w:w="5100" w:space="720"/>
            <w:col w:w="5600"/>
          </w:cols>
          <w:pgMar w:left="240" w:top="881"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compensatory plan, contract or arrangement.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Pursuant to Rule 406T of Regulation S-T, the Interactive Data Files on Exhibit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 hereto are deemed not filed or part of a registration statement or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Sections 11 or 12 of the Securities Act of 1933, as amended,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not filed for purposes of Section 18 of the Securities and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1934, as amended, and otherwise are not subject to liability under those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sections.</w:t>
      </w:r>
    </w:p>
    <w:p>
      <w:pPr>
        <w:spacing w:after="0" w:line="200" w:lineRule="exact"/>
        <w:rPr>
          <w:sz w:val="20"/>
          <w:szCs w:val="20"/>
          <w:color w:val="auto"/>
        </w:rPr>
      </w:pPr>
    </w:p>
    <w:p>
      <w:pPr>
        <w:sectPr>
          <w:pgSz w:w="11900" w:h="16838" w:orient="portrait"/>
          <w:cols w:equalWidth="0" w:num="2">
            <w:col w:w="4900" w:space="720"/>
            <w:col w:w="5800"/>
          </w:cols>
          <w:pgMar w:left="240" w:top="881"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ectPr>
          <w:pgSz w:w="11900" w:h="16838" w:orient="portrait"/>
          <w:cols w:equalWidth="0" w:num="1">
            <w:col w:w="11420"/>
          </w:cols>
          <w:pgMar w:left="240" w:top="881" w:right="239" w:bottom="1440" w:gutter="0" w:footer="0" w:header="0"/>
          <w:type w:val="continuous"/>
        </w:sect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9th day of May,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tabs>
          <w:tab w:leader="none" w:pos="5260" w:val="left"/>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8091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ind w:firstLine="8"/>
        <w:spacing w:after="0" w:line="308" w:lineRule="auto"/>
        <w:tabs>
          <w:tab w:leader="none" w:pos="208"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sz w:val="20"/>
          <w:szCs w:val="20"/>
          <w:color w:val="auto"/>
        </w:rPr>
      </w:pPr>
    </w:p>
    <w:p>
      <w:pPr>
        <w:ind w:firstLine="8"/>
        <w:spacing w:after="0" w:line="277" w:lineRule="auto"/>
        <w:tabs>
          <w:tab w:leader="none" w:pos="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25"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1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2013</w:t>
      </w:r>
    </w:p>
    <w:p>
      <w:pPr>
        <w:spacing w:after="0" w:line="225"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2013 as filed with the Securities and Exchange Commission on the date hereof (the “Report”) I, Andrew Perlman, Chief Executive Officer of the Company, certify, pursuant to § 906 of the Sarbanes-Oxley Act of 2002,18 U.S.C. § 1350, that to my knowledge:</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2013</w:t>
      </w:r>
    </w:p>
    <w:p>
      <w:pPr>
        <w:ind w:left="4620"/>
        <w:spacing w:after="0"/>
        <w:tabs>
          <w:tab w:leader="none" w:pos="4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March 31, 2013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2013</w:t>
      </w:r>
    </w:p>
    <w:p>
      <w:pPr>
        <w:ind w:left="4920"/>
        <w:spacing w:after="0"/>
        <w:tabs>
          <w:tab w:leader="none" w:pos="5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2019-12-07T16:25:27Z</dcterms:created>
  <dcterms:modified xsi:type="dcterms:W3CDTF">2019-12-07T16:25:27Z</dcterms:modified>
</cp:coreProperties>
</file>