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92911N104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22"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92911N104</w:t>
            </w:r>
          </w:p>
        </w:tc>
        <w:tc>
          <w:tcPr>
            <w:tcW w:w="104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SCHEDULE 13G</w:t>
            </w:r>
          </w:p>
        </w:tc>
        <w:tc>
          <w:tcPr>
            <w:tcW w:w="3760" w:type="dxa"/>
            <w:vAlign w:val="bottom"/>
            <w:tcBorders>
              <w:top w:val="single" w:sz="8" w:color="auto"/>
              <w:bottom w:val="single" w:sz="8" w:color="auto"/>
            </w:tcBorders>
          </w:tcPr>
          <w:p>
            <w:pPr>
              <w:ind w:left="2340"/>
              <w:spacing w:after="0"/>
              <w:rPr>
                <w:sz w:val="20"/>
                <w:szCs w:val="20"/>
                <w:color w:val="auto"/>
              </w:rPr>
            </w:pPr>
            <w:r>
              <w:rPr>
                <w:rFonts w:ascii="Arial" w:cs="Arial" w:eastAsia="Arial" w:hAnsi="Arial"/>
                <w:sz w:val="18"/>
                <w:szCs w:val="18"/>
                <w:b w:val="1"/>
                <w:bCs w:val="1"/>
                <w:color w:val="auto"/>
                <w:w w:val="91"/>
              </w:rPr>
              <w:t>Page 2 of 5 Pages</w:t>
            </w:r>
          </w:p>
        </w:tc>
      </w:tr>
      <w:tr>
        <w:trPr>
          <w:trHeight w:val="201"/>
        </w:trPr>
        <w:tc>
          <w:tcPr>
            <w:tcW w:w="3800" w:type="dxa"/>
            <w:vAlign w:val="bottom"/>
          </w:tcPr>
          <w:p>
            <w:pPr>
              <w:ind w:left="220"/>
              <w:spacing w:after="0" w:line="201" w:lineRule="exact"/>
              <w:rPr>
                <w:sz w:val="20"/>
                <w:szCs w:val="20"/>
                <w:color w:val="auto"/>
              </w:rPr>
            </w:pPr>
            <w:r>
              <w:rPr>
                <w:rFonts w:ascii="Arial" w:cs="Arial" w:eastAsia="Arial" w:hAnsi="Arial"/>
                <w:sz w:val="18"/>
                <w:szCs w:val="18"/>
                <w:color w:val="auto"/>
              </w:rPr>
              <w:t>1.  Names of Reporting Persons.</w:t>
            </w:r>
          </w:p>
        </w:tc>
        <w:tc>
          <w:tcPr>
            <w:tcW w:w="10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22"/>
        </w:trPr>
        <w:tc>
          <w:tcPr>
            <w:tcW w:w="4840" w:type="dxa"/>
            <w:vAlign w:val="bottom"/>
            <w:gridSpan w:val="2"/>
          </w:tcPr>
          <w:p>
            <w:pPr>
              <w:ind w:left="500"/>
              <w:spacing w:after="0"/>
              <w:rPr>
                <w:sz w:val="20"/>
                <w:szCs w:val="20"/>
                <w:color w:val="auto"/>
              </w:rPr>
            </w:pPr>
            <w:r>
              <w:rPr>
                <w:rFonts w:ascii="Arial" w:cs="Arial" w:eastAsia="Arial" w:hAnsi="Arial"/>
                <w:sz w:val="18"/>
                <w:szCs w:val="18"/>
                <w:color w:val="auto"/>
                <w:w w:val="95"/>
              </w:rPr>
              <w:t>I.R.S. Identification Nos. of above persons (entities only).</w:t>
            </w:r>
          </w:p>
        </w:tc>
        <w:tc>
          <w:tcPr>
            <w:tcW w:w="284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74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2743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-281305</wp:posOffset>
            </wp:positionV>
            <wp:extent cx="8890" cy="168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Mark Cuban</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102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Pr>
          <w:p>
            <w:pPr>
              <w:spacing w:after="0"/>
              <w:rPr>
                <w:sz w:val="23"/>
                <w:szCs w:val="23"/>
                <w:color w:val="auto"/>
              </w:rPr>
            </w:pPr>
          </w:p>
        </w:tc>
        <w:tc>
          <w:tcPr>
            <w:tcW w:w="101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2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2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8"/>
                <w:szCs w:val="18"/>
                <w:color w:val="auto"/>
              </w:rPr>
            </w:pPr>
          </w:p>
        </w:tc>
        <w:tc>
          <w:tcPr>
            <w:tcW w:w="10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1"/>
        </w:trPr>
        <w:tc>
          <w:tcPr>
            <w:tcW w:w="1080" w:type="dxa"/>
            <w:vAlign w:val="bottom"/>
            <w:tcBorders>
              <w:right w:val="single" w:sz="8" w:color="auto"/>
            </w:tcBorders>
            <w:gridSpan w:val="3"/>
            <w:vMerge w:val="restart"/>
          </w:tcPr>
          <w:p>
            <w:pPr>
              <w:jc w:val="center"/>
              <w:ind w:left="33"/>
              <w:spacing w:after="0"/>
              <w:rPr>
                <w:sz w:val="20"/>
                <w:szCs w:val="20"/>
                <w:color w:val="auto"/>
              </w:rPr>
            </w:pPr>
            <w:r>
              <w:rPr>
                <w:rFonts w:ascii="Arial" w:cs="Arial" w:eastAsia="Arial" w:hAnsi="Arial"/>
                <w:sz w:val="18"/>
                <w:szCs w:val="18"/>
                <w:color w:val="auto"/>
                <w:w w:val="90"/>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1,130,720</w:t>
            </w:r>
          </w:p>
        </w:tc>
        <w:tc>
          <w:tcPr>
            <w:tcW w:w="0" w:type="dxa"/>
            <w:vAlign w:val="bottom"/>
          </w:tcPr>
          <w:p>
            <w:pPr>
              <w:spacing w:after="0"/>
              <w:rPr>
                <w:sz w:val="1"/>
                <w:szCs w:val="1"/>
                <w:color w:val="auto"/>
              </w:rPr>
            </w:pPr>
          </w:p>
        </w:tc>
      </w:tr>
      <w:tr>
        <w:trPr>
          <w:trHeight w:val="122"/>
        </w:trPr>
        <w:tc>
          <w:tcPr>
            <w:tcW w:w="1080" w:type="dxa"/>
            <w:vAlign w:val="bottom"/>
            <w:tcBorders>
              <w:right w:val="single" w:sz="8" w:color="auto"/>
            </w:tcBorders>
            <w:gridSpan w:val="3"/>
            <w:vMerge w:val="continue"/>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0"/>
                <w:szCs w:val="10"/>
                <w:color w:val="auto"/>
              </w:rPr>
            </w:pPr>
          </w:p>
        </w:tc>
        <w:tc>
          <w:tcPr>
            <w:tcW w:w="100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center"/>
              <w:ind w:right="165"/>
              <w:spacing w:after="0"/>
              <w:rPr>
                <w:sz w:val="20"/>
                <w:szCs w:val="20"/>
                <w:color w:val="auto"/>
              </w:rPr>
            </w:pPr>
            <w:r>
              <w:rPr>
                <w:rFonts w:ascii="Arial" w:cs="Arial" w:eastAsia="Arial" w:hAnsi="Arial"/>
                <w:sz w:val="18"/>
                <w:szCs w:val="18"/>
                <w:color w:val="auto"/>
                <w:w w:val="80"/>
              </w:rPr>
              <w:t>Shares</w:t>
            </w:r>
          </w:p>
        </w:tc>
        <w:tc>
          <w:tcPr>
            <w:tcW w:w="22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720" w:type="dxa"/>
            <w:vAlign w:val="bottom"/>
            <w:tcBorders>
              <w:right w:val="single" w:sz="8" w:color="auto"/>
            </w:tcBorders>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080" w:type="dxa"/>
            <w:vAlign w:val="bottom"/>
            <w:tcBorders>
              <w:right w:val="single" w:sz="8" w:color="auto"/>
            </w:tcBorders>
            <w:gridSpan w:val="3"/>
          </w:tcPr>
          <w:p>
            <w:pPr>
              <w:jc w:val="center"/>
              <w:ind w:left="13"/>
              <w:spacing w:after="0"/>
              <w:rPr>
                <w:sz w:val="20"/>
                <w:szCs w:val="20"/>
                <w:color w:val="auto"/>
              </w:rPr>
            </w:pPr>
            <w:r>
              <w:rPr>
                <w:rFonts w:ascii="Arial" w:cs="Arial" w:eastAsia="Arial" w:hAnsi="Arial"/>
                <w:sz w:val="18"/>
                <w:szCs w:val="18"/>
                <w:color w:val="auto"/>
                <w:w w:val="94"/>
              </w:rPr>
              <w:t>Beneficially</w:t>
            </w:r>
          </w:p>
        </w:tc>
        <w:tc>
          <w:tcPr>
            <w:tcW w:w="2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80" w:type="dxa"/>
            <w:vAlign w:val="bottom"/>
          </w:tcPr>
          <w:p>
            <w:pPr>
              <w:ind w:left="10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2"/>
        </w:trPr>
        <w:tc>
          <w:tcPr>
            <w:tcW w:w="1080" w:type="dxa"/>
            <w:vAlign w:val="bottom"/>
            <w:tcBorders>
              <w:right w:val="single" w:sz="8" w:color="auto"/>
            </w:tcBorders>
            <w:gridSpan w:val="3"/>
            <w:vMerge w:val="restart"/>
          </w:tcPr>
          <w:p>
            <w:pPr>
              <w:jc w:val="center"/>
              <w:ind w:left="33"/>
              <w:spacing w:after="0" w:line="202" w:lineRule="exact"/>
              <w:rPr>
                <w:sz w:val="20"/>
                <w:szCs w:val="20"/>
                <w:color w:val="auto"/>
              </w:rPr>
            </w:pPr>
            <w:r>
              <w:rPr>
                <w:rFonts w:ascii="Arial" w:cs="Arial" w:eastAsia="Arial" w:hAnsi="Arial"/>
                <w:sz w:val="18"/>
                <w:szCs w:val="18"/>
                <w:color w:val="auto"/>
                <w:w w:val="88"/>
              </w:rPr>
              <w:t>Owned by</w:t>
            </w: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10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080" w:type="dxa"/>
            <w:vAlign w:val="bottom"/>
            <w:tcBorders>
              <w:right w:val="single" w:sz="8" w:color="auto"/>
            </w:tcBorders>
            <w:gridSpan w:val="3"/>
            <w:vMerge w:val="continue"/>
          </w:tcPr>
          <w:p>
            <w:pPr>
              <w:spacing w:after="0"/>
              <w:rPr>
                <w:sz w:val="6"/>
                <w:szCs w:val="6"/>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6"/>
                <w:szCs w:val="6"/>
                <w:color w:val="auto"/>
              </w:rPr>
            </w:pPr>
          </w:p>
        </w:tc>
        <w:tc>
          <w:tcPr>
            <w:tcW w:w="10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vMerge w:val="restart"/>
          </w:tcPr>
          <w:p>
            <w:pPr>
              <w:jc w:val="center"/>
              <w:ind w:right="205"/>
              <w:spacing w:after="0"/>
              <w:rPr>
                <w:sz w:val="20"/>
                <w:szCs w:val="20"/>
                <w:color w:val="auto"/>
              </w:rPr>
            </w:pPr>
            <w:r>
              <w:rPr>
                <w:rFonts w:ascii="Arial" w:cs="Arial" w:eastAsia="Arial" w:hAnsi="Arial"/>
                <w:sz w:val="18"/>
                <w:szCs w:val="18"/>
                <w:color w:val="auto"/>
                <w:w w:val="87"/>
              </w:rPr>
              <w:t>Each</w:t>
            </w:r>
          </w:p>
        </w:tc>
        <w:tc>
          <w:tcPr>
            <w:tcW w:w="220" w:type="dxa"/>
            <w:vAlign w:val="bottom"/>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0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0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jc w:val="center"/>
              <w:ind w:left="13"/>
              <w:spacing w:after="0"/>
              <w:rPr>
                <w:sz w:val="20"/>
                <w:szCs w:val="20"/>
                <w:color w:val="auto"/>
              </w:rPr>
            </w:pPr>
            <w:r>
              <w:rPr>
                <w:rFonts w:ascii="Arial" w:cs="Arial" w:eastAsia="Arial" w:hAnsi="Arial"/>
                <w:sz w:val="18"/>
                <w:szCs w:val="18"/>
                <w:color w:val="auto"/>
                <w:w w:val="89"/>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80" w:type="dxa"/>
            <w:vAlign w:val="bottom"/>
            <w:vMerge w:val="restart"/>
          </w:tcPr>
          <w:p>
            <w:pPr>
              <w:ind w:left="100"/>
              <w:spacing w:after="0"/>
              <w:rPr>
                <w:sz w:val="20"/>
                <w:szCs w:val="20"/>
                <w:color w:val="auto"/>
              </w:rPr>
            </w:pPr>
            <w:r>
              <w:rPr>
                <w:rFonts w:ascii="Arial" w:cs="Arial" w:eastAsia="Arial" w:hAnsi="Arial"/>
                <w:sz w:val="22"/>
                <w:szCs w:val="22"/>
                <w:color w:val="auto"/>
              </w:rPr>
              <w:t>1,130,720</w:t>
            </w:r>
          </w:p>
        </w:tc>
        <w:tc>
          <w:tcPr>
            <w:tcW w:w="0" w:type="dxa"/>
            <w:vAlign w:val="bottom"/>
          </w:tcPr>
          <w:p>
            <w:pPr>
              <w:spacing w:after="0"/>
              <w:rPr>
                <w:sz w:val="1"/>
                <w:szCs w:val="1"/>
                <w:color w:val="auto"/>
              </w:rPr>
            </w:pPr>
          </w:p>
        </w:tc>
      </w:tr>
      <w:tr>
        <w:trPr>
          <w:trHeight w:val="155"/>
        </w:trPr>
        <w:tc>
          <w:tcPr>
            <w:tcW w:w="1080" w:type="dxa"/>
            <w:vAlign w:val="bottom"/>
            <w:tcBorders>
              <w:right w:val="single" w:sz="8" w:color="auto"/>
            </w:tcBorders>
            <w:gridSpan w:val="3"/>
          </w:tcPr>
          <w:p>
            <w:pPr>
              <w:jc w:val="center"/>
              <w:ind w:left="33"/>
              <w:spacing w:after="0" w:line="151" w:lineRule="exact"/>
              <w:rPr>
                <w:sz w:val="20"/>
                <w:szCs w:val="20"/>
                <w:color w:val="auto"/>
              </w:rPr>
            </w:pPr>
            <w:r>
              <w:rPr>
                <w:rFonts w:ascii="Arial" w:cs="Arial" w:eastAsia="Arial" w:hAnsi="Arial"/>
                <w:sz w:val="16"/>
                <w:szCs w:val="16"/>
                <w:color w:val="auto"/>
              </w:rPr>
              <w:t>Person With:</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0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8"/>
                <w:szCs w:val="18"/>
                <w:color w:val="auto"/>
              </w:rPr>
            </w:pPr>
          </w:p>
        </w:tc>
        <w:tc>
          <w:tcPr>
            <w:tcW w:w="10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1,130,720</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10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3"/>
              </w:rPr>
              <w:t>1.4% (a)</w:t>
            </w:r>
          </w:p>
        </w:tc>
        <w:tc>
          <w:tcPr>
            <w:tcW w:w="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80,328,144 shares of Common Stock of the issuer outstanding on November 14, 2012.</w:t>
      </w:r>
    </w:p>
    <w:p>
      <w:pPr>
        <w:sectPr>
          <w:pgSz w:w="11900" w:h="16838" w:orient="portrait"/>
          <w:cols w:equalWidth="0" w:num="1">
            <w:col w:w="11440"/>
          </w:cols>
          <w:pgMar w:left="240" w:top="268" w:right="219" w:bottom="1440" w:gutter="0" w:footer="0" w:header="0"/>
        </w:sectPr>
      </w:pPr>
    </w:p>
    <w:bookmarkStart w:id="2" w:name="page3"/>
    <w:bookmarkEnd w:id="2"/>
    <w:p>
      <w:pPr>
        <w:spacing w:after="0"/>
        <w:tabs>
          <w:tab w:leader="none" w:pos="5140" w:val="left"/>
          <w:tab w:leader="none" w:pos="10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5 Pages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96" w:lineRule="exact"/>
        <w:rPr>
          <w:sz w:val="20"/>
          <w:szCs w:val="20"/>
          <w:color w:val="auto"/>
        </w:rPr>
      </w:pPr>
    </w:p>
    <w:p>
      <w:pPr>
        <w:ind w:left="900" w:right="9400" w:hanging="446"/>
        <w:spacing w:after="0" w:line="413"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Name of Issuer: Vringo, Inc.</w:t>
      </w: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90" w:lineRule="exact"/>
        <w:rPr>
          <w:rFonts w:ascii="Arial" w:cs="Arial" w:eastAsia="Arial" w:hAnsi="Arial"/>
          <w:sz w:val="18"/>
          <w:szCs w:val="18"/>
          <w:color w:val="auto"/>
        </w:rPr>
      </w:pPr>
    </w:p>
    <w:p>
      <w:pPr>
        <w:ind w:left="900" w:right="8780"/>
        <w:spacing w:after="0" w:line="332" w:lineRule="auto"/>
        <w:rPr>
          <w:rFonts w:ascii="Arial" w:cs="Arial" w:eastAsia="Arial" w:hAnsi="Arial"/>
          <w:sz w:val="18"/>
          <w:szCs w:val="18"/>
          <w:color w:val="auto"/>
        </w:rPr>
      </w:pPr>
      <w:r>
        <w:rPr>
          <w:rFonts w:ascii="Arial" w:cs="Arial" w:eastAsia="Arial" w:hAnsi="Arial"/>
          <w:sz w:val="16"/>
          <w:szCs w:val="16"/>
          <w:color w:val="auto"/>
        </w:rPr>
        <w:t>780 3rd Ave., 15th Floor New York, NY 10017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00" w:right="8880" w:hanging="446"/>
        <w:spacing w:after="0" w:line="34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 Mark Cuban</w:t>
      </w: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0" w:lineRule="exact"/>
        <w:rPr>
          <w:rFonts w:ascii="Arial" w:cs="Arial" w:eastAsia="Arial" w:hAnsi="Arial"/>
          <w:sz w:val="18"/>
          <w:szCs w:val="18"/>
          <w:color w:val="auto"/>
        </w:rPr>
      </w:pPr>
    </w:p>
    <w:p>
      <w:pPr>
        <w:ind w:left="900" w:right="8880"/>
        <w:spacing w:after="0" w:line="357" w:lineRule="auto"/>
        <w:rPr>
          <w:rFonts w:ascii="Arial" w:cs="Arial" w:eastAsia="Arial" w:hAnsi="Arial"/>
          <w:sz w:val="18"/>
          <w:szCs w:val="18"/>
          <w:color w:val="auto"/>
        </w:rPr>
      </w:pPr>
      <w:r>
        <w:rPr>
          <w:rFonts w:ascii="Arial" w:cs="Arial" w:eastAsia="Arial" w:hAnsi="Arial"/>
          <w:sz w:val="15"/>
          <w:szCs w:val="15"/>
          <w:color w:val="auto"/>
        </w:rPr>
        <w:t>5424 Deloache Avenue Dallas, Texas 75220</w:t>
      </w:r>
    </w:p>
    <w:p>
      <w:pPr>
        <w:ind w:left="900" w:right="9580" w:hanging="446"/>
        <w:spacing w:after="0" w:line="413"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United States</w:t>
      </w: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90" w:lineRule="exact"/>
        <w:rPr>
          <w:rFonts w:ascii="Arial" w:cs="Arial" w:eastAsia="Arial" w:hAnsi="Arial"/>
          <w:sz w:val="18"/>
          <w:szCs w:val="18"/>
          <w:color w:val="auto"/>
        </w:rPr>
      </w:pPr>
    </w:p>
    <w:p>
      <w:pPr>
        <w:ind w:left="900" w:right="9360" w:hanging="446"/>
        <w:spacing w:after="0" w:line="437"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92911N104</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5140" w:val="left"/>
          <w:tab w:leader="none" w:pos="10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5 Pages</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172" w:lineRule="exact"/>
        <w:rPr>
          <w:sz w:val="20"/>
          <w:szCs w:val="20"/>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920" w:hanging="453"/>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sz w:val="20"/>
          <w:szCs w:val="20"/>
          <w:color w:val="auto"/>
        </w:rPr>
      </w:pPr>
    </w:p>
    <w:p>
      <w:pPr>
        <w:ind w:left="920" w:hanging="453"/>
        <w:spacing w:after="0" w:line="207" w:lineRule="exact"/>
        <w:tabs>
          <w:tab w:leader="none" w:pos="9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320" w:right="600" w:hanging="853"/>
        <w:spacing w:after="0" w:line="236" w:lineRule="exact"/>
        <w:tabs>
          <w:tab w:leader="none" w:pos="915"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 or</w:t>
      </w:r>
    </w:p>
    <w:p>
      <w:pPr>
        <w:spacing w:after="0" w:line="69" w:lineRule="exact"/>
        <w:rPr>
          <w:sz w:val="20"/>
          <w:szCs w:val="20"/>
          <w:color w:val="auto"/>
        </w:rPr>
      </w:pPr>
    </w:p>
    <w:p>
      <w:pPr>
        <w:ind w:left="920" w:hanging="453"/>
        <w:spacing w:after="0" w:line="207" w:lineRule="exact"/>
        <w:tabs>
          <w:tab w:leader="none" w:pos="9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3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relates to the reporting person’s ownership of common stock of the Issuer as of March 30, 2012.</w:t>
      </w:r>
    </w:p>
    <w:p>
      <w:pPr>
        <w:spacing w:after="0" w:line="90" w:lineRule="exact"/>
        <w:rPr>
          <w:sz w:val="20"/>
          <w:szCs w:val="20"/>
          <w:color w:val="auto"/>
        </w:rPr>
      </w:pPr>
    </w:p>
    <w:p>
      <w:pPr>
        <w:ind w:left="900" w:right="8520" w:hanging="446"/>
        <w:spacing w:after="0" w:line="34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beneficially owned: 1,130,720</w:t>
      </w: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1.4% (a)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0" w:lineRule="exact"/>
        <w:rPr>
          <w:rFonts w:ascii="Arial" w:cs="Arial" w:eastAsia="Arial" w:hAnsi="Arial"/>
          <w:sz w:val="18"/>
          <w:szCs w:val="18"/>
          <w:color w:val="auto"/>
        </w:rPr>
      </w:pPr>
    </w:p>
    <w:p>
      <w:pPr>
        <w:ind w:left="1480" w:right="7160" w:hanging="567"/>
        <w:spacing w:after="0" w:line="344"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1,130,720</w:t>
      </w:r>
    </w:p>
    <w:p>
      <w:pPr>
        <w:ind w:left="1480" w:right="6980" w:hanging="567"/>
        <w:spacing w:after="0" w:line="344"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480" w:right="6260" w:hanging="567"/>
        <w:spacing w:after="0" w:line="344"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1,130,720</w:t>
      </w:r>
    </w:p>
    <w:p>
      <w:pPr>
        <w:ind w:left="1480" w:right="6100" w:hanging="567"/>
        <w:spacing w:after="0" w:line="362"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80,328,144 shares of Common Stock of the issuer outstanding on November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 w:name="page5"/>
    <w:bookmarkEnd w:id="4"/>
    <w:p>
      <w:pPr>
        <w:spacing w:after="0"/>
        <w:tabs>
          <w:tab w:leader="none" w:pos="5140" w:val="left"/>
          <w:tab w:leader="none" w:pos="10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5 Pages</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tabs>
          <w:tab w:leader="none" w:pos="540" w:val="left"/>
          <w:tab w:leader="none" w:pos="5800" w:val="left"/>
        </w:tabs>
        <w:rPr>
          <w:sz w:val="20"/>
          <w:szCs w:val="20"/>
          <w:color w:val="auto"/>
        </w:rPr>
      </w:pPr>
      <w:r>
        <w:rPr>
          <w:rFonts w:ascii="Arial" w:cs="Arial" w:eastAsia="Arial" w:hAnsi="Arial"/>
          <w:sz w:val="18"/>
          <w:szCs w:val="18"/>
          <w:color w:val="auto"/>
        </w:rPr>
        <w:t>Date:</w:t>
        <w:tab/>
        <w:t>February 4, 2013</w:t>
      </w:r>
      <w:r>
        <w:rPr>
          <w:sz w:val="20"/>
          <w:szCs w:val="20"/>
          <w:color w:val="auto"/>
        </w:rPr>
        <w:tab/>
      </w:r>
      <w:r>
        <w:rPr>
          <w:rFonts w:ascii="Arial" w:cs="Arial" w:eastAsia="Arial" w:hAnsi="Arial"/>
          <w:sz w:val="16"/>
          <w:szCs w:val="16"/>
          <w:color w:val="auto"/>
        </w:rPr>
        <w:t>/s/ MARK CUBAN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Cuban</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6"/>
    </w:lvl>
  </w:abstractNum>
  <w:abstractNum w:abstractNumId="8">
    <w:nsid w:val="4DB127F8"/>
    <w:multiLevelType w:val="hybridMultilevel"/>
    <w:lvl w:ilvl="0">
      <w:lvlJc w:val="left"/>
      <w:lvlText w:val="(%1)"/>
      <w:numFmt w:val="lowerLetter"/>
      <w:start w:val="10"/>
    </w:lvl>
  </w:abstractNum>
  <w:abstractNum w:abstractNumId="9">
    <w:nsid w:val="216231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
    <w:nsid w:val="1F16E9E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2019-12-07T17:04:33Z</dcterms:created>
  <dcterms:modified xsi:type="dcterms:W3CDTF">2019-12-07T17:04:33Z</dcterms:modified>
</cp:coreProperties>
</file>