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Vringo,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of 1933 (the "Securities Act") and</w:t>
      </w:r>
    </w:p>
    <w:p>
      <w:pPr>
        <w:spacing w:after="0" w:line="9" w:lineRule="exact"/>
        <w:rPr>
          <w:sz w:val="24"/>
          <w:szCs w:val="24"/>
          <w:color w:val="auto"/>
        </w:rPr>
      </w:pPr>
    </w:p>
    <w:p>
      <w:pPr>
        <w:ind w:left="7760"/>
        <w:spacing w:after="0"/>
        <w:rPr>
          <w:sz w:val="20"/>
          <w:szCs w:val="20"/>
          <w:color w:val="auto"/>
        </w:rPr>
      </w:pPr>
      <w:r>
        <w:rPr>
          <w:rFonts w:ascii="Arial" w:cs="Arial" w:eastAsia="Arial" w:hAnsi="Arial"/>
          <w:sz w:val="16"/>
          <w:szCs w:val="16"/>
          <w:b w:val="1"/>
          <w:bCs w:val="1"/>
          <w:color w:val="auto"/>
        </w:rPr>
        <w:t>deemed filed pursuant to Rule 14a-12 under the</w:t>
      </w:r>
    </w:p>
    <w:p>
      <w:pPr>
        <w:spacing w:after="0" w:line="32" w:lineRule="exact"/>
        <w:rPr>
          <w:sz w:val="24"/>
          <w:szCs w:val="24"/>
          <w:color w:val="auto"/>
        </w:rPr>
      </w:pPr>
    </w:p>
    <w:p>
      <w:pPr>
        <w:ind w:left="7240"/>
        <w:spacing w:after="0"/>
        <w:rPr>
          <w:sz w:val="20"/>
          <w:szCs w:val="20"/>
          <w:color w:val="auto"/>
        </w:rPr>
      </w:pPr>
      <w:r>
        <w:rPr>
          <w:rFonts w:ascii="Arial" w:cs="Arial" w:eastAsia="Arial" w:hAnsi="Arial"/>
          <w:sz w:val="16"/>
          <w:szCs w:val="16"/>
          <w:b w:val="1"/>
          <w:bCs w:val="1"/>
          <w:color w:val="auto"/>
        </w:rPr>
        <w:t>Securities Exchange Act of 1934 (the "Exchange Act")</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File Number: 333-180609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Vringo, Inc.</w:t>
      </w:r>
    </w:p>
    <w:p>
      <w:pPr>
        <w:spacing w:after="0" w:line="9" w:lineRule="exact"/>
        <w:rPr>
          <w:sz w:val="24"/>
          <w:szCs w:val="24"/>
          <w:color w:val="auto"/>
        </w:rPr>
      </w:pPr>
    </w:p>
    <w:p>
      <w:pPr>
        <w:ind w:left="8460"/>
        <w:spacing w:after="0"/>
        <w:rPr>
          <w:sz w:val="20"/>
          <w:szCs w:val="20"/>
          <w:color w:val="auto"/>
        </w:rPr>
      </w:pPr>
      <w:r>
        <w:rPr>
          <w:rFonts w:ascii="Arial" w:cs="Arial" w:eastAsia="Arial" w:hAnsi="Arial"/>
          <w:sz w:val="16"/>
          <w:szCs w:val="16"/>
          <w:b w:val="1"/>
          <w:bCs w:val="1"/>
          <w:color w:val="auto"/>
        </w:rPr>
        <w:t>Exchange Act File Number: 001-34785</w:t>
      </w:r>
    </w:p>
    <w:p>
      <w:pPr>
        <w:spacing w:after="0" w:line="200" w:lineRule="exact"/>
        <w:rPr>
          <w:sz w:val="24"/>
          <w:szCs w:val="24"/>
          <w:color w:val="auto"/>
        </w:rPr>
      </w:pPr>
    </w:p>
    <w:p>
      <w:pPr>
        <w:spacing w:after="0" w:line="250"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 xml:space="preserve">On June 15, 2012, the Court issued a Memorandum Opinion &amp; Order, a copy of which is attached hereto, relating to the </w:t>
      </w:r>
      <w:r>
        <w:rPr>
          <w:rFonts w:ascii="Arial" w:cs="Arial" w:eastAsia="Arial" w:hAnsi="Arial"/>
          <w:sz w:val="18"/>
          <w:szCs w:val="18"/>
          <w:i w:val="1"/>
          <w:iCs w:val="1"/>
          <w:color w:val="auto"/>
        </w:rPr>
        <w:t>Markman</w:t>
      </w:r>
      <w:r>
        <w:rPr>
          <w:rFonts w:ascii="Arial" w:cs="Arial" w:eastAsia="Arial" w:hAnsi="Arial"/>
          <w:sz w:val="18"/>
          <w:szCs w:val="18"/>
          <w:color w:val="auto"/>
        </w:rPr>
        <w:t xml:space="preserve"> hearing on June 4, 2012 in connection with the lawsuit captioned </w:t>
      </w:r>
      <w:r>
        <w:rPr>
          <w:rFonts w:ascii="Arial" w:cs="Arial" w:eastAsia="Arial" w:hAnsi="Arial"/>
          <w:sz w:val="18"/>
          <w:szCs w:val="18"/>
          <w:i w:val="1"/>
          <w:iCs w:val="1"/>
          <w:color w:val="auto"/>
        </w:rPr>
        <w:t>I/P Engine, Inc. v. AOL Inc. et al.</w:t>
      </w:r>
      <w:r>
        <w:rPr>
          <w:rFonts w:ascii="Arial" w:cs="Arial" w:eastAsia="Arial" w:hAnsi="Arial"/>
          <w:sz w:val="18"/>
          <w:szCs w:val="18"/>
          <w:color w:val="auto"/>
        </w:rPr>
        <w:t>, Civ. Action No. 2:11-cv-512, filed in United States District Court for the Eastern District of Virginia, Norfolk Division on September 15, 2011.</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Set forth below is a copy of the press release of Vringo, Inc. announcing the issuance of such Memorandum Opinion &amp; Order.</w:t>
      </w:r>
    </w:p>
    <w:p>
      <w:pPr>
        <w:spacing w:after="0" w:line="200" w:lineRule="exact"/>
        <w:rPr>
          <w:sz w:val="24"/>
          <w:szCs w:val="24"/>
          <w:color w:val="auto"/>
        </w:rPr>
      </w:pPr>
    </w:p>
    <w:p>
      <w:pPr>
        <w:spacing w:after="0" w:line="237"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VRINGO ANNOUNCES MEMORANDUM OPINION &amp; ORDER ISSUED IN PROPOSED MERGER PARNTER'S PATENT INFRINGEMENT LAWSUIT</w:t>
      </w:r>
    </w:p>
    <w:p>
      <w:pPr>
        <w:spacing w:after="0" w:line="16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NEW YORK, June 18, 2012 — On June 15, 2012, the Court issued a Memorandum Opinion &amp; Order relating to the </w:t>
      </w:r>
      <w:r>
        <w:rPr>
          <w:rFonts w:ascii="Arial" w:cs="Arial" w:eastAsia="Arial" w:hAnsi="Arial"/>
          <w:sz w:val="18"/>
          <w:szCs w:val="18"/>
          <w:i w:val="1"/>
          <w:iCs w:val="1"/>
          <w:color w:val="auto"/>
        </w:rPr>
        <w:t>Markman</w:t>
      </w:r>
      <w:r>
        <w:rPr>
          <w:rFonts w:ascii="Arial" w:cs="Arial" w:eastAsia="Arial" w:hAnsi="Arial"/>
          <w:sz w:val="18"/>
          <w:szCs w:val="18"/>
          <w:color w:val="auto"/>
        </w:rPr>
        <w:t xml:space="preserve"> hearing on June 4, 2012 in connection with the lawsuit captioned </w:t>
      </w:r>
      <w:r>
        <w:rPr>
          <w:rFonts w:ascii="Arial" w:cs="Arial" w:eastAsia="Arial" w:hAnsi="Arial"/>
          <w:sz w:val="18"/>
          <w:szCs w:val="18"/>
          <w:i w:val="1"/>
          <w:iCs w:val="1"/>
          <w:color w:val="auto"/>
        </w:rPr>
        <w:t>I/P Engine, Inc. v. AOL Inc. et al.</w:t>
      </w:r>
      <w:r>
        <w:rPr>
          <w:rFonts w:ascii="Arial" w:cs="Arial" w:eastAsia="Arial" w:hAnsi="Arial"/>
          <w:sz w:val="18"/>
          <w:szCs w:val="18"/>
          <w:color w:val="auto"/>
        </w:rPr>
        <w:t>, Civ. Action No. 2:11-cv-512, filed in United States District Court for the Eastern District of Virginia, Norfolk Division on September 15, 2011.</w:t>
      </w: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I/P Engine, Inc. is a wholly-owned subsidiary of Innovate/Protect, Inc. Vringo, Inc. has entered into a definitive merger agreement with Innovate/Protect, Inc.</w:t>
      </w:r>
    </w:p>
    <w:p>
      <w:pPr>
        <w:spacing w:after="0" w:line="24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 copy of the Memorandum Opinion &amp; Order is available on the Public Access to Court Electronic Records (PACER) electronic public access service at http://www.pacer.uscourts.gov/, and will be filed by Vringo, Inc. with the U.S. Securities and Exchange Commission.</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Vringo (NYSE Amex: VRNG) is a provider of software platforms for mobile social and video applications. With its award-winning video ringtone application and other mobile software platforms, including Facetones™, Video Remix and Fan Loyalty, Vringo transforms the basic act of making and receiving mobile phone calls into a highly visual, social experience.</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Vringo has entered into a definitive merger agreement with Innovate/Protect, Inc. For more information, visit: www.vringoIP.com.</w:t>
      </w:r>
    </w:p>
    <w:p>
      <w:pPr>
        <w:spacing w:after="0" w:line="225"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Vringo's video ringtone service enables users to create or take video, images and slideshows from virtually anywhere and turn it into their visual call signature. Vringo's Facetones™ application creates an automated video slideshow using friends' photos from social media web sites, which is played each time a user communicates with a friend using a mobile device. For more information, visit: www.vringo.com and www.vringoinc.com.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Innovate/Protect, Inc.</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Innovate/Protect, Inc. is an intellectual property firm founded in 2011 whose wholly-owned subsidiary, I/P Engine, Inc. holds eight patents that were acquired from Lycos,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of Vringo, or Innovate/Protect or the solicitation of any vote or approval. In connection with the proposed transaction, Vringo filed a Registration Statement on Form S-4 with the SEC on April 6, 2012, subsequently amended on May 17, 2012, June 1, 2012 and June 12, 2012, which includes a preliminary proxy statement/prospectus of Vringo. These materials are not yet final and will be further amended. The proxy statement/prospectus contains important information about Vringo, Innovate/Protect, the transaction and related matters. Vringo will mail or otherwise deliver the proxy statement/prospectus to its stockholders and the stockholders of Innovate/Protect once it is final. Investors and security holders of Vringo and Innovate/Protect are urged to read carefully the definitive proxy statement/prospectus relating to the merger (including any amendments or supplements thereto) in its entirety when it is available, because it will contain important information about Vringo, Innovate/Protect and the proposed transaction.</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Investors and security holders of Vringo will be able to obtain free copies of the proxy statement/prospectus for the proposed merger (when it is available) and other documents filed with the SEC by Vringo through the website maintained by the SEC at www.sec.gov. In addition, investors and security holders of Vringo and Innovate/Protect will be able to obtain free copies of the proxy statement/prospectus for the proposed merger (when it is available) by contacting Vringo, Inc., Attn.: Cliff Weinstein, VP Corporate Development, at 44 W. 28th Street, New York, New York 10001, or by e-mail at cliff@vringo.com. Investors and security holders of Innovate/Protect will also be able to obtain free copies of the proxy statement/prospectus for the merger by contacting Innovate/Protect, Attn.: Chief Operating Officer, 380 Madison Avenue, 22nd Floor, New York, NY 10017, or by e-mail at info@innovateprotect.com.</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Vringo and Innovate/Protect, and their respective directors and certain of their executive officers, may be deemed to be participants in the solicitation of proxies in respect of the transactions contemplated by the agreement between Vringo and Innovate/Protect. Information regarding Vringo's directors and executive officers is contained in Vringo's Annual Report on Form 10-K for the fiscal year ended December 31, 2011, which was filed with the SEC on March 30, 2012, and in the proxy statement/prospectus. Information regarding Innovate/Protect's directors and officers and a more complete description of the interests of Vringo's directors and officers in the proposed transaction is available in the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ability to complete our previously announced proposed merger with Innovate/Protect, Inc., our ability to raise capital to fund our operations, the continued listing of our securities on the NYSE Amex, market acceptance of our products, our ability to protect our intellectual property rights, competition from other providers and products and other factors discussed from time to time in our filings with the Securities and Exchange Commission. Vringo expressly disclaims any obligation to publicly update any forward-looking statements contained herein, whether as a result of new information, future events or otherwise,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cliff@vringo.com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Caroline L. Platt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Hodges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804-788-1414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804-317-9061 (m)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cplatt@hodgespart.com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740410</wp:posOffset>
            </wp:positionV>
            <wp:extent cx="7267575" cy="7874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7874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780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7780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762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7762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32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7832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788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7788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900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790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754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7754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78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7780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57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785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32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7832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32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7832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06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7806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788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7788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40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7840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06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7806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57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785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66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7866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908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790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8020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802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74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7874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74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7874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32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7832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32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78320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2019-12-09T18:50:51Z</dcterms:created>
  <dcterms:modified xsi:type="dcterms:W3CDTF">2019-12-09T18:50:51Z</dcterms:modified>
</cp:coreProperties>
</file>