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October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880" w:space="720"/>
            <w:col w:w="3020"/>
          </w:cols>
          <w:pgMar w:left="240" w:top="715"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NY 10017</w:t>
      </w:r>
    </w:p>
    <w:p>
      <w:pPr>
        <w:jc w:val="center"/>
        <w:ind w:right="-1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1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Merger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previously announced, on August 8, 2016, FORM Holdings Corp., a Delaware corporation (“FORM”),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entered into an Agreement and Plan of Merger (the “Merger Agreement”) pursuant to which Merger Sub will merge with and into XpresSpa, with XpresSpa being the surviving entity and a wholly-owned subsidiary of FORM (the “Surviving Entity”) and the Unitholders becoming stockholders of FORM (the “Merger”). 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9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25, 2016, the Company, Merger Sub, XpresSpa and the Representative entered into Amendment No. 2 to the Merger Agreement (the “Amendment”), which clarifies certain indemnification provisions in connection with the Merger and increases the amount to be held in escrow by $2 million in connection with such right to indemnification.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attached hereto as Exhibit 2.1 and incorporated herein by reference. The Amendment has been incorporated herein by reference to provide information regarding its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2.1 Amendment No. 2 to Agreement and Plan of Merger by and among FORM Holdings Corp., FHXMS, LLC, XpresSpa Holdings, LLC and Mistral XH Representative, LLC, as representative of the unitholders, dated October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with the SEC on September 9, 2016, containing a proxy statement/prospectus. The proxy statement/prospectus contains important information about FORM, XpresSpa, the transaction and related matters. FORM will mail or otherwise deliver the proxy statement/prospectus to its stockholders and the stockholders of XpresSpa when it becomes effective.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October 25, 2016</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Andrew D. Perlman</w:t>
            </w:r>
          </w:p>
        </w:tc>
      </w:tr>
      <w:tr>
        <w:trPr>
          <w:trHeight w:val="195"/>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23"/>
        <w:spacing w:after="0" w:line="277" w:lineRule="auto"/>
        <w:rPr>
          <w:sz w:val="20"/>
          <w:szCs w:val="20"/>
          <w:color w:val="auto"/>
        </w:rPr>
      </w:pPr>
      <w:r>
        <w:rPr>
          <w:rFonts w:ascii="Arial" w:cs="Arial" w:eastAsia="Arial" w:hAnsi="Arial"/>
          <w:sz w:val="18"/>
          <w:szCs w:val="18"/>
          <w:color w:val="auto"/>
        </w:rPr>
        <w:t>2.1 Amendment No. 2 to Agreement and Plan of Merger by and among FORM Holdings Corp., FHXMS, LLC, XpresSpa Holdings, LLC and Mistral XH Representative, LLC, as representative of the unitholders, dated October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AGREEMENT AND PLAN OF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AMENDMENT NO. 2 TO AGREEMENT AND PLAN OF MERGER, dated as of October 25, 2016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Form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Holdings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FHXMS, LLC, a Delaware limited liability company and wholly-owned subsidiary of Parent (“</w:t>
      </w:r>
      <w:r>
        <w:rPr>
          <w:rFonts w:ascii="Arial" w:cs="Arial" w:eastAsia="Arial" w:hAnsi="Arial"/>
          <w:sz w:val="17"/>
          <w:szCs w:val="17"/>
          <w:u w:val="single" w:color="auto"/>
          <w:color w:val="auto"/>
        </w:rPr>
        <w:t>Merger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w:t>
      </w:r>
      <w:r>
        <w:rPr>
          <w:rFonts w:ascii="Arial" w:cs="Arial" w:eastAsia="Arial" w:hAnsi="Arial"/>
          <w:sz w:val="17"/>
          <w:szCs w:val="17"/>
          <w:color w:val="auto"/>
        </w:rPr>
        <w:t>”), XpresSpa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unitholders of the Company who are parties thereto or who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 parties thereto by executing a joinder agreement, and Mistral XH Representative, LLC, as representative of the unitholders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Unitholders’ Representative</w:t>
      </w:r>
      <w:r>
        <w:rPr>
          <w:rFonts w:ascii="Arial" w:cs="Arial" w:eastAsia="Arial" w:hAnsi="Arial"/>
          <w:sz w:val="16"/>
          <w:szCs w:val="16"/>
          <w:color w:val="auto"/>
        </w:rPr>
        <w:t>”). Each of Parent, Merger Sub, the Company and the Unitholders’ Representative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set forth in the Merger Agreement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entered into that certain Agreement and Plan of Merger, dated as of August 8, 2016, as amended by Amendment No.1</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September 8, 2016 (collectively,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agreed to amend the Merger Agreement to modify certain provisions thereof, as set forth herein.</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contained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the Parties agree as follows:</w:t>
      </w:r>
    </w:p>
    <w:p>
      <w:pPr>
        <w:spacing w:after="0" w:line="166" w:lineRule="exact"/>
        <w:rPr>
          <w:sz w:val="20"/>
          <w:szCs w:val="20"/>
          <w:color w:val="auto"/>
        </w:rPr>
      </w:pPr>
    </w:p>
    <w:p>
      <w:pPr>
        <w:ind w:right="280" w:firstLine="656"/>
        <w:spacing w:after="0" w:line="277" w:lineRule="auto"/>
        <w:tabs>
          <w:tab w:leader="none" w:pos="109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to Section 7.7(a)(i) of the Merger Agreement</w:t>
      </w:r>
      <w:r>
        <w:rPr>
          <w:rFonts w:ascii="Arial" w:cs="Arial" w:eastAsia="Arial" w:hAnsi="Arial"/>
          <w:sz w:val="18"/>
          <w:szCs w:val="18"/>
          <w:color w:val="auto"/>
        </w:rPr>
        <w:t>. Section 7.7(a)(i) of the Merger Agreement is hereby amended and restated in its entirety as follows:</w:t>
      </w:r>
    </w:p>
    <w:p>
      <w:pPr>
        <w:spacing w:after="0" w:line="166" w:lineRule="exact"/>
        <w:rPr>
          <w:sz w:val="20"/>
          <w:szCs w:val="20"/>
          <w:color w:val="auto"/>
        </w:rPr>
      </w:pPr>
    </w:p>
    <w:p>
      <w:pPr>
        <w:ind w:left="660" w:right="780" w:hanging="4"/>
        <w:spacing w:after="0" w:line="273" w:lineRule="auto"/>
        <w:tabs>
          <w:tab w:leader="none" w:pos="1145"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Parent shall deposit with the Escrow Agent for a period of 18 months (the “</w:t>
      </w:r>
      <w:r>
        <w:rPr>
          <w:rFonts w:ascii="Arial" w:cs="Arial" w:eastAsia="Arial" w:hAnsi="Arial"/>
          <w:sz w:val="17"/>
          <w:szCs w:val="17"/>
          <w:b w:val="1"/>
          <w:bCs w:val="1"/>
          <w:color w:val="auto"/>
        </w:rPr>
        <w:t>Escrow Release Date</w:t>
      </w:r>
      <w:r>
        <w:rPr>
          <w:rFonts w:ascii="Arial" w:cs="Arial" w:eastAsia="Arial" w:hAnsi="Arial"/>
          <w:sz w:val="17"/>
          <w:szCs w:val="17"/>
          <w:color w:val="auto"/>
        </w:rPr>
        <w:t xml:space="preserve">”) (or, with respect to the matters and amounts specified in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7.2(h)</w:t>
      </w:r>
      <w:r>
        <w:rPr>
          <w:rFonts w:ascii="Arial" w:cs="Arial" w:eastAsia="Arial" w:hAnsi="Arial"/>
          <w:sz w:val="17"/>
          <w:szCs w:val="17"/>
          <w:color w:val="auto"/>
        </w:rPr>
        <w:t xml:space="preserve"> of the Company Disclosure Schedule, for the time periods specified therein), shares of Parent Preferred Stock with an aggregate initial liquidation preference equal to $11,050,000, subject to reduction as provided in </w:t>
      </w:r>
      <w:r>
        <w:rPr>
          <w:rFonts w:ascii="Arial" w:cs="Arial" w:eastAsia="Arial" w:hAnsi="Arial"/>
          <w:sz w:val="17"/>
          <w:szCs w:val="17"/>
          <w:u w:val="single" w:color="auto"/>
          <w:color w:val="auto"/>
        </w:rPr>
        <w:t>Section 7.7(a)(i)</w:t>
      </w:r>
      <w:r>
        <w:rPr>
          <w:rFonts w:ascii="Arial" w:cs="Arial" w:eastAsia="Arial" w:hAnsi="Arial"/>
          <w:sz w:val="17"/>
          <w:szCs w:val="17"/>
          <w:color w:val="auto"/>
        </w:rPr>
        <w:t xml:space="preserve"> of the Company Disclosure Schedule (the “</w:t>
      </w:r>
      <w:r>
        <w:rPr>
          <w:rFonts w:ascii="Arial" w:cs="Arial" w:eastAsia="Arial" w:hAnsi="Arial"/>
          <w:sz w:val="17"/>
          <w:szCs w:val="17"/>
          <w:b w:val="1"/>
          <w:bCs w:val="1"/>
          <w:color w:val="auto"/>
        </w:rPr>
        <w:t>Indemnity Escrow Amount</w:t>
      </w:r>
      <w:r>
        <w:rPr>
          <w:rFonts w:ascii="Arial" w:cs="Arial" w:eastAsia="Arial" w:hAnsi="Arial"/>
          <w:sz w:val="17"/>
          <w:szCs w:val="17"/>
          <w:color w:val="auto"/>
        </w:rPr>
        <w:t>” and, together with any distributions or earnings thereon, the “</w:t>
      </w:r>
      <w:r>
        <w:rPr>
          <w:rFonts w:ascii="Arial" w:cs="Arial" w:eastAsia="Arial" w:hAnsi="Arial"/>
          <w:sz w:val="17"/>
          <w:szCs w:val="17"/>
          <w:b w:val="1"/>
          <w:bCs w:val="1"/>
          <w:color w:val="auto"/>
        </w:rPr>
        <w:t>Indemnity Escrow Fund</w:t>
      </w:r>
      <w:r>
        <w:rPr>
          <w:rFonts w:ascii="Arial" w:cs="Arial" w:eastAsia="Arial" w:hAnsi="Arial"/>
          <w:sz w:val="17"/>
          <w:szCs w:val="17"/>
          <w:color w:val="auto"/>
        </w:rPr>
        <w:t>”), which escrow shall be invested, held and disbursed by the Escrow Agent in accordance with the terms of this Agreement and the Escrow Agreement and shall serve as security to Parent for the Company’s representations, warranties, covenants and agreements set forth in this Agreement;</w:t>
      </w:r>
    </w:p>
    <w:p>
      <w:pPr>
        <w:spacing w:after="0" w:line="176" w:lineRule="exact"/>
        <w:rPr>
          <w:sz w:val="20"/>
          <w:szCs w:val="20"/>
          <w:color w:val="auto"/>
        </w:rPr>
      </w:pPr>
    </w:p>
    <w:p>
      <w:pPr>
        <w:ind w:right="80" w:firstLine="656"/>
        <w:spacing w:after="0" w:line="277" w:lineRule="auto"/>
        <w:tabs>
          <w:tab w:leader="none" w:pos="109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Amendment to Section 7.2(h) of the Company Disclosure Schedules</w:t>
      </w:r>
      <w:r>
        <w:rPr>
          <w:rFonts w:ascii="Arial" w:cs="Arial" w:eastAsia="Arial" w:hAnsi="Arial"/>
          <w:sz w:val="18"/>
          <w:szCs w:val="18"/>
          <w:color w:val="auto"/>
        </w:rPr>
        <w:t>. Section 7.2(h) of the Company Disclosure Schedules is hereby amended and restated as set forth on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960" w:hanging="44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Reference to and Effect in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0" w:right="360" w:firstLine="980"/>
        <w:spacing w:after="0" w:line="308" w:lineRule="auto"/>
        <w:tabs>
          <w:tab w:leader="none" w:pos="1347" w:val="left"/>
        </w:tabs>
        <w:numPr>
          <w:ilvl w:val="1"/>
          <w:numId w:val="7"/>
        </w:numPr>
        <w:rPr>
          <w:rFonts w:ascii="Arial" w:cs="Arial" w:eastAsia="Arial" w:hAnsi="Arial"/>
          <w:sz w:val="17"/>
          <w:szCs w:val="17"/>
          <w:color w:val="auto"/>
        </w:rPr>
      </w:pPr>
      <w:r>
        <w:rPr>
          <w:rFonts w:ascii="Arial" w:cs="Arial" w:eastAsia="Arial" w:hAnsi="Arial"/>
          <w:sz w:val="17"/>
          <w:szCs w:val="17"/>
          <w:color w:val="auto"/>
        </w:rPr>
        <w:t>Upon the effectiveness of this Amendment, each reference in the Merger Agreement to “this Agreement,” “hereunder,” “hereof” or words of like import referring to the Merger Agreement shall mean and be a reference to the Merger Agreement as amended hereby.</w:t>
      </w:r>
    </w:p>
    <w:p>
      <w:pPr>
        <w:spacing w:after="0" w:line="146" w:lineRule="exact"/>
        <w:rPr>
          <w:rFonts w:ascii="Arial" w:cs="Arial" w:eastAsia="Arial" w:hAnsi="Arial"/>
          <w:sz w:val="17"/>
          <w:szCs w:val="17"/>
          <w:color w:val="auto"/>
        </w:rPr>
      </w:pPr>
    </w:p>
    <w:p>
      <w:pPr>
        <w:jc w:val="both"/>
        <w:ind w:left="-140" w:right="120" w:firstLine="980"/>
        <w:spacing w:after="0" w:line="264" w:lineRule="auto"/>
        <w:tabs>
          <w:tab w:leader="none" w:pos="1357"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specifically amended herein, the Merger Agreement shall continue to be in full force and effect and is hereby in all respects ratified and confirmed, and the execution, delivery and effectiveness of this Amendment shall not operate as a waiver of any right, power or remedy of any party under the Merger Agreement.</w:t>
      </w:r>
    </w:p>
    <w:p>
      <w:pPr>
        <w:spacing w:after="0" w:line="181" w:lineRule="exact"/>
        <w:rPr>
          <w:rFonts w:ascii="Arial" w:cs="Arial" w:eastAsia="Arial" w:hAnsi="Arial"/>
          <w:sz w:val="18"/>
          <w:szCs w:val="18"/>
          <w:color w:val="auto"/>
        </w:rPr>
      </w:pPr>
    </w:p>
    <w:p>
      <w:pPr>
        <w:ind w:left="-140" w:firstLine="656"/>
        <w:spacing w:after="0" w:line="264" w:lineRule="auto"/>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w:t>
      </w:r>
    </w:p>
    <w:p>
      <w:pPr>
        <w:spacing w:after="0" w:line="181" w:lineRule="exact"/>
        <w:rPr>
          <w:rFonts w:ascii="Arial" w:cs="Arial" w:eastAsia="Arial" w:hAnsi="Arial"/>
          <w:sz w:val="18"/>
          <w:szCs w:val="18"/>
          <w:color w:val="auto"/>
        </w:rPr>
      </w:pPr>
    </w:p>
    <w:p>
      <w:pPr>
        <w:ind w:left="-140" w:right="200" w:firstLine="656"/>
        <w:spacing w:after="0" w:line="277" w:lineRule="auto"/>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made in and in all respects shall be interpreted, construed and governed by and in accordance with the law of the State of Delaware without regard to the conflicts of law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80" w:top="908" w:right="35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No. 2 to Agreement and Plan of Merger to be executed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FORM HOLDINGS CORP.</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FHXMS, LLC</w:t>
      </w:r>
    </w:p>
    <w:p>
      <w:pPr>
        <w:spacing w:after="0" w:line="225"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FORM Holdings Corp, its sole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MISTRAL XH REPRESENTATIVE, LLC, as Unitholders’ Representative</w:t>
      </w:r>
    </w:p>
    <w:p>
      <w:pPr>
        <w:spacing w:after="0" w:line="237"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2019-12-08T14:21:27Z</dcterms:created>
  <dcterms:modified xsi:type="dcterms:W3CDTF">2019-12-08T14:21:27Z</dcterms:modified>
</cp:coreProperties>
</file>