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(Amendment No. 1 )*</w:t>
      </w:r>
    </w:p>
    <w:p>
      <w:pPr>
        <w:spacing w:after="0" w:line="1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Vringo,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3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4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4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92911N104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(CUSIP Number)</w:t>
      </w:r>
    </w:p>
    <w:p>
      <w:pPr>
        <w:spacing w:after="0" w:line="24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June 22,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7" w:lineRule="exact"/>
        <w:rPr>
          <w:sz w:val="24"/>
          <w:szCs w:val="24"/>
          <w:color w:val="auto"/>
        </w:rPr>
      </w:pPr>
    </w:p>
    <w:p>
      <w:pPr>
        <w:ind w:left="1120" w:hanging="596"/>
        <w:spacing w:after="0"/>
        <w:tabs>
          <w:tab w:leader="none" w:pos="1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13d-1(b)</w:t>
      </w:r>
    </w:p>
    <w:p>
      <w:pPr>
        <w:spacing w:after="0" w:line="206" w:lineRule="exact"/>
        <w:rPr>
          <w:rFonts w:ascii="Times New Roman" w:cs="Times New Roman" w:eastAsia="Times New Roman" w:hAnsi="Times New Roman"/>
          <w:sz w:val="18"/>
          <w:szCs w:val="18"/>
          <w:color w:val="auto"/>
        </w:rPr>
      </w:pPr>
    </w:p>
    <w:p>
      <w:pPr>
        <w:ind w:left="1120" w:hanging="596"/>
        <w:spacing w:after="0"/>
        <w:tabs>
          <w:tab w:leader="none" w:pos="1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13d-1(c)</w:t>
      </w:r>
    </w:p>
    <w:p>
      <w:pPr>
        <w:spacing w:after="0" w:line="225"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xRule 13d-1(d)</w:t>
      </w:r>
    </w:p>
    <w:p>
      <w:pPr>
        <w:spacing w:after="0" w:line="225"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313" w:lineRule="auto"/>
        <w:rPr>
          <w:sz w:val="20"/>
          <w:szCs w:val="20"/>
          <w:color w:val="auto"/>
        </w:rPr>
      </w:pPr>
      <w:r>
        <w:rPr>
          <w:rFonts w:ascii="Times New Roman" w:cs="Times New Roman" w:eastAsia="Times New Roman" w:hAnsi="Times New Roman"/>
          <w:sz w:val="17"/>
          <w:szCs w:val="17"/>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663575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684"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1"/>
        </w:trPr>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 92911N104</w:t>
            </w:r>
          </w:p>
        </w:tc>
        <w:tc>
          <w:tcPr>
            <w:tcW w:w="778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8"/>
                <w:szCs w:val="18"/>
                <w:color w:val="auto"/>
              </w:rPr>
              <w:t>13G</w:t>
            </w:r>
          </w:p>
        </w:tc>
      </w:tr>
    </w:tbl>
    <w:p>
      <w:pPr>
        <w:spacing w:after="0" w:line="198" w:lineRule="exact"/>
        <w:rPr>
          <w:sz w:val="20"/>
          <w:szCs w:val="20"/>
          <w:color w:val="auto"/>
        </w:rPr>
      </w:pPr>
    </w:p>
    <w:p>
      <w:pPr>
        <w:ind w:left="1000" w:hanging="627"/>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7" w:lineRule="exact"/>
        <w:rPr>
          <w:rFonts w:ascii="Times New Roman" w:cs="Times New Roman" w:eastAsia="Times New Roman" w:hAnsi="Times New Roman"/>
          <w:sz w:val="18"/>
          <w:szCs w:val="18"/>
          <w:color w:val="auto"/>
        </w:rPr>
      </w:pPr>
    </w:p>
    <w:p>
      <w:pPr>
        <w:ind w:left="1000" w:right="63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 (Entities Only) Warburg Pincus Private Equity IX, L.P.</w:t>
      </w: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#20-2976029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5715</wp:posOffset>
            </wp:positionV>
            <wp:extent cx="662051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20510" cy="17145"/>
                    </a:xfrm>
                    <a:prstGeom prst="rect">
                      <a:avLst/>
                    </a:prstGeom>
                    <a:noFill/>
                  </pic:spPr>
                </pic:pic>
              </a:graphicData>
            </a:graphic>
          </wp:anchor>
        </w:drawing>
      </w:r>
    </w:p>
    <w:p>
      <w:pPr>
        <w:spacing w:after="0" w:line="214" w:lineRule="exact"/>
        <w:rPr>
          <w:sz w:val="20"/>
          <w:szCs w:val="20"/>
          <w:color w:val="auto"/>
        </w:rPr>
      </w:pPr>
    </w:p>
    <w:p>
      <w:pPr>
        <w:ind w:left="1000" w:hanging="62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rFonts w:ascii="Times New Roman" w:cs="Times New Roman" w:eastAsia="Times New Roman" w:hAnsi="Times New Roman"/>
          <w:sz w:val="18"/>
          <w:szCs w:val="18"/>
          <w:color w:val="auto"/>
        </w:rPr>
      </w:pPr>
    </w:p>
    <w:p>
      <w:pPr>
        <w:ind w:left="1720" w:hanging="726"/>
        <w:spacing w:after="0"/>
        <w:tabs>
          <w:tab w:leader="none" w:pos="17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22" w:lineRule="exact"/>
        <w:rPr>
          <w:rFonts w:ascii="Times New Roman" w:cs="Times New Roman" w:eastAsia="Times New Roman" w:hAnsi="Times New Roman"/>
          <w:sz w:val="18"/>
          <w:szCs w:val="18"/>
          <w:color w:val="auto"/>
        </w:rPr>
      </w:pPr>
    </w:p>
    <w:p>
      <w:pPr>
        <w:ind w:left="1720" w:hanging="726"/>
        <w:spacing w:after="0"/>
        <w:tabs>
          <w:tab w:leader="none" w:pos="17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-139065</wp:posOffset>
            </wp:positionV>
            <wp:extent cx="615759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57595" cy="1714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14605</wp:posOffset>
            </wp:positionV>
            <wp:extent cx="615759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57595" cy="17145"/>
                    </a:xfrm>
                    <a:prstGeom prst="rect">
                      <a:avLst/>
                    </a:prstGeom>
                    <a:noFill/>
                  </pic:spPr>
                </pic:pic>
              </a:graphicData>
            </a:graphic>
          </wp:anchor>
        </w:drawing>
      </w:r>
    </w:p>
    <w:p>
      <w:pPr>
        <w:spacing w:after="0" w:line="227" w:lineRule="exact"/>
        <w:rPr>
          <w:sz w:val="20"/>
          <w:szCs w:val="20"/>
          <w:color w:val="auto"/>
        </w:rPr>
      </w:pPr>
    </w:p>
    <w:p>
      <w:pPr>
        <w:ind w:left="1000" w:hanging="627"/>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17145</wp:posOffset>
            </wp:positionV>
            <wp:extent cx="66205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20510" cy="17145"/>
                    </a:xfrm>
                    <a:prstGeom prst="rect">
                      <a:avLst/>
                    </a:prstGeom>
                    <a:noFill/>
                  </pic:spPr>
                </pic:pic>
              </a:graphicData>
            </a:graphic>
          </wp:anchor>
        </w:drawing>
      </w:r>
    </w:p>
    <w:p>
      <w:pPr>
        <w:spacing w:after="0" w:line="232" w:lineRule="exact"/>
        <w:rPr>
          <w:sz w:val="20"/>
          <w:szCs w:val="20"/>
          <w:color w:val="auto"/>
        </w:rPr>
      </w:pPr>
    </w:p>
    <w:p>
      <w:pPr>
        <w:ind w:left="1000" w:right="7800" w:hanging="627"/>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-22225</wp:posOffset>
            </wp:positionV>
            <wp:extent cx="66205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20510" cy="17145"/>
                    </a:xfrm>
                    <a:prstGeom prst="rect">
                      <a:avLst/>
                    </a:prstGeom>
                    <a:noFill/>
                  </pic:spPr>
                </pic:pic>
              </a:graphicData>
            </a:graphic>
          </wp:anchor>
        </w:drawing>
      </w:r>
    </w:p>
    <w:p>
      <w:pPr>
        <w:sectPr>
          <w:pgSz w:w="11900" w:h="16838" w:orient="portrait"/>
          <w:cols w:equalWidth="0" w:num="1">
            <w:col w:w="11420"/>
          </w:cols>
          <w:pgMar w:left="240" w:top="1215" w:right="239" w:bottom="1440" w:gutter="0" w:footer="0" w:header="0"/>
        </w:sectPr>
      </w:pP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w:t>
      </w:r>
    </w:p>
    <w:p>
      <w:pPr>
        <w:spacing w:after="0" w:line="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Shares 6 Beneficially Owned by</w:t>
      </w:r>
    </w:p>
    <w:p>
      <w:pPr>
        <w:spacing w:after="0" w:line="191"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6"/>
          <w:szCs w:val="16"/>
          <w:color w:val="auto"/>
        </w:rPr>
        <w:t>Each</w:t>
      </w:r>
      <w:r>
        <w:rPr>
          <w:sz w:val="20"/>
          <w:szCs w:val="20"/>
          <w:color w:val="auto"/>
        </w:rPr>
        <w:tab/>
      </w:r>
      <w:r>
        <w:rPr>
          <w:rFonts w:ascii="Times New Roman" w:cs="Times New Roman" w:eastAsia="Times New Roman" w:hAnsi="Times New Roman"/>
          <w:sz w:val="16"/>
          <w:szCs w:val="16"/>
          <w:color w:val="auto"/>
        </w:rPr>
        <w:t>7</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With:</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Voting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84898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48985"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Shared Voting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84898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48985"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Dispositive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84898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48985" cy="17145"/>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2">
            <w:col w:w="1700" w:space="500"/>
            <w:col w:w="9220"/>
          </w:cols>
          <w:pgMar w:left="240" w:top="1215" w:right="239" w:bottom="1440" w:gutter="0" w:footer="0" w:header="0"/>
          <w:type w:val="continuous"/>
        </w:sectPr>
      </w:pPr>
    </w:p>
    <w:p>
      <w:pPr>
        <w:ind w:left="2200" w:right="7340" w:hanging="585"/>
        <w:spacing w:after="0" w:line="282" w:lineRule="auto"/>
        <w:tabs>
          <w:tab w:leader="none" w:pos="2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-22225</wp:posOffset>
            </wp:positionV>
            <wp:extent cx="584898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48985" cy="17145"/>
                    </a:xfrm>
                    <a:prstGeom prst="rect">
                      <a:avLst/>
                    </a:prstGeom>
                    <a:noFill/>
                  </pic:spPr>
                </pic:pic>
              </a:graphicData>
            </a:graphic>
          </wp:anchor>
        </w:drawing>
      </w:r>
    </w:p>
    <w:p>
      <w:pPr>
        <w:spacing w:after="0" w:line="169" w:lineRule="exact"/>
        <w:rPr>
          <w:sz w:val="20"/>
          <w:szCs w:val="20"/>
          <w:color w:val="auto"/>
        </w:rPr>
      </w:pPr>
    </w:p>
    <w:p>
      <w:pPr>
        <w:ind w:left="1000" w:right="5620" w:hanging="62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-22225</wp:posOffset>
            </wp:positionV>
            <wp:extent cx="662051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20510" cy="17145"/>
                    </a:xfrm>
                    <a:prstGeom prst="rect">
                      <a:avLst/>
                    </a:prstGeom>
                    <a:noFill/>
                  </pic:spPr>
                </pic:pic>
              </a:graphicData>
            </a:graphic>
          </wp:anchor>
        </w:drawing>
      </w:r>
    </w:p>
    <w:p>
      <w:pPr>
        <w:spacing w:after="0" w:line="169" w:lineRule="exact"/>
        <w:rPr>
          <w:sz w:val="20"/>
          <w:szCs w:val="20"/>
          <w:color w:val="auto"/>
        </w:rPr>
      </w:pPr>
    </w:p>
    <w:p>
      <w:pPr>
        <w:ind w:left="1000" w:right="5060" w:hanging="627"/>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N/A</w:t>
      </w:r>
    </w:p>
    <w:p>
      <w:pPr>
        <w:spacing w:after="0" w:line="188" w:lineRule="exact"/>
        <w:rPr>
          <w:rFonts w:ascii="Times New Roman" w:cs="Times New Roman" w:eastAsia="Times New Roman" w:hAnsi="Times New Roman"/>
          <w:sz w:val="18"/>
          <w:szCs w:val="18"/>
          <w:color w:val="auto"/>
        </w:rPr>
      </w:pPr>
    </w:p>
    <w:p>
      <w:pPr>
        <w:ind w:left="1000" w:right="6760" w:hanging="627"/>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0.0%</w:t>
      </w:r>
    </w:p>
    <w:p>
      <w:pPr>
        <w:spacing w:after="0" w:line="188" w:lineRule="exact"/>
        <w:rPr>
          <w:rFonts w:ascii="Times New Roman" w:cs="Times New Roman" w:eastAsia="Times New Roman" w:hAnsi="Times New Roman"/>
          <w:sz w:val="18"/>
          <w:szCs w:val="18"/>
          <w:color w:val="auto"/>
        </w:rPr>
      </w:pPr>
    </w:p>
    <w:p>
      <w:pPr>
        <w:ind w:left="1000" w:hanging="62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-850900</wp:posOffset>
            </wp:positionV>
            <wp:extent cx="662051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20510" cy="1714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-422275</wp:posOffset>
            </wp:positionV>
            <wp:extent cx="662051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20510" cy="1714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5715</wp:posOffset>
            </wp:positionV>
            <wp:extent cx="662051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20510" cy="17145"/>
                    </a:xfrm>
                    <a:prstGeom prst="rect">
                      <a:avLst/>
                    </a:prstGeom>
                    <a:noFill/>
                  </pic:spPr>
                </pic:pic>
              </a:graphicData>
            </a:graphic>
          </wp:anchor>
        </w:drawing>
      </w:r>
    </w:p>
    <w:p>
      <w:pPr>
        <w:spacing w:after="0" w:line="2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*SEE INSTRUCTION BEFORE FILLING OUT!</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167640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5"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41"/>
        </w:trPr>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 92911N104</w:t>
            </w:r>
          </w:p>
        </w:tc>
        <w:tc>
          <w:tcPr>
            <w:tcW w:w="778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8"/>
                <w:szCs w:val="18"/>
                <w:color w:val="auto"/>
              </w:rPr>
              <w:t>13G</w:t>
            </w:r>
          </w:p>
        </w:tc>
      </w:tr>
    </w:tbl>
    <w:p>
      <w:pPr>
        <w:spacing w:after="0" w:line="198" w:lineRule="exact"/>
        <w:rPr>
          <w:sz w:val="20"/>
          <w:szCs w:val="20"/>
          <w:color w:val="auto"/>
        </w:rPr>
      </w:pPr>
    </w:p>
    <w:p>
      <w:pPr>
        <w:ind w:left="1000" w:hanging="62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7" w:lineRule="exact"/>
        <w:rPr>
          <w:rFonts w:ascii="Times New Roman" w:cs="Times New Roman" w:eastAsia="Times New Roman" w:hAnsi="Times New Roman"/>
          <w:sz w:val="18"/>
          <w:szCs w:val="18"/>
          <w:color w:val="auto"/>
        </w:rPr>
      </w:pPr>
    </w:p>
    <w:p>
      <w:pPr>
        <w:ind w:left="1000" w:right="63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 (Entities Only) Warburg Pincus IX, LLC</w:t>
      </w: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#20-2975945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5715</wp:posOffset>
            </wp:positionV>
            <wp:extent cx="662051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20510" cy="17145"/>
                    </a:xfrm>
                    <a:prstGeom prst="rect">
                      <a:avLst/>
                    </a:prstGeom>
                    <a:noFill/>
                  </pic:spPr>
                </pic:pic>
              </a:graphicData>
            </a:graphic>
          </wp:anchor>
        </w:drawing>
      </w:r>
    </w:p>
    <w:p>
      <w:pPr>
        <w:spacing w:after="0" w:line="214" w:lineRule="exact"/>
        <w:rPr>
          <w:sz w:val="20"/>
          <w:szCs w:val="20"/>
          <w:color w:val="auto"/>
        </w:rPr>
      </w:pPr>
    </w:p>
    <w:p>
      <w:pPr>
        <w:ind w:left="1000" w:hanging="627"/>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rFonts w:ascii="Times New Roman" w:cs="Times New Roman" w:eastAsia="Times New Roman" w:hAnsi="Times New Roman"/>
          <w:sz w:val="18"/>
          <w:szCs w:val="18"/>
          <w:color w:val="auto"/>
        </w:rPr>
      </w:pPr>
    </w:p>
    <w:p>
      <w:pPr>
        <w:ind w:left="1720" w:hanging="726"/>
        <w:spacing w:after="0"/>
        <w:tabs>
          <w:tab w:leader="none" w:pos="17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22" w:lineRule="exact"/>
        <w:rPr>
          <w:rFonts w:ascii="Times New Roman" w:cs="Times New Roman" w:eastAsia="Times New Roman" w:hAnsi="Times New Roman"/>
          <w:sz w:val="18"/>
          <w:szCs w:val="18"/>
          <w:color w:val="auto"/>
        </w:rPr>
      </w:pPr>
    </w:p>
    <w:p>
      <w:pPr>
        <w:ind w:left="1720" w:hanging="726"/>
        <w:spacing w:after="0"/>
        <w:tabs>
          <w:tab w:leader="none" w:pos="17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-139065</wp:posOffset>
            </wp:positionV>
            <wp:extent cx="615759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57595" cy="1714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14605</wp:posOffset>
            </wp:positionV>
            <wp:extent cx="615759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57595" cy="17145"/>
                    </a:xfrm>
                    <a:prstGeom prst="rect">
                      <a:avLst/>
                    </a:prstGeom>
                    <a:noFill/>
                  </pic:spPr>
                </pic:pic>
              </a:graphicData>
            </a:graphic>
          </wp:anchor>
        </w:drawing>
      </w:r>
    </w:p>
    <w:p>
      <w:pPr>
        <w:spacing w:after="0" w:line="227" w:lineRule="exact"/>
        <w:rPr>
          <w:sz w:val="20"/>
          <w:szCs w:val="20"/>
          <w:color w:val="auto"/>
        </w:rPr>
      </w:pPr>
    </w:p>
    <w:p>
      <w:pPr>
        <w:ind w:left="1000" w:hanging="627"/>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17145</wp:posOffset>
            </wp:positionV>
            <wp:extent cx="662051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20510" cy="17145"/>
                    </a:xfrm>
                    <a:prstGeom prst="rect">
                      <a:avLst/>
                    </a:prstGeom>
                    <a:noFill/>
                  </pic:spPr>
                </pic:pic>
              </a:graphicData>
            </a:graphic>
          </wp:anchor>
        </w:drawing>
      </w:r>
    </w:p>
    <w:p>
      <w:pPr>
        <w:spacing w:after="0" w:line="232" w:lineRule="exact"/>
        <w:rPr>
          <w:sz w:val="20"/>
          <w:szCs w:val="20"/>
          <w:color w:val="auto"/>
        </w:rPr>
      </w:pPr>
    </w:p>
    <w:p>
      <w:pPr>
        <w:ind w:left="1000" w:right="7800" w:hanging="627"/>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-22225</wp:posOffset>
            </wp:positionV>
            <wp:extent cx="662051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2051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w:t>
      </w:r>
    </w:p>
    <w:p>
      <w:pPr>
        <w:spacing w:after="0" w:line="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Shares 6 Beneficially Owned by</w:t>
      </w:r>
    </w:p>
    <w:p>
      <w:pPr>
        <w:spacing w:after="0" w:line="191"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6"/>
          <w:szCs w:val="16"/>
          <w:color w:val="auto"/>
        </w:rPr>
        <w:t>Each</w:t>
      </w:r>
      <w:r>
        <w:rPr>
          <w:sz w:val="20"/>
          <w:szCs w:val="20"/>
          <w:color w:val="auto"/>
        </w:rPr>
        <w:tab/>
      </w:r>
      <w:r>
        <w:rPr>
          <w:rFonts w:ascii="Times New Roman" w:cs="Times New Roman" w:eastAsia="Times New Roman" w:hAnsi="Times New Roman"/>
          <w:sz w:val="16"/>
          <w:szCs w:val="16"/>
          <w:color w:val="auto"/>
        </w:rPr>
        <w:t>7</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With:</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Voting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84898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48985"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Shared Voting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84898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48985"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Dispositive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84898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48985" cy="17145"/>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2">
            <w:col w:w="1700" w:space="500"/>
            <w:col w:w="9220"/>
          </w:cols>
          <w:pgMar w:left="240" w:top="513" w:right="239" w:bottom="1440" w:gutter="0" w:footer="0" w:header="0"/>
          <w:type w:val="continuous"/>
        </w:sectPr>
      </w:pPr>
    </w:p>
    <w:p>
      <w:pPr>
        <w:ind w:left="2200" w:right="7340" w:hanging="585"/>
        <w:spacing w:after="0" w:line="282" w:lineRule="auto"/>
        <w:tabs>
          <w:tab w:leader="none" w:pos="2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-22225</wp:posOffset>
            </wp:positionV>
            <wp:extent cx="584898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48985" cy="17145"/>
                    </a:xfrm>
                    <a:prstGeom prst="rect">
                      <a:avLst/>
                    </a:prstGeom>
                    <a:noFill/>
                  </pic:spPr>
                </pic:pic>
              </a:graphicData>
            </a:graphic>
          </wp:anchor>
        </w:drawing>
      </w:r>
    </w:p>
    <w:p>
      <w:pPr>
        <w:spacing w:after="0" w:line="169" w:lineRule="exact"/>
        <w:rPr>
          <w:sz w:val="20"/>
          <w:szCs w:val="20"/>
          <w:color w:val="auto"/>
        </w:rPr>
      </w:pPr>
    </w:p>
    <w:p>
      <w:pPr>
        <w:ind w:left="1000" w:right="5620" w:hanging="627"/>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-22225</wp:posOffset>
            </wp:positionV>
            <wp:extent cx="662051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20510" cy="17145"/>
                    </a:xfrm>
                    <a:prstGeom prst="rect">
                      <a:avLst/>
                    </a:prstGeom>
                    <a:noFill/>
                  </pic:spPr>
                </pic:pic>
              </a:graphicData>
            </a:graphic>
          </wp:anchor>
        </w:drawing>
      </w:r>
    </w:p>
    <w:p>
      <w:pPr>
        <w:spacing w:after="0" w:line="169" w:lineRule="exact"/>
        <w:rPr>
          <w:sz w:val="20"/>
          <w:szCs w:val="20"/>
          <w:color w:val="auto"/>
        </w:rPr>
      </w:pPr>
    </w:p>
    <w:p>
      <w:pPr>
        <w:ind w:left="1000" w:right="5060" w:hanging="627"/>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N/A</w:t>
      </w:r>
    </w:p>
    <w:p>
      <w:pPr>
        <w:spacing w:after="0" w:line="188" w:lineRule="exact"/>
        <w:rPr>
          <w:rFonts w:ascii="Times New Roman" w:cs="Times New Roman" w:eastAsia="Times New Roman" w:hAnsi="Times New Roman"/>
          <w:sz w:val="18"/>
          <w:szCs w:val="18"/>
          <w:color w:val="auto"/>
        </w:rPr>
      </w:pPr>
    </w:p>
    <w:p>
      <w:pPr>
        <w:ind w:left="1000" w:right="6760" w:hanging="627"/>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0.0%</w:t>
      </w:r>
    </w:p>
    <w:p>
      <w:pPr>
        <w:spacing w:after="0" w:line="188" w:lineRule="exact"/>
        <w:rPr>
          <w:rFonts w:ascii="Times New Roman" w:cs="Times New Roman" w:eastAsia="Times New Roman" w:hAnsi="Times New Roman"/>
          <w:sz w:val="18"/>
          <w:szCs w:val="18"/>
          <w:color w:val="auto"/>
        </w:rPr>
      </w:pPr>
    </w:p>
    <w:p>
      <w:pPr>
        <w:ind w:left="1000" w:hanging="627"/>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-850900</wp:posOffset>
            </wp:positionV>
            <wp:extent cx="662051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20510" cy="1714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-422275</wp:posOffset>
            </wp:positionV>
            <wp:extent cx="662051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20510" cy="1714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5715</wp:posOffset>
            </wp:positionV>
            <wp:extent cx="662051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20510" cy="17145"/>
                    </a:xfrm>
                    <a:prstGeom prst="rect">
                      <a:avLst/>
                    </a:prstGeom>
                    <a:noFill/>
                  </pic:spPr>
                </pic:pic>
              </a:graphicData>
            </a:graphic>
          </wp:anchor>
        </w:drawing>
      </w: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*SEE INSTRUCTION BEFORE FILLING OUT!</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167640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41"/>
        </w:trPr>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 92911N104</w:t>
            </w:r>
          </w:p>
        </w:tc>
        <w:tc>
          <w:tcPr>
            <w:tcW w:w="778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8"/>
                <w:szCs w:val="18"/>
                <w:color w:val="auto"/>
              </w:rPr>
              <w:t>13G</w:t>
            </w:r>
          </w:p>
        </w:tc>
      </w:tr>
    </w:tbl>
    <w:p>
      <w:pPr>
        <w:spacing w:after="0" w:line="198" w:lineRule="exact"/>
        <w:rPr>
          <w:sz w:val="20"/>
          <w:szCs w:val="20"/>
          <w:color w:val="auto"/>
        </w:rPr>
      </w:pPr>
    </w:p>
    <w:p>
      <w:pPr>
        <w:ind w:left="1000" w:hanging="627"/>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7" w:lineRule="exact"/>
        <w:rPr>
          <w:rFonts w:ascii="Times New Roman" w:cs="Times New Roman" w:eastAsia="Times New Roman" w:hAnsi="Times New Roman"/>
          <w:sz w:val="18"/>
          <w:szCs w:val="18"/>
          <w:color w:val="auto"/>
        </w:rPr>
      </w:pPr>
    </w:p>
    <w:p>
      <w:pPr>
        <w:ind w:left="1000" w:right="63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 (Entities Only) Warburg Pincus &amp; Co.</w:t>
      </w: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#13-6358475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5715</wp:posOffset>
            </wp:positionV>
            <wp:extent cx="662051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20510" cy="17145"/>
                    </a:xfrm>
                    <a:prstGeom prst="rect">
                      <a:avLst/>
                    </a:prstGeom>
                    <a:noFill/>
                  </pic:spPr>
                </pic:pic>
              </a:graphicData>
            </a:graphic>
          </wp:anchor>
        </w:drawing>
      </w:r>
    </w:p>
    <w:p>
      <w:pPr>
        <w:spacing w:after="0" w:line="214" w:lineRule="exact"/>
        <w:rPr>
          <w:sz w:val="20"/>
          <w:szCs w:val="20"/>
          <w:color w:val="auto"/>
        </w:rPr>
      </w:pPr>
    </w:p>
    <w:p>
      <w:pPr>
        <w:ind w:left="1000" w:hanging="62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rFonts w:ascii="Times New Roman" w:cs="Times New Roman" w:eastAsia="Times New Roman" w:hAnsi="Times New Roman"/>
          <w:sz w:val="18"/>
          <w:szCs w:val="18"/>
          <w:color w:val="auto"/>
        </w:rPr>
      </w:pPr>
    </w:p>
    <w:p>
      <w:pPr>
        <w:ind w:left="1720" w:hanging="726"/>
        <w:spacing w:after="0"/>
        <w:tabs>
          <w:tab w:leader="none" w:pos="17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22" w:lineRule="exact"/>
        <w:rPr>
          <w:rFonts w:ascii="Times New Roman" w:cs="Times New Roman" w:eastAsia="Times New Roman" w:hAnsi="Times New Roman"/>
          <w:sz w:val="18"/>
          <w:szCs w:val="18"/>
          <w:color w:val="auto"/>
        </w:rPr>
      </w:pPr>
    </w:p>
    <w:p>
      <w:pPr>
        <w:ind w:left="1720" w:hanging="726"/>
        <w:spacing w:after="0"/>
        <w:tabs>
          <w:tab w:leader="none" w:pos="17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-139065</wp:posOffset>
            </wp:positionV>
            <wp:extent cx="615759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57595" cy="1714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14605</wp:posOffset>
            </wp:positionV>
            <wp:extent cx="615759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57595" cy="17145"/>
                    </a:xfrm>
                    <a:prstGeom prst="rect">
                      <a:avLst/>
                    </a:prstGeom>
                    <a:noFill/>
                  </pic:spPr>
                </pic:pic>
              </a:graphicData>
            </a:graphic>
          </wp:anchor>
        </w:drawing>
      </w:r>
    </w:p>
    <w:p>
      <w:pPr>
        <w:spacing w:after="0" w:line="227" w:lineRule="exact"/>
        <w:rPr>
          <w:sz w:val="20"/>
          <w:szCs w:val="20"/>
          <w:color w:val="auto"/>
        </w:rPr>
      </w:pPr>
    </w:p>
    <w:p>
      <w:pPr>
        <w:ind w:left="1000" w:hanging="62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17145</wp:posOffset>
            </wp:positionV>
            <wp:extent cx="662051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20510" cy="17145"/>
                    </a:xfrm>
                    <a:prstGeom prst="rect">
                      <a:avLst/>
                    </a:prstGeom>
                    <a:noFill/>
                  </pic:spPr>
                </pic:pic>
              </a:graphicData>
            </a:graphic>
          </wp:anchor>
        </w:drawing>
      </w:r>
    </w:p>
    <w:p>
      <w:pPr>
        <w:spacing w:after="0" w:line="232" w:lineRule="exact"/>
        <w:rPr>
          <w:sz w:val="20"/>
          <w:szCs w:val="20"/>
          <w:color w:val="auto"/>
        </w:rPr>
      </w:pPr>
    </w:p>
    <w:p>
      <w:pPr>
        <w:ind w:left="1000" w:right="7800" w:hanging="627"/>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-22225</wp:posOffset>
            </wp:positionV>
            <wp:extent cx="662051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2051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w:t>
      </w:r>
    </w:p>
    <w:p>
      <w:pPr>
        <w:spacing w:after="0" w:line="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Shares 6 Beneficially Owned by</w:t>
      </w:r>
    </w:p>
    <w:p>
      <w:pPr>
        <w:spacing w:after="0" w:line="191"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6"/>
          <w:szCs w:val="16"/>
          <w:color w:val="auto"/>
        </w:rPr>
        <w:t>Each</w:t>
      </w:r>
      <w:r>
        <w:rPr>
          <w:sz w:val="20"/>
          <w:szCs w:val="20"/>
          <w:color w:val="auto"/>
        </w:rPr>
        <w:tab/>
      </w:r>
      <w:r>
        <w:rPr>
          <w:rFonts w:ascii="Times New Roman" w:cs="Times New Roman" w:eastAsia="Times New Roman" w:hAnsi="Times New Roman"/>
          <w:sz w:val="16"/>
          <w:szCs w:val="16"/>
          <w:color w:val="auto"/>
        </w:rPr>
        <w:t>7</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With:</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Voting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84898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48985"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Shared Voting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84898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48985"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Dispositive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84898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48985" cy="17145"/>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2">
            <w:col w:w="1700" w:space="500"/>
            <w:col w:w="9220"/>
          </w:cols>
          <w:pgMar w:left="240" w:top="513" w:right="239" w:bottom="1440" w:gutter="0" w:footer="0" w:header="0"/>
          <w:type w:val="continuous"/>
        </w:sectPr>
      </w:pPr>
    </w:p>
    <w:p>
      <w:pPr>
        <w:ind w:left="2200" w:right="7340" w:hanging="585"/>
        <w:spacing w:after="0" w:line="282" w:lineRule="auto"/>
        <w:tabs>
          <w:tab w:leader="none" w:pos="22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-22225</wp:posOffset>
            </wp:positionV>
            <wp:extent cx="584898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48985" cy="17145"/>
                    </a:xfrm>
                    <a:prstGeom prst="rect">
                      <a:avLst/>
                    </a:prstGeom>
                    <a:noFill/>
                  </pic:spPr>
                </pic:pic>
              </a:graphicData>
            </a:graphic>
          </wp:anchor>
        </w:drawing>
      </w:r>
    </w:p>
    <w:p>
      <w:pPr>
        <w:spacing w:after="0" w:line="169" w:lineRule="exact"/>
        <w:rPr>
          <w:sz w:val="20"/>
          <w:szCs w:val="20"/>
          <w:color w:val="auto"/>
        </w:rPr>
      </w:pPr>
    </w:p>
    <w:p>
      <w:pPr>
        <w:ind w:left="1000" w:right="5620" w:hanging="627"/>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-22225</wp:posOffset>
            </wp:positionV>
            <wp:extent cx="662051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20510" cy="17145"/>
                    </a:xfrm>
                    <a:prstGeom prst="rect">
                      <a:avLst/>
                    </a:prstGeom>
                    <a:noFill/>
                  </pic:spPr>
                </pic:pic>
              </a:graphicData>
            </a:graphic>
          </wp:anchor>
        </w:drawing>
      </w:r>
    </w:p>
    <w:p>
      <w:pPr>
        <w:spacing w:after="0" w:line="169" w:lineRule="exact"/>
        <w:rPr>
          <w:sz w:val="20"/>
          <w:szCs w:val="20"/>
          <w:color w:val="auto"/>
        </w:rPr>
      </w:pPr>
    </w:p>
    <w:p>
      <w:pPr>
        <w:ind w:left="1000" w:right="5060" w:hanging="627"/>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N/A</w:t>
      </w:r>
    </w:p>
    <w:p>
      <w:pPr>
        <w:spacing w:after="0" w:line="188" w:lineRule="exact"/>
        <w:rPr>
          <w:rFonts w:ascii="Times New Roman" w:cs="Times New Roman" w:eastAsia="Times New Roman" w:hAnsi="Times New Roman"/>
          <w:sz w:val="18"/>
          <w:szCs w:val="18"/>
          <w:color w:val="auto"/>
        </w:rPr>
      </w:pPr>
    </w:p>
    <w:p>
      <w:pPr>
        <w:ind w:left="1000" w:right="6760" w:hanging="627"/>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0.0%</w:t>
      </w:r>
    </w:p>
    <w:p>
      <w:pPr>
        <w:spacing w:after="0" w:line="188" w:lineRule="exact"/>
        <w:rPr>
          <w:rFonts w:ascii="Times New Roman" w:cs="Times New Roman" w:eastAsia="Times New Roman" w:hAnsi="Times New Roman"/>
          <w:sz w:val="18"/>
          <w:szCs w:val="18"/>
          <w:color w:val="auto"/>
        </w:rPr>
      </w:pPr>
    </w:p>
    <w:p>
      <w:pPr>
        <w:ind w:left="1000" w:hanging="62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-850900</wp:posOffset>
            </wp:positionV>
            <wp:extent cx="662051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20510" cy="1714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-422275</wp:posOffset>
            </wp:positionV>
            <wp:extent cx="662051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20510" cy="1714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5715</wp:posOffset>
            </wp:positionV>
            <wp:extent cx="662051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20510" cy="17145"/>
                    </a:xfrm>
                    <a:prstGeom prst="rect">
                      <a:avLst/>
                    </a:prstGeom>
                    <a:noFill/>
                  </pic:spPr>
                </pic:pic>
              </a:graphicData>
            </a:graphic>
          </wp:anchor>
        </w:drawing>
      </w: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*SEE INSTRUCTION BEFORE FILLING OUT!</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167640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41"/>
        </w:trPr>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 92911N104</w:t>
            </w:r>
          </w:p>
        </w:tc>
        <w:tc>
          <w:tcPr>
            <w:tcW w:w="778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8"/>
                <w:szCs w:val="18"/>
                <w:color w:val="auto"/>
              </w:rPr>
              <w:t>13G</w:t>
            </w:r>
          </w:p>
        </w:tc>
      </w:tr>
    </w:tbl>
    <w:p>
      <w:pPr>
        <w:spacing w:after="0" w:line="198" w:lineRule="exact"/>
        <w:rPr>
          <w:sz w:val="20"/>
          <w:szCs w:val="20"/>
          <w:color w:val="auto"/>
        </w:rPr>
      </w:pPr>
    </w:p>
    <w:p>
      <w:pPr>
        <w:ind w:left="1000" w:hanging="62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7" w:lineRule="exact"/>
        <w:rPr>
          <w:rFonts w:ascii="Times New Roman" w:cs="Times New Roman" w:eastAsia="Times New Roman" w:hAnsi="Times New Roman"/>
          <w:sz w:val="18"/>
          <w:szCs w:val="18"/>
          <w:color w:val="auto"/>
        </w:rPr>
      </w:pPr>
    </w:p>
    <w:p>
      <w:pPr>
        <w:ind w:left="1000" w:right="63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 (Entities Only) Warburg Pincus LLC</w:t>
      </w: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#13-3536050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5715</wp:posOffset>
            </wp:positionV>
            <wp:extent cx="662051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20510" cy="17145"/>
                    </a:xfrm>
                    <a:prstGeom prst="rect">
                      <a:avLst/>
                    </a:prstGeom>
                    <a:noFill/>
                  </pic:spPr>
                </pic:pic>
              </a:graphicData>
            </a:graphic>
          </wp:anchor>
        </w:drawing>
      </w:r>
    </w:p>
    <w:p>
      <w:pPr>
        <w:spacing w:after="0" w:line="214" w:lineRule="exact"/>
        <w:rPr>
          <w:sz w:val="20"/>
          <w:szCs w:val="20"/>
          <w:color w:val="auto"/>
        </w:rPr>
      </w:pPr>
    </w:p>
    <w:p>
      <w:pPr>
        <w:ind w:left="1000" w:hanging="62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rFonts w:ascii="Times New Roman" w:cs="Times New Roman" w:eastAsia="Times New Roman" w:hAnsi="Times New Roman"/>
          <w:sz w:val="18"/>
          <w:szCs w:val="18"/>
          <w:color w:val="auto"/>
        </w:rPr>
      </w:pPr>
    </w:p>
    <w:p>
      <w:pPr>
        <w:ind w:left="1720" w:hanging="726"/>
        <w:spacing w:after="0"/>
        <w:tabs>
          <w:tab w:leader="none" w:pos="17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22" w:lineRule="exact"/>
        <w:rPr>
          <w:rFonts w:ascii="Times New Roman" w:cs="Times New Roman" w:eastAsia="Times New Roman" w:hAnsi="Times New Roman"/>
          <w:sz w:val="18"/>
          <w:szCs w:val="18"/>
          <w:color w:val="auto"/>
        </w:rPr>
      </w:pPr>
    </w:p>
    <w:p>
      <w:pPr>
        <w:ind w:left="1720" w:hanging="726"/>
        <w:spacing w:after="0"/>
        <w:tabs>
          <w:tab w:leader="none" w:pos="17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-139065</wp:posOffset>
            </wp:positionV>
            <wp:extent cx="615759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57595" cy="1714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14605</wp:posOffset>
            </wp:positionV>
            <wp:extent cx="615759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57595" cy="17145"/>
                    </a:xfrm>
                    <a:prstGeom prst="rect">
                      <a:avLst/>
                    </a:prstGeom>
                    <a:noFill/>
                  </pic:spPr>
                </pic:pic>
              </a:graphicData>
            </a:graphic>
          </wp:anchor>
        </w:drawing>
      </w:r>
    </w:p>
    <w:p>
      <w:pPr>
        <w:spacing w:after="0" w:line="227" w:lineRule="exact"/>
        <w:rPr>
          <w:sz w:val="20"/>
          <w:szCs w:val="20"/>
          <w:color w:val="auto"/>
        </w:rPr>
      </w:pPr>
    </w:p>
    <w:p>
      <w:pPr>
        <w:ind w:left="1000" w:hanging="627"/>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17145</wp:posOffset>
            </wp:positionV>
            <wp:extent cx="662051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20510" cy="17145"/>
                    </a:xfrm>
                    <a:prstGeom prst="rect">
                      <a:avLst/>
                    </a:prstGeom>
                    <a:noFill/>
                  </pic:spPr>
                </pic:pic>
              </a:graphicData>
            </a:graphic>
          </wp:anchor>
        </w:drawing>
      </w:r>
    </w:p>
    <w:p>
      <w:pPr>
        <w:spacing w:after="0" w:line="232" w:lineRule="exact"/>
        <w:rPr>
          <w:sz w:val="20"/>
          <w:szCs w:val="20"/>
          <w:color w:val="auto"/>
        </w:rPr>
      </w:pPr>
    </w:p>
    <w:p>
      <w:pPr>
        <w:ind w:left="1000" w:right="7800" w:hanging="627"/>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-22225</wp:posOffset>
            </wp:positionV>
            <wp:extent cx="662051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2051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w:t>
      </w:r>
    </w:p>
    <w:p>
      <w:pPr>
        <w:spacing w:after="0" w:line="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Shares 6 Beneficially Owned by</w:t>
      </w:r>
    </w:p>
    <w:p>
      <w:pPr>
        <w:spacing w:after="0" w:line="191"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6"/>
          <w:szCs w:val="16"/>
          <w:color w:val="auto"/>
        </w:rPr>
        <w:t>Each</w:t>
      </w:r>
      <w:r>
        <w:rPr>
          <w:sz w:val="20"/>
          <w:szCs w:val="20"/>
          <w:color w:val="auto"/>
        </w:rPr>
        <w:tab/>
      </w:r>
      <w:r>
        <w:rPr>
          <w:rFonts w:ascii="Times New Roman" w:cs="Times New Roman" w:eastAsia="Times New Roman" w:hAnsi="Times New Roman"/>
          <w:sz w:val="16"/>
          <w:szCs w:val="16"/>
          <w:color w:val="auto"/>
        </w:rPr>
        <w:t>7</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With:</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Voting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84898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48985"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Shared Voting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84898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48985"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Dispositive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84898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48985" cy="17145"/>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2">
            <w:col w:w="1700" w:space="500"/>
            <w:col w:w="9220"/>
          </w:cols>
          <w:pgMar w:left="240" w:top="513" w:right="239" w:bottom="1440" w:gutter="0" w:footer="0" w:header="0"/>
          <w:type w:val="continuous"/>
        </w:sectPr>
      </w:pPr>
    </w:p>
    <w:p>
      <w:pPr>
        <w:ind w:left="2200" w:right="7340" w:hanging="585"/>
        <w:spacing w:after="0" w:line="282" w:lineRule="auto"/>
        <w:tabs>
          <w:tab w:leader="none" w:pos="22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-22225</wp:posOffset>
            </wp:positionV>
            <wp:extent cx="584898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48985" cy="17145"/>
                    </a:xfrm>
                    <a:prstGeom prst="rect">
                      <a:avLst/>
                    </a:prstGeom>
                    <a:noFill/>
                  </pic:spPr>
                </pic:pic>
              </a:graphicData>
            </a:graphic>
          </wp:anchor>
        </w:drawing>
      </w:r>
    </w:p>
    <w:p>
      <w:pPr>
        <w:spacing w:after="0" w:line="169" w:lineRule="exact"/>
        <w:rPr>
          <w:sz w:val="20"/>
          <w:szCs w:val="20"/>
          <w:color w:val="auto"/>
        </w:rPr>
      </w:pPr>
    </w:p>
    <w:p>
      <w:pPr>
        <w:ind w:left="1000" w:right="5620" w:hanging="627"/>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-22225</wp:posOffset>
            </wp:positionV>
            <wp:extent cx="662051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20510" cy="17145"/>
                    </a:xfrm>
                    <a:prstGeom prst="rect">
                      <a:avLst/>
                    </a:prstGeom>
                    <a:noFill/>
                  </pic:spPr>
                </pic:pic>
              </a:graphicData>
            </a:graphic>
          </wp:anchor>
        </w:drawing>
      </w:r>
    </w:p>
    <w:p>
      <w:pPr>
        <w:spacing w:after="0" w:line="169" w:lineRule="exact"/>
        <w:rPr>
          <w:sz w:val="20"/>
          <w:szCs w:val="20"/>
          <w:color w:val="auto"/>
        </w:rPr>
      </w:pPr>
    </w:p>
    <w:p>
      <w:pPr>
        <w:ind w:left="1000" w:right="5060" w:hanging="627"/>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N/A</w:t>
      </w:r>
    </w:p>
    <w:p>
      <w:pPr>
        <w:spacing w:after="0" w:line="188" w:lineRule="exact"/>
        <w:rPr>
          <w:rFonts w:ascii="Times New Roman" w:cs="Times New Roman" w:eastAsia="Times New Roman" w:hAnsi="Times New Roman"/>
          <w:sz w:val="18"/>
          <w:szCs w:val="18"/>
          <w:color w:val="auto"/>
        </w:rPr>
      </w:pPr>
    </w:p>
    <w:p>
      <w:pPr>
        <w:ind w:left="1000" w:right="6760" w:hanging="627"/>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0.0%</w:t>
      </w:r>
    </w:p>
    <w:p>
      <w:pPr>
        <w:spacing w:after="0" w:line="188" w:lineRule="exact"/>
        <w:rPr>
          <w:rFonts w:ascii="Times New Roman" w:cs="Times New Roman" w:eastAsia="Times New Roman" w:hAnsi="Times New Roman"/>
          <w:sz w:val="18"/>
          <w:szCs w:val="18"/>
          <w:color w:val="auto"/>
        </w:rPr>
      </w:pPr>
    </w:p>
    <w:p>
      <w:pPr>
        <w:ind w:left="1000" w:hanging="627"/>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-850900</wp:posOffset>
            </wp:positionV>
            <wp:extent cx="662051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20510" cy="1714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-422275</wp:posOffset>
            </wp:positionV>
            <wp:extent cx="662051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20510" cy="1714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5715</wp:posOffset>
            </wp:positionV>
            <wp:extent cx="662051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20510" cy="17145"/>
                    </a:xfrm>
                    <a:prstGeom prst="rect">
                      <a:avLst/>
                    </a:prstGeom>
                    <a:noFill/>
                  </pic:spPr>
                </pic:pic>
              </a:graphicData>
            </a:graphic>
          </wp:anchor>
        </w:drawing>
      </w: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*SEE INSTRUCTION BEFORE FILLING OUT!</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167640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41"/>
        </w:trPr>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 92911N104</w:t>
            </w:r>
          </w:p>
        </w:tc>
        <w:tc>
          <w:tcPr>
            <w:tcW w:w="778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8"/>
                <w:szCs w:val="18"/>
                <w:color w:val="auto"/>
              </w:rPr>
              <w:t>13G</w:t>
            </w:r>
          </w:p>
        </w:tc>
      </w:tr>
    </w:tbl>
    <w:p>
      <w:pPr>
        <w:spacing w:after="0" w:line="198" w:lineRule="exact"/>
        <w:rPr>
          <w:sz w:val="20"/>
          <w:szCs w:val="20"/>
          <w:color w:val="auto"/>
        </w:rPr>
      </w:pPr>
    </w:p>
    <w:p>
      <w:pPr>
        <w:ind w:left="1000" w:hanging="62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7" w:lineRule="exact"/>
        <w:rPr>
          <w:rFonts w:ascii="Times New Roman" w:cs="Times New Roman" w:eastAsia="Times New Roman" w:hAnsi="Times New Roman"/>
          <w:sz w:val="18"/>
          <w:szCs w:val="18"/>
          <w:color w:val="auto"/>
        </w:rPr>
      </w:pPr>
    </w:p>
    <w:p>
      <w:pPr>
        <w:ind w:left="1000" w:right="63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 (Entities Only) Warburg Pincus Partners, LLC</w:t>
      </w: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#13-4069737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5715</wp:posOffset>
            </wp:positionV>
            <wp:extent cx="662051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20510" cy="17145"/>
                    </a:xfrm>
                    <a:prstGeom prst="rect">
                      <a:avLst/>
                    </a:prstGeom>
                    <a:noFill/>
                  </pic:spPr>
                </pic:pic>
              </a:graphicData>
            </a:graphic>
          </wp:anchor>
        </w:drawing>
      </w:r>
    </w:p>
    <w:p>
      <w:pPr>
        <w:spacing w:after="0" w:line="214" w:lineRule="exact"/>
        <w:rPr>
          <w:sz w:val="20"/>
          <w:szCs w:val="20"/>
          <w:color w:val="auto"/>
        </w:rPr>
      </w:pPr>
    </w:p>
    <w:p>
      <w:pPr>
        <w:ind w:left="1000" w:hanging="627"/>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rFonts w:ascii="Times New Roman" w:cs="Times New Roman" w:eastAsia="Times New Roman" w:hAnsi="Times New Roman"/>
          <w:sz w:val="18"/>
          <w:szCs w:val="18"/>
          <w:color w:val="auto"/>
        </w:rPr>
      </w:pPr>
    </w:p>
    <w:p>
      <w:pPr>
        <w:ind w:left="1720" w:hanging="726"/>
        <w:spacing w:after="0"/>
        <w:tabs>
          <w:tab w:leader="none" w:pos="17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22" w:lineRule="exact"/>
        <w:rPr>
          <w:rFonts w:ascii="Times New Roman" w:cs="Times New Roman" w:eastAsia="Times New Roman" w:hAnsi="Times New Roman"/>
          <w:sz w:val="18"/>
          <w:szCs w:val="18"/>
          <w:color w:val="auto"/>
        </w:rPr>
      </w:pPr>
    </w:p>
    <w:p>
      <w:pPr>
        <w:ind w:left="1720" w:hanging="726"/>
        <w:spacing w:after="0"/>
        <w:tabs>
          <w:tab w:leader="none" w:pos="17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-139065</wp:posOffset>
            </wp:positionV>
            <wp:extent cx="615759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57595" cy="1714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14605</wp:posOffset>
            </wp:positionV>
            <wp:extent cx="615759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57595" cy="17145"/>
                    </a:xfrm>
                    <a:prstGeom prst="rect">
                      <a:avLst/>
                    </a:prstGeom>
                    <a:noFill/>
                  </pic:spPr>
                </pic:pic>
              </a:graphicData>
            </a:graphic>
          </wp:anchor>
        </w:drawing>
      </w:r>
    </w:p>
    <w:p>
      <w:pPr>
        <w:spacing w:after="0" w:line="227" w:lineRule="exact"/>
        <w:rPr>
          <w:sz w:val="20"/>
          <w:szCs w:val="20"/>
          <w:color w:val="auto"/>
        </w:rPr>
      </w:pPr>
    </w:p>
    <w:p>
      <w:pPr>
        <w:ind w:left="1000" w:hanging="62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17145</wp:posOffset>
            </wp:positionV>
            <wp:extent cx="662051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20510" cy="17145"/>
                    </a:xfrm>
                    <a:prstGeom prst="rect">
                      <a:avLst/>
                    </a:prstGeom>
                    <a:noFill/>
                  </pic:spPr>
                </pic:pic>
              </a:graphicData>
            </a:graphic>
          </wp:anchor>
        </w:drawing>
      </w:r>
    </w:p>
    <w:p>
      <w:pPr>
        <w:spacing w:after="0" w:line="232" w:lineRule="exact"/>
        <w:rPr>
          <w:sz w:val="20"/>
          <w:szCs w:val="20"/>
          <w:color w:val="auto"/>
        </w:rPr>
      </w:pPr>
    </w:p>
    <w:p>
      <w:pPr>
        <w:ind w:left="1000" w:right="7800" w:hanging="627"/>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-22225</wp:posOffset>
            </wp:positionV>
            <wp:extent cx="662051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2051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w:t>
      </w:r>
    </w:p>
    <w:p>
      <w:pPr>
        <w:spacing w:after="0" w:line="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Shares 6 Beneficially Owned by</w:t>
      </w:r>
    </w:p>
    <w:p>
      <w:pPr>
        <w:spacing w:after="0" w:line="191"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6"/>
          <w:szCs w:val="16"/>
          <w:color w:val="auto"/>
        </w:rPr>
        <w:t>Each</w:t>
      </w:r>
      <w:r>
        <w:rPr>
          <w:sz w:val="20"/>
          <w:szCs w:val="20"/>
          <w:color w:val="auto"/>
        </w:rPr>
        <w:tab/>
      </w:r>
      <w:r>
        <w:rPr>
          <w:rFonts w:ascii="Times New Roman" w:cs="Times New Roman" w:eastAsia="Times New Roman" w:hAnsi="Times New Roman"/>
          <w:sz w:val="16"/>
          <w:szCs w:val="16"/>
          <w:color w:val="auto"/>
        </w:rPr>
        <w:t>7</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With:</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Voting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84898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48985"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Shared Voting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84898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48985"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Dispositive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84898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48985" cy="17145"/>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2">
            <w:col w:w="1700" w:space="500"/>
            <w:col w:w="9220"/>
          </w:cols>
          <w:pgMar w:left="240" w:top="513" w:right="239" w:bottom="1440" w:gutter="0" w:footer="0" w:header="0"/>
          <w:type w:val="continuous"/>
        </w:sectPr>
      </w:pPr>
    </w:p>
    <w:p>
      <w:pPr>
        <w:ind w:left="2200" w:right="7340" w:hanging="585"/>
        <w:spacing w:after="0" w:line="282" w:lineRule="auto"/>
        <w:tabs>
          <w:tab w:leader="none" w:pos="22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-22225</wp:posOffset>
            </wp:positionV>
            <wp:extent cx="584898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848985" cy="17145"/>
                    </a:xfrm>
                    <a:prstGeom prst="rect">
                      <a:avLst/>
                    </a:prstGeom>
                    <a:noFill/>
                  </pic:spPr>
                </pic:pic>
              </a:graphicData>
            </a:graphic>
          </wp:anchor>
        </w:drawing>
      </w:r>
    </w:p>
    <w:p>
      <w:pPr>
        <w:spacing w:after="0" w:line="169" w:lineRule="exact"/>
        <w:rPr>
          <w:sz w:val="20"/>
          <w:szCs w:val="20"/>
          <w:color w:val="auto"/>
        </w:rPr>
      </w:pPr>
    </w:p>
    <w:p>
      <w:pPr>
        <w:ind w:left="1000" w:right="5620" w:hanging="627"/>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-22225</wp:posOffset>
            </wp:positionV>
            <wp:extent cx="662051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20510" cy="17145"/>
                    </a:xfrm>
                    <a:prstGeom prst="rect">
                      <a:avLst/>
                    </a:prstGeom>
                    <a:noFill/>
                  </pic:spPr>
                </pic:pic>
              </a:graphicData>
            </a:graphic>
          </wp:anchor>
        </w:drawing>
      </w:r>
    </w:p>
    <w:p>
      <w:pPr>
        <w:spacing w:after="0" w:line="169" w:lineRule="exact"/>
        <w:rPr>
          <w:sz w:val="20"/>
          <w:szCs w:val="20"/>
          <w:color w:val="auto"/>
        </w:rPr>
      </w:pPr>
    </w:p>
    <w:p>
      <w:pPr>
        <w:ind w:left="1000" w:right="5060" w:hanging="627"/>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N/A</w:t>
      </w:r>
    </w:p>
    <w:p>
      <w:pPr>
        <w:spacing w:after="0" w:line="188" w:lineRule="exact"/>
        <w:rPr>
          <w:rFonts w:ascii="Times New Roman" w:cs="Times New Roman" w:eastAsia="Times New Roman" w:hAnsi="Times New Roman"/>
          <w:sz w:val="18"/>
          <w:szCs w:val="18"/>
          <w:color w:val="auto"/>
        </w:rPr>
      </w:pPr>
    </w:p>
    <w:p>
      <w:pPr>
        <w:ind w:left="1000" w:right="6760" w:hanging="627"/>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0.0%</w:t>
      </w:r>
    </w:p>
    <w:p>
      <w:pPr>
        <w:spacing w:after="0" w:line="188" w:lineRule="exact"/>
        <w:rPr>
          <w:rFonts w:ascii="Times New Roman" w:cs="Times New Roman" w:eastAsia="Times New Roman" w:hAnsi="Times New Roman"/>
          <w:sz w:val="18"/>
          <w:szCs w:val="18"/>
          <w:color w:val="auto"/>
        </w:rPr>
      </w:pPr>
    </w:p>
    <w:p>
      <w:pPr>
        <w:ind w:left="1000" w:hanging="62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-850900</wp:posOffset>
            </wp:positionV>
            <wp:extent cx="662051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20510" cy="1714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-422275</wp:posOffset>
            </wp:positionV>
            <wp:extent cx="662051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620510" cy="1714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5715</wp:posOffset>
            </wp:positionV>
            <wp:extent cx="662051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620510" cy="17145"/>
                    </a:xfrm>
                    <a:prstGeom prst="rect">
                      <a:avLst/>
                    </a:prstGeom>
                    <a:noFill/>
                  </pic:spPr>
                </pic:pic>
              </a:graphicData>
            </a:graphic>
          </wp:anchor>
        </w:drawing>
      </w: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*SEE INSTRUCTION BEFORE FILLING OUT!</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167640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41"/>
        </w:trPr>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 92911N104</w:t>
            </w:r>
          </w:p>
        </w:tc>
        <w:tc>
          <w:tcPr>
            <w:tcW w:w="778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8"/>
                <w:szCs w:val="18"/>
                <w:color w:val="auto"/>
              </w:rPr>
              <w:t>13G</w:t>
            </w:r>
          </w:p>
        </w:tc>
      </w:tr>
    </w:tbl>
    <w:p>
      <w:pPr>
        <w:spacing w:after="0" w:line="198" w:lineRule="exact"/>
        <w:rPr>
          <w:sz w:val="20"/>
          <w:szCs w:val="20"/>
          <w:color w:val="auto"/>
        </w:rPr>
      </w:pPr>
    </w:p>
    <w:p>
      <w:pPr>
        <w:ind w:left="1000" w:hanging="627"/>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7" w:lineRule="exact"/>
        <w:rPr>
          <w:rFonts w:ascii="Times New Roman" w:cs="Times New Roman" w:eastAsia="Times New Roman" w:hAnsi="Times New Roman"/>
          <w:sz w:val="18"/>
          <w:szCs w:val="18"/>
          <w:color w:val="auto"/>
        </w:rPr>
      </w:pPr>
    </w:p>
    <w:p>
      <w:pPr>
        <w:ind w:left="1000" w:right="63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 (Entities Only) Charles R. Kaye</w:t>
      </w: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5715</wp:posOffset>
            </wp:positionV>
            <wp:extent cx="662051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620510" cy="17145"/>
                    </a:xfrm>
                    <a:prstGeom prst="rect">
                      <a:avLst/>
                    </a:prstGeom>
                    <a:noFill/>
                  </pic:spPr>
                </pic:pic>
              </a:graphicData>
            </a:graphic>
          </wp:anchor>
        </w:drawing>
      </w:r>
    </w:p>
    <w:p>
      <w:pPr>
        <w:spacing w:after="0" w:line="214" w:lineRule="exact"/>
        <w:rPr>
          <w:sz w:val="20"/>
          <w:szCs w:val="20"/>
          <w:color w:val="auto"/>
        </w:rPr>
      </w:pPr>
    </w:p>
    <w:p>
      <w:pPr>
        <w:ind w:left="1000" w:hanging="627"/>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rFonts w:ascii="Times New Roman" w:cs="Times New Roman" w:eastAsia="Times New Roman" w:hAnsi="Times New Roman"/>
          <w:sz w:val="18"/>
          <w:szCs w:val="18"/>
          <w:color w:val="auto"/>
        </w:rPr>
      </w:pPr>
    </w:p>
    <w:p>
      <w:pPr>
        <w:ind w:left="1720" w:hanging="726"/>
        <w:spacing w:after="0"/>
        <w:tabs>
          <w:tab w:leader="none" w:pos="17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22" w:lineRule="exact"/>
        <w:rPr>
          <w:rFonts w:ascii="Times New Roman" w:cs="Times New Roman" w:eastAsia="Times New Roman" w:hAnsi="Times New Roman"/>
          <w:sz w:val="18"/>
          <w:szCs w:val="18"/>
          <w:color w:val="auto"/>
        </w:rPr>
      </w:pPr>
    </w:p>
    <w:p>
      <w:pPr>
        <w:ind w:left="1720" w:hanging="726"/>
        <w:spacing w:after="0"/>
        <w:tabs>
          <w:tab w:leader="none" w:pos="17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-139065</wp:posOffset>
            </wp:positionV>
            <wp:extent cx="615759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57595" cy="1714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14605</wp:posOffset>
            </wp:positionV>
            <wp:extent cx="615759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157595" cy="17145"/>
                    </a:xfrm>
                    <a:prstGeom prst="rect">
                      <a:avLst/>
                    </a:prstGeom>
                    <a:noFill/>
                  </pic:spPr>
                </pic:pic>
              </a:graphicData>
            </a:graphic>
          </wp:anchor>
        </w:drawing>
      </w:r>
    </w:p>
    <w:p>
      <w:pPr>
        <w:spacing w:after="0" w:line="227" w:lineRule="exact"/>
        <w:rPr>
          <w:sz w:val="20"/>
          <w:szCs w:val="20"/>
          <w:color w:val="auto"/>
        </w:rPr>
      </w:pPr>
    </w:p>
    <w:p>
      <w:pPr>
        <w:ind w:left="1000" w:hanging="627"/>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17145</wp:posOffset>
            </wp:positionV>
            <wp:extent cx="662051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20510" cy="17145"/>
                    </a:xfrm>
                    <a:prstGeom prst="rect">
                      <a:avLst/>
                    </a:prstGeom>
                    <a:noFill/>
                  </pic:spPr>
                </pic:pic>
              </a:graphicData>
            </a:graphic>
          </wp:anchor>
        </w:drawing>
      </w:r>
    </w:p>
    <w:p>
      <w:pPr>
        <w:spacing w:after="0" w:line="232" w:lineRule="exact"/>
        <w:rPr>
          <w:sz w:val="20"/>
          <w:szCs w:val="20"/>
          <w:color w:val="auto"/>
        </w:rPr>
      </w:pPr>
    </w:p>
    <w:p>
      <w:pPr>
        <w:ind w:left="1000" w:right="7800" w:hanging="627"/>
        <w:spacing w:after="0" w:line="313" w:lineRule="auto"/>
        <w:tabs>
          <w:tab w:leader="none" w:pos="10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-36830</wp:posOffset>
            </wp:positionV>
            <wp:extent cx="662051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2051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p>
      <w:pPr>
        <w:spacing w:after="0" w:line="1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w:t>
      </w:r>
    </w:p>
    <w:p>
      <w:pPr>
        <w:spacing w:after="0" w:line="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Shares 6 Beneficially Owned by</w:t>
      </w:r>
    </w:p>
    <w:p>
      <w:pPr>
        <w:spacing w:after="0" w:line="191"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6"/>
          <w:szCs w:val="16"/>
          <w:color w:val="auto"/>
        </w:rPr>
        <w:t>Each</w:t>
      </w:r>
      <w:r>
        <w:rPr>
          <w:sz w:val="20"/>
          <w:szCs w:val="20"/>
          <w:color w:val="auto"/>
        </w:rPr>
        <w:tab/>
      </w:r>
      <w:r>
        <w:rPr>
          <w:rFonts w:ascii="Times New Roman" w:cs="Times New Roman" w:eastAsia="Times New Roman" w:hAnsi="Times New Roman"/>
          <w:sz w:val="16"/>
          <w:szCs w:val="16"/>
          <w:color w:val="auto"/>
        </w:rPr>
        <w:t>7</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With:</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Voting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84898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48985"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Shared Voting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84898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48985"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Dispositive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84898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48985" cy="17145"/>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2">
            <w:col w:w="1700" w:space="500"/>
            <w:col w:w="9220"/>
          </w:cols>
          <w:pgMar w:left="240" w:top="513" w:right="239" w:bottom="1440" w:gutter="0" w:footer="0" w:header="0"/>
          <w:type w:val="continuous"/>
        </w:sectPr>
      </w:pPr>
    </w:p>
    <w:p>
      <w:pPr>
        <w:ind w:left="2200" w:right="7340" w:hanging="585"/>
        <w:spacing w:after="0" w:line="282" w:lineRule="auto"/>
        <w:tabs>
          <w:tab w:leader="none" w:pos="2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-22225</wp:posOffset>
            </wp:positionV>
            <wp:extent cx="584898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48985" cy="17145"/>
                    </a:xfrm>
                    <a:prstGeom prst="rect">
                      <a:avLst/>
                    </a:prstGeom>
                    <a:noFill/>
                  </pic:spPr>
                </pic:pic>
              </a:graphicData>
            </a:graphic>
          </wp:anchor>
        </w:drawing>
      </w:r>
    </w:p>
    <w:p>
      <w:pPr>
        <w:spacing w:after="0" w:line="169" w:lineRule="exact"/>
        <w:rPr>
          <w:sz w:val="20"/>
          <w:szCs w:val="20"/>
          <w:color w:val="auto"/>
        </w:rPr>
      </w:pPr>
    </w:p>
    <w:p>
      <w:pPr>
        <w:ind w:left="1000" w:right="5620" w:hanging="627"/>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-22225</wp:posOffset>
            </wp:positionV>
            <wp:extent cx="662051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620510" cy="17145"/>
                    </a:xfrm>
                    <a:prstGeom prst="rect">
                      <a:avLst/>
                    </a:prstGeom>
                    <a:noFill/>
                  </pic:spPr>
                </pic:pic>
              </a:graphicData>
            </a:graphic>
          </wp:anchor>
        </w:drawing>
      </w:r>
    </w:p>
    <w:p>
      <w:pPr>
        <w:spacing w:after="0" w:line="169" w:lineRule="exact"/>
        <w:rPr>
          <w:sz w:val="20"/>
          <w:szCs w:val="20"/>
          <w:color w:val="auto"/>
        </w:rPr>
      </w:pPr>
    </w:p>
    <w:p>
      <w:pPr>
        <w:ind w:left="1000" w:right="5060" w:hanging="627"/>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N/A</w:t>
      </w:r>
    </w:p>
    <w:p>
      <w:pPr>
        <w:spacing w:after="0" w:line="188" w:lineRule="exact"/>
        <w:rPr>
          <w:rFonts w:ascii="Times New Roman" w:cs="Times New Roman" w:eastAsia="Times New Roman" w:hAnsi="Times New Roman"/>
          <w:sz w:val="18"/>
          <w:szCs w:val="18"/>
          <w:color w:val="auto"/>
        </w:rPr>
      </w:pPr>
    </w:p>
    <w:p>
      <w:pPr>
        <w:ind w:left="1000" w:right="6760" w:hanging="627"/>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0.0%</w:t>
      </w:r>
    </w:p>
    <w:p>
      <w:pPr>
        <w:spacing w:after="0" w:line="188" w:lineRule="exact"/>
        <w:rPr>
          <w:rFonts w:ascii="Times New Roman" w:cs="Times New Roman" w:eastAsia="Times New Roman" w:hAnsi="Times New Roman"/>
          <w:sz w:val="18"/>
          <w:szCs w:val="18"/>
          <w:color w:val="auto"/>
        </w:rPr>
      </w:pPr>
    </w:p>
    <w:p>
      <w:pPr>
        <w:ind w:left="1000" w:hanging="627"/>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-850900</wp:posOffset>
            </wp:positionV>
            <wp:extent cx="662051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620510" cy="1714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-422275</wp:posOffset>
            </wp:positionV>
            <wp:extent cx="662051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20510" cy="1714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5715</wp:posOffset>
            </wp:positionV>
            <wp:extent cx="662051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620510" cy="17145"/>
                    </a:xfrm>
                    <a:prstGeom prst="rect">
                      <a:avLst/>
                    </a:prstGeom>
                    <a:noFill/>
                  </pic:spPr>
                </pic:pic>
              </a:graphicData>
            </a:graphic>
          </wp:anchor>
        </w:drawing>
      </w: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*SEE INSTRUCTION BEFORE FILLING OUT!</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167640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41"/>
        </w:trPr>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 92911N104</w:t>
            </w:r>
          </w:p>
        </w:tc>
        <w:tc>
          <w:tcPr>
            <w:tcW w:w="778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8"/>
                <w:szCs w:val="18"/>
                <w:color w:val="auto"/>
              </w:rPr>
              <w:t>13G</w:t>
            </w:r>
          </w:p>
        </w:tc>
      </w:tr>
    </w:tbl>
    <w:p>
      <w:pPr>
        <w:spacing w:after="0" w:line="198" w:lineRule="exact"/>
        <w:rPr>
          <w:sz w:val="20"/>
          <w:szCs w:val="20"/>
          <w:color w:val="auto"/>
        </w:rPr>
      </w:pPr>
    </w:p>
    <w:p>
      <w:pPr>
        <w:ind w:left="1000" w:hanging="627"/>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7" w:lineRule="exact"/>
        <w:rPr>
          <w:rFonts w:ascii="Times New Roman" w:cs="Times New Roman" w:eastAsia="Times New Roman" w:hAnsi="Times New Roman"/>
          <w:sz w:val="18"/>
          <w:szCs w:val="18"/>
          <w:color w:val="auto"/>
        </w:rPr>
      </w:pPr>
    </w:p>
    <w:p>
      <w:pPr>
        <w:ind w:left="1000" w:right="63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 (Entities Only) Joseph P. Landy</w:t>
      </w: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5715</wp:posOffset>
            </wp:positionV>
            <wp:extent cx="662051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620510" cy="17145"/>
                    </a:xfrm>
                    <a:prstGeom prst="rect">
                      <a:avLst/>
                    </a:prstGeom>
                    <a:noFill/>
                  </pic:spPr>
                </pic:pic>
              </a:graphicData>
            </a:graphic>
          </wp:anchor>
        </w:drawing>
      </w:r>
    </w:p>
    <w:p>
      <w:pPr>
        <w:spacing w:after="0" w:line="214" w:lineRule="exact"/>
        <w:rPr>
          <w:sz w:val="20"/>
          <w:szCs w:val="20"/>
          <w:color w:val="auto"/>
        </w:rPr>
      </w:pPr>
    </w:p>
    <w:p>
      <w:pPr>
        <w:ind w:left="1000" w:hanging="627"/>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rFonts w:ascii="Times New Roman" w:cs="Times New Roman" w:eastAsia="Times New Roman" w:hAnsi="Times New Roman"/>
          <w:sz w:val="18"/>
          <w:szCs w:val="18"/>
          <w:color w:val="auto"/>
        </w:rPr>
      </w:pPr>
    </w:p>
    <w:p>
      <w:pPr>
        <w:ind w:left="1720" w:hanging="726"/>
        <w:spacing w:after="0"/>
        <w:tabs>
          <w:tab w:leader="none" w:pos="17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22" w:lineRule="exact"/>
        <w:rPr>
          <w:rFonts w:ascii="Times New Roman" w:cs="Times New Roman" w:eastAsia="Times New Roman" w:hAnsi="Times New Roman"/>
          <w:sz w:val="18"/>
          <w:szCs w:val="18"/>
          <w:color w:val="auto"/>
        </w:rPr>
      </w:pPr>
    </w:p>
    <w:p>
      <w:pPr>
        <w:ind w:left="1720" w:hanging="726"/>
        <w:spacing w:after="0"/>
        <w:tabs>
          <w:tab w:leader="none" w:pos="17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-139065</wp:posOffset>
            </wp:positionV>
            <wp:extent cx="615759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157595" cy="1714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14605</wp:posOffset>
            </wp:positionV>
            <wp:extent cx="615759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157595" cy="17145"/>
                    </a:xfrm>
                    <a:prstGeom prst="rect">
                      <a:avLst/>
                    </a:prstGeom>
                    <a:noFill/>
                  </pic:spPr>
                </pic:pic>
              </a:graphicData>
            </a:graphic>
          </wp:anchor>
        </w:drawing>
      </w:r>
    </w:p>
    <w:p>
      <w:pPr>
        <w:spacing w:after="0" w:line="227" w:lineRule="exact"/>
        <w:rPr>
          <w:sz w:val="20"/>
          <w:szCs w:val="20"/>
          <w:color w:val="auto"/>
        </w:rPr>
      </w:pPr>
    </w:p>
    <w:p>
      <w:pPr>
        <w:ind w:left="1000" w:hanging="627"/>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17145</wp:posOffset>
            </wp:positionV>
            <wp:extent cx="662051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620510" cy="17145"/>
                    </a:xfrm>
                    <a:prstGeom prst="rect">
                      <a:avLst/>
                    </a:prstGeom>
                    <a:noFill/>
                  </pic:spPr>
                </pic:pic>
              </a:graphicData>
            </a:graphic>
          </wp:anchor>
        </w:drawing>
      </w:r>
    </w:p>
    <w:p>
      <w:pPr>
        <w:spacing w:after="0" w:line="232" w:lineRule="exact"/>
        <w:rPr>
          <w:sz w:val="20"/>
          <w:szCs w:val="20"/>
          <w:color w:val="auto"/>
        </w:rPr>
      </w:pPr>
    </w:p>
    <w:p>
      <w:pPr>
        <w:ind w:left="1000" w:right="7800" w:hanging="627"/>
        <w:spacing w:after="0" w:line="313" w:lineRule="auto"/>
        <w:tabs>
          <w:tab w:leader="none" w:pos="10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-36830</wp:posOffset>
            </wp:positionV>
            <wp:extent cx="662051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62051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p>
      <w:pPr>
        <w:spacing w:after="0" w:line="1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w:t>
      </w:r>
    </w:p>
    <w:p>
      <w:pPr>
        <w:spacing w:after="0" w:line="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Shares 6 Beneficially Owned by</w:t>
      </w:r>
    </w:p>
    <w:p>
      <w:pPr>
        <w:spacing w:after="0" w:line="191"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6"/>
          <w:szCs w:val="16"/>
          <w:color w:val="auto"/>
        </w:rPr>
        <w:t>Each</w:t>
      </w:r>
      <w:r>
        <w:rPr>
          <w:sz w:val="20"/>
          <w:szCs w:val="20"/>
          <w:color w:val="auto"/>
        </w:rPr>
        <w:tab/>
      </w:r>
      <w:r>
        <w:rPr>
          <w:rFonts w:ascii="Times New Roman" w:cs="Times New Roman" w:eastAsia="Times New Roman" w:hAnsi="Times New Roman"/>
          <w:sz w:val="16"/>
          <w:szCs w:val="16"/>
          <w:color w:val="auto"/>
        </w:rPr>
        <w:t>7</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With:</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Voting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84898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848985"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Shared Voting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84898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848985"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Dispositive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84898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848985" cy="17145"/>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2">
            <w:col w:w="1700" w:space="500"/>
            <w:col w:w="9220"/>
          </w:cols>
          <w:pgMar w:left="240" w:top="513" w:right="239" w:bottom="1440" w:gutter="0" w:footer="0" w:header="0"/>
          <w:type w:val="continuous"/>
        </w:sectPr>
      </w:pPr>
    </w:p>
    <w:p>
      <w:pPr>
        <w:ind w:left="2200" w:right="7340" w:hanging="585"/>
        <w:spacing w:after="0" w:line="282" w:lineRule="auto"/>
        <w:tabs>
          <w:tab w:leader="none" w:pos="22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-22225</wp:posOffset>
            </wp:positionV>
            <wp:extent cx="584898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848985" cy="17145"/>
                    </a:xfrm>
                    <a:prstGeom prst="rect">
                      <a:avLst/>
                    </a:prstGeom>
                    <a:noFill/>
                  </pic:spPr>
                </pic:pic>
              </a:graphicData>
            </a:graphic>
          </wp:anchor>
        </w:drawing>
      </w:r>
    </w:p>
    <w:p>
      <w:pPr>
        <w:spacing w:after="0" w:line="169" w:lineRule="exact"/>
        <w:rPr>
          <w:sz w:val="20"/>
          <w:szCs w:val="20"/>
          <w:color w:val="auto"/>
        </w:rPr>
      </w:pPr>
    </w:p>
    <w:p>
      <w:pPr>
        <w:ind w:left="1000" w:right="5620" w:hanging="627"/>
        <w:spacing w:after="0" w:line="282"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-22225</wp:posOffset>
            </wp:positionV>
            <wp:extent cx="662051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620510" cy="17145"/>
                    </a:xfrm>
                    <a:prstGeom prst="rect">
                      <a:avLst/>
                    </a:prstGeom>
                    <a:noFill/>
                  </pic:spPr>
                </pic:pic>
              </a:graphicData>
            </a:graphic>
          </wp:anchor>
        </w:drawing>
      </w:r>
    </w:p>
    <w:p>
      <w:pPr>
        <w:spacing w:after="0" w:line="169" w:lineRule="exact"/>
        <w:rPr>
          <w:sz w:val="20"/>
          <w:szCs w:val="20"/>
          <w:color w:val="auto"/>
        </w:rPr>
      </w:pPr>
    </w:p>
    <w:p>
      <w:pPr>
        <w:ind w:left="1000" w:right="5060" w:hanging="627"/>
        <w:spacing w:after="0" w:line="282"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N/A</w:t>
      </w:r>
    </w:p>
    <w:p>
      <w:pPr>
        <w:spacing w:after="0" w:line="188" w:lineRule="exact"/>
        <w:rPr>
          <w:rFonts w:ascii="Times New Roman" w:cs="Times New Roman" w:eastAsia="Times New Roman" w:hAnsi="Times New Roman"/>
          <w:sz w:val="18"/>
          <w:szCs w:val="18"/>
          <w:color w:val="auto"/>
        </w:rPr>
      </w:pPr>
    </w:p>
    <w:p>
      <w:pPr>
        <w:ind w:left="1000" w:right="6760" w:hanging="627"/>
        <w:spacing w:after="0" w:line="282"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0.0%</w:t>
      </w:r>
    </w:p>
    <w:p>
      <w:pPr>
        <w:spacing w:after="0" w:line="188" w:lineRule="exact"/>
        <w:rPr>
          <w:rFonts w:ascii="Times New Roman" w:cs="Times New Roman" w:eastAsia="Times New Roman" w:hAnsi="Times New Roman"/>
          <w:sz w:val="18"/>
          <w:szCs w:val="18"/>
          <w:color w:val="auto"/>
        </w:rPr>
      </w:pPr>
    </w:p>
    <w:p>
      <w:pPr>
        <w:ind w:left="1000" w:hanging="627"/>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-850900</wp:posOffset>
            </wp:positionV>
            <wp:extent cx="662051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620510" cy="1714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-422275</wp:posOffset>
            </wp:positionV>
            <wp:extent cx="662051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620510" cy="1714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5715</wp:posOffset>
            </wp:positionV>
            <wp:extent cx="662051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620510" cy="17145"/>
                    </a:xfrm>
                    <a:prstGeom prst="rect">
                      <a:avLst/>
                    </a:prstGeom>
                    <a:noFill/>
                  </pic:spPr>
                </pic:pic>
              </a:graphicData>
            </a:graphic>
          </wp:anchor>
        </w:drawing>
      </w: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*SEE INSTRUCTION BEFORE FILLING OUT!</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167640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type w:val="continuous"/>
        </w:sectPr>
      </w:pPr>
    </w:p>
    <w:bookmarkStart w:id="8" w:name="page9"/>
    <w:bookmarkEnd w:id="8"/>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w:t>
            </w:r>
          </w:p>
        </w:tc>
        <w:tc>
          <w:tcPr>
            <w:tcW w:w="99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Name of Issuer:</w:t>
            </w:r>
          </w:p>
        </w:tc>
        <w:tc>
          <w:tcPr>
            <w:tcW w:w="0" w:type="dxa"/>
            <w:vAlign w:val="bottom"/>
          </w:tcPr>
          <w:p>
            <w:pPr>
              <w:spacing w:after="0"/>
              <w:rPr>
                <w:sz w:val="1"/>
                <w:szCs w:val="1"/>
                <w:color w:val="auto"/>
              </w:rPr>
            </w:pPr>
          </w:p>
        </w:tc>
      </w:tr>
      <w:tr>
        <w:trPr>
          <w:trHeight w:val="194"/>
        </w:trPr>
        <w:tc>
          <w:tcPr>
            <w:tcW w:w="1480" w:type="dxa"/>
            <w:vAlign w:val="bottom"/>
          </w:tcPr>
          <w:p>
            <w:pPr>
              <w:spacing w:after="0"/>
              <w:rPr>
                <w:sz w:val="16"/>
                <w:szCs w:val="16"/>
                <w:color w:val="auto"/>
              </w:rPr>
            </w:pPr>
          </w:p>
        </w:tc>
        <w:tc>
          <w:tcPr>
            <w:tcW w:w="9940" w:type="dxa"/>
            <w:vAlign w:val="bottom"/>
            <w:gridSpan w:val="17"/>
          </w:tcPr>
          <w:p>
            <w:pPr>
              <w:spacing w:after="0" w:line="194" w:lineRule="exact"/>
              <w:rPr>
                <w:sz w:val="20"/>
                <w:szCs w:val="20"/>
                <w:color w:val="auto"/>
              </w:rPr>
            </w:pPr>
            <w:r>
              <w:rPr>
                <w:rFonts w:ascii="Times New Roman" w:cs="Times New Roman" w:eastAsia="Times New Roman" w:hAnsi="Times New Roman"/>
                <w:sz w:val="18"/>
                <w:szCs w:val="18"/>
                <w:color w:val="auto"/>
              </w:rPr>
              <w:t>Vringo, Inc. (the “Company”)</w:t>
            </w:r>
          </w:p>
        </w:tc>
        <w:tc>
          <w:tcPr>
            <w:tcW w:w="0" w:type="dxa"/>
            <w:vAlign w:val="bottom"/>
          </w:tcPr>
          <w:p>
            <w:pPr>
              <w:spacing w:after="0"/>
              <w:rPr>
                <w:sz w:val="1"/>
                <w:szCs w:val="1"/>
                <w:color w:val="auto"/>
              </w:rPr>
            </w:pPr>
          </w:p>
        </w:tc>
      </w:tr>
      <w:tr>
        <w:trPr>
          <w:trHeight w:val="28"/>
        </w:trPr>
        <w:tc>
          <w:tcPr>
            <w:tcW w:w="1480" w:type="dxa"/>
            <w:vAlign w:val="bottom"/>
            <w:vMerge w:val="restart"/>
          </w:tcPr>
          <w:p>
            <w:pPr>
              <w:ind w:left="1000"/>
              <w:spacing w:after="0"/>
              <w:rPr>
                <w:sz w:val="20"/>
                <w:szCs w:val="20"/>
                <w:color w:val="auto"/>
              </w:rPr>
            </w:pPr>
            <w:r>
              <w:rPr>
                <w:rFonts w:ascii="Times New Roman" w:cs="Times New Roman" w:eastAsia="Times New Roman" w:hAnsi="Times New Roman"/>
                <w:sz w:val="18"/>
                <w:szCs w:val="18"/>
                <w:color w:val="auto"/>
              </w:rPr>
              <w:t>(b):</w:t>
            </w: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480" w:type="dxa"/>
            <w:vAlign w:val="bottom"/>
            <w:vMerge w:val="continue"/>
          </w:tcPr>
          <w:p>
            <w:pPr>
              <w:spacing w:after="0"/>
              <w:rPr>
                <w:sz w:val="17"/>
                <w:szCs w:val="17"/>
                <w:color w:val="auto"/>
              </w:rPr>
            </w:pPr>
          </w:p>
        </w:tc>
        <w:tc>
          <w:tcPr>
            <w:tcW w:w="9940" w:type="dxa"/>
            <w:vAlign w:val="bottom"/>
            <w:gridSpan w:val="17"/>
          </w:tcPr>
          <w:p>
            <w:pPr>
              <w:spacing w:after="0" w:line="198" w:lineRule="exact"/>
              <w:rPr>
                <w:sz w:val="20"/>
                <w:szCs w:val="20"/>
                <w:color w:val="auto"/>
              </w:rPr>
            </w:pPr>
            <w:r>
              <w:rPr>
                <w:rFonts w:ascii="Times New Roman" w:cs="Times New Roman" w:eastAsia="Times New Roman" w:hAnsi="Times New Roman"/>
                <w:sz w:val="18"/>
                <w:szCs w:val="18"/>
                <w:color w:val="auto"/>
              </w:rPr>
              <w:t>Address of Issuer’s Principal Executive Offices:</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99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18 East 16th Street, 7th Floor</w:t>
            </w:r>
          </w:p>
        </w:tc>
        <w:tc>
          <w:tcPr>
            <w:tcW w:w="0" w:type="dxa"/>
            <w:vAlign w:val="bottom"/>
          </w:tcPr>
          <w:p>
            <w:pPr>
              <w:spacing w:after="0"/>
              <w:rPr>
                <w:sz w:val="1"/>
                <w:szCs w:val="1"/>
                <w:color w:val="auto"/>
              </w:rPr>
            </w:pPr>
          </w:p>
        </w:tc>
      </w:tr>
      <w:tr>
        <w:trPr>
          <w:trHeight w:val="241"/>
        </w:trPr>
        <w:tc>
          <w:tcPr>
            <w:tcW w:w="1480" w:type="dxa"/>
            <w:vAlign w:val="bottom"/>
          </w:tcPr>
          <w:p>
            <w:pPr>
              <w:spacing w:after="0"/>
              <w:rPr>
                <w:sz w:val="20"/>
                <w:szCs w:val="20"/>
                <w:color w:val="auto"/>
              </w:rPr>
            </w:pPr>
          </w:p>
        </w:tc>
        <w:tc>
          <w:tcPr>
            <w:tcW w:w="9940" w:type="dxa"/>
            <w:vAlign w:val="bottom"/>
            <w:tcBorders>
              <w:bottom w:val="single" w:sz="8" w:color="auto"/>
            </w:tcBorders>
            <w:gridSpan w:val="17"/>
          </w:tcPr>
          <w:p>
            <w:pPr>
              <w:spacing w:after="0"/>
              <w:rPr>
                <w:sz w:val="20"/>
                <w:szCs w:val="20"/>
                <w:color w:val="auto"/>
              </w:rPr>
            </w:pPr>
            <w:r>
              <w:rPr>
                <w:rFonts w:ascii="Times New Roman" w:cs="Times New Roman" w:eastAsia="Times New Roman" w:hAnsi="Times New Roman"/>
                <w:sz w:val="18"/>
                <w:szCs w:val="18"/>
                <w:color w:val="auto"/>
              </w:rPr>
              <w:t>New York, New York 10003</w:t>
            </w:r>
          </w:p>
        </w:tc>
        <w:tc>
          <w:tcPr>
            <w:tcW w:w="0" w:type="dxa"/>
            <w:vAlign w:val="bottom"/>
          </w:tcPr>
          <w:p>
            <w:pPr>
              <w:spacing w:after="0"/>
              <w:rPr>
                <w:sz w:val="1"/>
                <w:szCs w:val="1"/>
                <w:color w:val="auto"/>
              </w:rPr>
            </w:pPr>
          </w:p>
        </w:tc>
      </w:tr>
      <w:tr>
        <w:trPr>
          <w:trHeight w:val="414"/>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w:t>
            </w:r>
          </w:p>
        </w:tc>
        <w:tc>
          <w:tcPr>
            <w:tcW w:w="99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Name of Person Filing:</w:t>
            </w:r>
          </w:p>
        </w:tc>
        <w:tc>
          <w:tcPr>
            <w:tcW w:w="0" w:type="dxa"/>
            <w:vAlign w:val="bottom"/>
          </w:tcPr>
          <w:p>
            <w:pPr>
              <w:spacing w:after="0"/>
              <w:rPr>
                <w:sz w:val="1"/>
                <w:szCs w:val="1"/>
                <w:color w:val="auto"/>
              </w:rPr>
            </w:pPr>
          </w:p>
        </w:tc>
      </w:tr>
      <w:tr>
        <w:trPr>
          <w:trHeight w:val="194"/>
        </w:trPr>
        <w:tc>
          <w:tcPr>
            <w:tcW w:w="1480" w:type="dxa"/>
            <w:vAlign w:val="bottom"/>
          </w:tcPr>
          <w:p>
            <w:pPr>
              <w:spacing w:after="0"/>
              <w:rPr>
                <w:sz w:val="16"/>
                <w:szCs w:val="16"/>
                <w:color w:val="auto"/>
              </w:rPr>
            </w:pPr>
          </w:p>
        </w:tc>
        <w:tc>
          <w:tcPr>
            <w:tcW w:w="9940" w:type="dxa"/>
            <w:vAlign w:val="bottom"/>
            <w:gridSpan w:val="17"/>
          </w:tcPr>
          <w:p>
            <w:pPr>
              <w:spacing w:after="0" w:line="194" w:lineRule="exact"/>
              <w:rPr>
                <w:sz w:val="20"/>
                <w:szCs w:val="20"/>
                <w:color w:val="auto"/>
              </w:rPr>
            </w:pPr>
            <w:r>
              <w:rPr>
                <w:rFonts w:ascii="Times New Roman" w:cs="Times New Roman" w:eastAsia="Times New Roman" w:hAnsi="Times New Roman"/>
                <w:sz w:val="18"/>
                <w:szCs w:val="18"/>
                <w:color w:val="auto"/>
              </w:rPr>
              <w:t>This Schedule 13G/A is being filed on behalf of (a) Warburg Pincus Private Equity IX, L.P., a Delaware limited partnership (“WP IX”);</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99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auto"/>
              </w:rPr>
              <w:t>(b) Warburg Pincus IX, LLC, a New York limited liability company (“WP IX LLC”), the general partner of WP IX; (c) Warburg Pincus</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9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99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auto"/>
              </w:rPr>
              <w:t>Partners, LLC, a New York limited liability company (“WP Partners”), the sole member of WP IX LLC; (d) Warburg Pincus &amp; Co., a</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99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auto"/>
              </w:rPr>
              <w:t>New York general partnership (“WP”), the managing member of WP Partners; (e) Warburg Pincus LLC, a New York limited liability</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99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auto"/>
              </w:rPr>
              <w:t>company (“WP LLC”) the manager of WP IX; and (f) Messrs. Charles R. Kaye and Joseph P. Landy, each a United States citizen and</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480" w:type="dxa"/>
            <w:vAlign w:val="bottom"/>
          </w:tcPr>
          <w:p>
            <w:pPr>
              <w:spacing w:after="0"/>
              <w:rPr>
                <w:sz w:val="18"/>
                <w:szCs w:val="18"/>
                <w:color w:val="auto"/>
              </w:rPr>
            </w:pPr>
          </w:p>
        </w:tc>
        <w:tc>
          <w:tcPr>
            <w:tcW w:w="99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each a Managing General Partner of WP and a Co-President and Managing Member of WP LLC, each of whom may be deemed to</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99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control WP IX, WP IX LLC, WP Partners, WP and WP LLC. Mr. Kaye, Mr. Landy, WP IX, WP IX LLC, WP Partners, WP and WP</w:t>
            </w:r>
          </w:p>
        </w:tc>
        <w:tc>
          <w:tcPr>
            <w:tcW w:w="0" w:type="dxa"/>
            <w:vAlign w:val="bottom"/>
          </w:tcPr>
          <w:p>
            <w:pPr>
              <w:spacing w:after="0"/>
              <w:rPr>
                <w:sz w:val="1"/>
                <w:szCs w:val="1"/>
                <w:color w:val="auto"/>
              </w:rPr>
            </w:pPr>
          </w:p>
        </w:tc>
      </w:tr>
      <w:tr>
        <w:trPr>
          <w:trHeight w:val="194"/>
        </w:trPr>
        <w:tc>
          <w:tcPr>
            <w:tcW w:w="1480" w:type="dxa"/>
            <w:vAlign w:val="bottom"/>
          </w:tcPr>
          <w:p>
            <w:pPr>
              <w:spacing w:after="0"/>
              <w:rPr>
                <w:sz w:val="16"/>
                <w:szCs w:val="16"/>
                <w:color w:val="auto"/>
              </w:rPr>
            </w:pPr>
          </w:p>
        </w:tc>
        <w:tc>
          <w:tcPr>
            <w:tcW w:w="9940" w:type="dxa"/>
            <w:vAlign w:val="bottom"/>
            <w:gridSpan w:val="17"/>
          </w:tcPr>
          <w:p>
            <w:pPr>
              <w:spacing w:after="0" w:line="194" w:lineRule="exact"/>
              <w:rPr>
                <w:sz w:val="20"/>
                <w:szCs w:val="20"/>
                <w:color w:val="auto"/>
              </w:rPr>
            </w:pPr>
            <w:r>
              <w:rPr>
                <w:rFonts w:ascii="Times New Roman" w:cs="Times New Roman" w:eastAsia="Times New Roman" w:hAnsi="Times New Roman"/>
                <w:sz w:val="18"/>
                <w:szCs w:val="18"/>
                <w:color w:val="auto"/>
              </w:rPr>
              <w:t>LLC are collectively referred to herein as the “Warburg Pincus Reporting Persons.”</w:t>
            </w:r>
          </w:p>
        </w:tc>
        <w:tc>
          <w:tcPr>
            <w:tcW w:w="0" w:type="dxa"/>
            <w:vAlign w:val="bottom"/>
          </w:tcPr>
          <w:p>
            <w:pPr>
              <w:spacing w:after="0"/>
              <w:rPr>
                <w:sz w:val="1"/>
                <w:szCs w:val="1"/>
                <w:color w:val="auto"/>
              </w:rPr>
            </w:pPr>
          </w:p>
        </w:tc>
      </w:tr>
      <w:tr>
        <w:trPr>
          <w:trHeight w:val="28"/>
        </w:trPr>
        <w:tc>
          <w:tcPr>
            <w:tcW w:w="1480" w:type="dxa"/>
            <w:vAlign w:val="bottom"/>
            <w:vMerge w:val="restart"/>
          </w:tcPr>
          <w:p>
            <w:pPr>
              <w:ind w:left="1000"/>
              <w:spacing w:after="0"/>
              <w:rPr>
                <w:sz w:val="20"/>
                <w:szCs w:val="20"/>
                <w:color w:val="auto"/>
              </w:rPr>
            </w:pPr>
            <w:r>
              <w:rPr>
                <w:rFonts w:ascii="Times New Roman" w:cs="Times New Roman" w:eastAsia="Times New Roman" w:hAnsi="Times New Roman"/>
                <w:sz w:val="18"/>
                <w:szCs w:val="18"/>
                <w:color w:val="auto"/>
              </w:rPr>
              <w:t>(b):</w:t>
            </w: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480" w:type="dxa"/>
            <w:vAlign w:val="bottom"/>
            <w:vMerge w:val="continue"/>
          </w:tcPr>
          <w:p>
            <w:pPr>
              <w:spacing w:after="0"/>
              <w:rPr>
                <w:sz w:val="17"/>
                <w:szCs w:val="17"/>
                <w:color w:val="auto"/>
              </w:rPr>
            </w:pPr>
          </w:p>
        </w:tc>
        <w:tc>
          <w:tcPr>
            <w:tcW w:w="9940" w:type="dxa"/>
            <w:vAlign w:val="bottom"/>
            <w:gridSpan w:val="17"/>
          </w:tcPr>
          <w:p>
            <w:pPr>
              <w:spacing w:after="0" w:line="198" w:lineRule="exact"/>
              <w:rPr>
                <w:sz w:val="20"/>
                <w:szCs w:val="20"/>
                <w:color w:val="auto"/>
              </w:rPr>
            </w:pPr>
            <w:r>
              <w:rPr>
                <w:rFonts w:ascii="Times New Roman" w:cs="Times New Roman" w:eastAsia="Times New Roman" w:hAnsi="Times New Roman"/>
                <w:sz w:val="18"/>
                <w:szCs w:val="18"/>
                <w:color w:val="auto"/>
              </w:rPr>
              <w:t>Address of Principal Business Office or, if none, Residence:</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9940" w:type="dxa"/>
            <w:vAlign w:val="bottom"/>
            <w:gridSpan w:val="17"/>
          </w:tcPr>
          <w:p>
            <w:pPr>
              <w:spacing w:after="0"/>
              <w:rPr>
                <w:sz w:val="20"/>
                <w:szCs w:val="20"/>
                <w:color w:val="auto"/>
              </w:rPr>
            </w:pPr>
            <w:r>
              <w:rPr>
                <w:rFonts w:ascii="Times New Roman" w:cs="Times New Roman" w:eastAsia="Times New Roman" w:hAnsi="Times New Roman"/>
                <w:sz w:val="18"/>
                <w:szCs w:val="18"/>
                <w:color w:val="auto"/>
                <w:w w:val="99"/>
              </w:rPr>
              <w:t>The address of the principal business office of the Warburg Pincus Reporting Persons is c/o Warburg Pincus LLC, 450 Lexington Avenue,</w:t>
            </w:r>
          </w:p>
        </w:tc>
        <w:tc>
          <w:tcPr>
            <w:tcW w:w="0" w:type="dxa"/>
            <w:vAlign w:val="bottom"/>
          </w:tcPr>
          <w:p>
            <w:pPr>
              <w:spacing w:after="0"/>
              <w:rPr>
                <w:sz w:val="1"/>
                <w:szCs w:val="1"/>
                <w:color w:val="auto"/>
              </w:rPr>
            </w:pPr>
          </w:p>
        </w:tc>
      </w:tr>
      <w:tr>
        <w:trPr>
          <w:trHeight w:val="241"/>
        </w:trPr>
        <w:tc>
          <w:tcPr>
            <w:tcW w:w="1480" w:type="dxa"/>
            <w:vAlign w:val="bottom"/>
          </w:tcPr>
          <w:p>
            <w:pPr>
              <w:spacing w:after="0"/>
              <w:rPr>
                <w:sz w:val="20"/>
                <w:szCs w:val="20"/>
                <w:color w:val="auto"/>
              </w:rPr>
            </w:pPr>
          </w:p>
        </w:tc>
        <w:tc>
          <w:tcPr>
            <w:tcW w:w="9940" w:type="dxa"/>
            <w:vAlign w:val="bottom"/>
            <w:tcBorders>
              <w:bottom w:val="single" w:sz="8" w:color="auto"/>
            </w:tcBorders>
            <w:gridSpan w:val="17"/>
          </w:tcPr>
          <w:p>
            <w:pPr>
              <w:spacing w:after="0"/>
              <w:rPr>
                <w:sz w:val="20"/>
                <w:szCs w:val="20"/>
                <w:color w:val="auto"/>
              </w:rPr>
            </w:pPr>
            <w:r>
              <w:rPr>
                <w:rFonts w:ascii="Times New Roman" w:cs="Times New Roman" w:eastAsia="Times New Roman" w:hAnsi="Times New Roman"/>
                <w:sz w:val="18"/>
                <w:szCs w:val="18"/>
                <w:color w:val="auto"/>
              </w:rPr>
              <w:t>New York, New York 10017.</w:t>
            </w:r>
          </w:p>
        </w:tc>
        <w:tc>
          <w:tcPr>
            <w:tcW w:w="0" w:type="dxa"/>
            <w:vAlign w:val="bottom"/>
          </w:tcPr>
          <w:p>
            <w:pPr>
              <w:spacing w:after="0"/>
              <w:rPr>
                <w:sz w:val="1"/>
                <w:szCs w:val="1"/>
                <w:color w:val="auto"/>
              </w:rPr>
            </w:pPr>
          </w:p>
        </w:tc>
      </w:tr>
      <w:tr>
        <w:trPr>
          <w:trHeight w:val="198"/>
        </w:trPr>
        <w:tc>
          <w:tcPr>
            <w:tcW w:w="1480" w:type="dxa"/>
            <w:vAlign w:val="bottom"/>
          </w:tcPr>
          <w:p>
            <w:pPr>
              <w:ind w:left="1000"/>
              <w:spacing w:after="0" w:line="198" w:lineRule="exact"/>
              <w:rPr>
                <w:sz w:val="20"/>
                <w:szCs w:val="20"/>
                <w:color w:val="auto"/>
              </w:rPr>
            </w:pPr>
            <w:r>
              <w:rPr>
                <w:rFonts w:ascii="Times New Roman" w:cs="Times New Roman" w:eastAsia="Times New Roman" w:hAnsi="Times New Roman"/>
                <w:sz w:val="18"/>
                <w:szCs w:val="18"/>
                <w:color w:val="auto"/>
              </w:rPr>
              <w:t>(c):</w:t>
            </w:r>
          </w:p>
        </w:tc>
        <w:tc>
          <w:tcPr>
            <w:tcW w:w="9940" w:type="dxa"/>
            <w:vAlign w:val="bottom"/>
            <w:gridSpan w:val="17"/>
          </w:tcPr>
          <w:p>
            <w:pPr>
              <w:spacing w:after="0" w:line="198" w:lineRule="exact"/>
              <w:rPr>
                <w:sz w:val="20"/>
                <w:szCs w:val="20"/>
                <w:color w:val="auto"/>
              </w:rPr>
            </w:pPr>
            <w:r>
              <w:rPr>
                <w:rFonts w:ascii="Times New Roman" w:cs="Times New Roman" w:eastAsia="Times New Roman" w:hAnsi="Times New Roman"/>
                <w:sz w:val="18"/>
                <w:szCs w:val="18"/>
                <w:color w:val="auto"/>
              </w:rPr>
              <w:t>Citizenship:</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99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WP IX is a Delaware limited partnership; WP IX LLC is a New York limited liability company; WP Partners is a New York limited</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99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liability company; WP is a New York general partnership; and WP LLC is a New York limited liability company. Mr. Kaye and</w:t>
            </w:r>
          </w:p>
        </w:tc>
        <w:tc>
          <w:tcPr>
            <w:tcW w:w="0" w:type="dxa"/>
            <w:vAlign w:val="bottom"/>
          </w:tcPr>
          <w:p>
            <w:pPr>
              <w:spacing w:after="0"/>
              <w:rPr>
                <w:sz w:val="1"/>
                <w:szCs w:val="1"/>
                <w:color w:val="auto"/>
              </w:rPr>
            </w:pPr>
          </w:p>
        </w:tc>
      </w:tr>
      <w:tr>
        <w:trPr>
          <w:trHeight w:val="241"/>
        </w:trPr>
        <w:tc>
          <w:tcPr>
            <w:tcW w:w="1480" w:type="dxa"/>
            <w:vAlign w:val="bottom"/>
          </w:tcPr>
          <w:p>
            <w:pPr>
              <w:spacing w:after="0"/>
              <w:rPr>
                <w:sz w:val="20"/>
                <w:szCs w:val="20"/>
                <w:color w:val="auto"/>
              </w:rPr>
            </w:pPr>
          </w:p>
        </w:tc>
        <w:tc>
          <w:tcPr>
            <w:tcW w:w="9940" w:type="dxa"/>
            <w:vAlign w:val="bottom"/>
            <w:tcBorders>
              <w:bottom w:val="single" w:sz="8" w:color="auto"/>
            </w:tcBorders>
            <w:gridSpan w:val="17"/>
          </w:tcPr>
          <w:p>
            <w:pPr>
              <w:spacing w:after="0"/>
              <w:rPr>
                <w:sz w:val="20"/>
                <w:szCs w:val="20"/>
                <w:color w:val="auto"/>
              </w:rPr>
            </w:pPr>
            <w:r>
              <w:rPr>
                <w:rFonts w:ascii="Times New Roman" w:cs="Times New Roman" w:eastAsia="Times New Roman" w:hAnsi="Times New Roman"/>
                <w:sz w:val="18"/>
                <w:szCs w:val="18"/>
                <w:color w:val="auto"/>
              </w:rPr>
              <w:t>Mr. Landy are both citizens of the United States.</w:t>
            </w:r>
          </w:p>
        </w:tc>
        <w:tc>
          <w:tcPr>
            <w:tcW w:w="0" w:type="dxa"/>
            <w:vAlign w:val="bottom"/>
          </w:tcPr>
          <w:p>
            <w:pPr>
              <w:spacing w:after="0"/>
              <w:rPr>
                <w:sz w:val="1"/>
                <w:szCs w:val="1"/>
                <w:color w:val="auto"/>
              </w:rPr>
            </w:pPr>
          </w:p>
        </w:tc>
      </w:tr>
      <w:tr>
        <w:trPr>
          <w:trHeight w:val="198"/>
        </w:trPr>
        <w:tc>
          <w:tcPr>
            <w:tcW w:w="1480" w:type="dxa"/>
            <w:vAlign w:val="bottom"/>
          </w:tcPr>
          <w:p>
            <w:pPr>
              <w:ind w:left="1000"/>
              <w:spacing w:after="0" w:line="198" w:lineRule="exact"/>
              <w:rPr>
                <w:sz w:val="20"/>
                <w:szCs w:val="20"/>
                <w:color w:val="auto"/>
              </w:rPr>
            </w:pPr>
            <w:r>
              <w:rPr>
                <w:rFonts w:ascii="Times New Roman" w:cs="Times New Roman" w:eastAsia="Times New Roman" w:hAnsi="Times New Roman"/>
                <w:sz w:val="18"/>
                <w:szCs w:val="18"/>
                <w:color w:val="auto"/>
              </w:rPr>
              <w:t>(d):</w:t>
            </w:r>
          </w:p>
        </w:tc>
        <w:tc>
          <w:tcPr>
            <w:tcW w:w="9940" w:type="dxa"/>
            <w:vAlign w:val="bottom"/>
            <w:gridSpan w:val="17"/>
          </w:tcPr>
          <w:p>
            <w:pPr>
              <w:spacing w:after="0" w:line="198" w:lineRule="exact"/>
              <w:rPr>
                <w:sz w:val="20"/>
                <w:szCs w:val="20"/>
                <w:color w:val="auto"/>
              </w:rPr>
            </w:pPr>
            <w:r>
              <w:rPr>
                <w:rFonts w:ascii="Times New Roman" w:cs="Times New Roman" w:eastAsia="Times New Roman" w:hAnsi="Times New Roman"/>
                <w:sz w:val="18"/>
                <w:szCs w:val="18"/>
                <w:color w:val="auto"/>
              </w:rPr>
              <w:t>Title of Class of Securities:</w:t>
            </w:r>
          </w:p>
        </w:tc>
        <w:tc>
          <w:tcPr>
            <w:tcW w:w="0" w:type="dxa"/>
            <w:vAlign w:val="bottom"/>
          </w:tcPr>
          <w:p>
            <w:pPr>
              <w:spacing w:after="0"/>
              <w:rPr>
                <w:sz w:val="1"/>
                <w:szCs w:val="1"/>
                <w:color w:val="auto"/>
              </w:rPr>
            </w:pPr>
          </w:p>
        </w:tc>
      </w:tr>
      <w:tr>
        <w:trPr>
          <w:trHeight w:val="194"/>
        </w:trPr>
        <w:tc>
          <w:tcPr>
            <w:tcW w:w="1480" w:type="dxa"/>
            <w:vAlign w:val="bottom"/>
          </w:tcPr>
          <w:p>
            <w:pPr>
              <w:spacing w:after="0"/>
              <w:rPr>
                <w:sz w:val="16"/>
                <w:szCs w:val="16"/>
                <w:color w:val="auto"/>
              </w:rPr>
            </w:pPr>
          </w:p>
        </w:tc>
        <w:tc>
          <w:tcPr>
            <w:tcW w:w="9940" w:type="dxa"/>
            <w:vAlign w:val="bottom"/>
            <w:gridSpan w:val="17"/>
          </w:tcPr>
          <w:p>
            <w:pPr>
              <w:spacing w:after="0" w:line="194" w:lineRule="exact"/>
              <w:rPr>
                <w:sz w:val="20"/>
                <w:szCs w:val="20"/>
                <w:color w:val="auto"/>
              </w:rPr>
            </w:pPr>
            <w:r>
              <w:rPr>
                <w:rFonts w:ascii="Times New Roman" w:cs="Times New Roman" w:eastAsia="Times New Roman" w:hAnsi="Times New Roman"/>
                <w:sz w:val="18"/>
                <w:szCs w:val="18"/>
                <w:color w:val="auto"/>
              </w:rPr>
              <w:t>Common Stock, par value $0.01 per share (“Common Stock”)</w:t>
            </w:r>
          </w:p>
        </w:tc>
        <w:tc>
          <w:tcPr>
            <w:tcW w:w="0" w:type="dxa"/>
            <w:vAlign w:val="bottom"/>
          </w:tcPr>
          <w:p>
            <w:pPr>
              <w:spacing w:after="0"/>
              <w:rPr>
                <w:sz w:val="1"/>
                <w:szCs w:val="1"/>
                <w:color w:val="auto"/>
              </w:rPr>
            </w:pPr>
          </w:p>
        </w:tc>
      </w:tr>
      <w:tr>
        <w:trPr>
          <w:trHeight w:val="28"/>
        </w:trPr>
        <w:tc>
          <w:tcPr>
            <w:tcW w:w="1480" w:type="dxa"/>
            <w:vAlign w:val="bottom"/>
            <w:vMerge w:val="restart"/>
          </w:tcPr>
          <w:p>
            <w:pPr>
              <w:ind w:left="1000"/>
              <w:spacing w:after="0"/>
              <w:rPr>
                <w:sz w:val="20"/>
                <w:szCs w:val="20"/>
                <w:color w:val="auto"/>
              </w:rPr>
            </w:pPr>
            <w:r>
              <w:rPr>
                <w:rFonts w:ascii="Times New Roman" w:cs="Times New Roman" w:eastAsia="Times New Roman" w:hAnsi="Times New Roman"/>
                <w:sz w:val="18"/>
                <w:szCs w:val="18"/>
                <w:color w:val="auto"/>
              </w:rPr>
              <w:t>(e):</w:t>
            </w: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480" w:type="dxa"/>
            <w:vAlign w:val="bottom"/>
            <w:vMerge w:val="continue"/>
          </w:tcPr>
          <w:p>
            <w:pPr>
              <w:spacing w:after="0"/>
              <w:rPr>
                <w:sz w:val="17"/>
                <w:szCs w:val="17"/>
                <w:color w:val="auto"/>
              </w:rPr>
            </w:pPr>
          </w:p>
        </w:tc>
        <w:tc>
          <w:tcPr>
            <w:tcW w:w="9940" w:type="dxa"/>
            <w:vAlign w:val="bottom"/>
            <w:gridSpan w:val="17"/>
          </w:tcPr>
          <w:p>
            <w:pPr>
              <w:spacing w:after="0" w:line="198" w:lineRule="exact"/>
              <w:rPr>
                <w:sz w:val="20"/>
                <w:szCs w:val="20"/>
                <w:color w:val="auto"/>
              </w:rPr>
            </w:pPr>
            <w:r>
              <w:rPr>
                <w:rFonts w:ascii="Times New Roman" w:cs="Times New Roman" w:eastAsia="Times New Roman" w:hAnsi="Times New Roman"/>
                <w:sz w:val="18"/>
                <w:szCs w:val="18"/>
                <w:color w:val="auto"/>
              </w:rPr>
              <w:t>CUSIP Number</w:t>
            </w:r>
          </w:p>
        </w:tc>
        <w:tc>
          <w:tcPr>
            <w:tcW w:w="0" w:type="dxa"/>
            <w:vAlign w:val="bottom"/>
          </w:tcPr>
          <w:p>
            <w:pPr>
              <w:spacing w:after="0"/>
              <w:rPr>
                <w:sz w:val="1"/>
                <w:szCs w:val="1"/>
                <w:color w:val="auto"/>
              </w:rPr>
            </w:pPr>
          </w:p>
        </w:tc>
      </w:tr>
      <w:tr>
        <w:trPr>
          <w:trHeight w:val="241"/>
        </w:trPr>
        <w:tc>
          <w:tcPr>
            <w:tcW w:w="1480" w:type="dxa"/>
            <w:vAlign w:val="bottom"/>
          </w:tcPr>
          <w:p>
            <w:pPr>
              <w:spacing w:after="0"/>
              <w:rPr>
                <w:sz w:val="20"/>
                <w:szCs w:val="20"/>
                <w:color w:val="auto"/>
              </w:rPr>
            </w:pPr>
          </w:p>
        </w:tc>
        <w:tc>
          <w:tcPr>
            <w:tcW w:w="9940" w:type="dxa"/>
            <w:vAlign w:val="bottom"/>
            <w:tcBorders>
              <w:bottom w:val="single" w:sz="8" w:color="auto"/>
            </w:tcBorders>
            <w:gridSpan w:val="17"/>
          </w:tcPr>
          <w:p>
            <w:pPr>
              <w:spacing w:after="0"/>
              <w:rPr>
                <w:sz w:val="20"/>
                <w:szCs w:val="20"/>
                <w:color w:val="auto"/>
              </w:rPr>
            </w:pPr>
            <w:r>
              <w:rPr>
                <w:rFonts w:ascii="Times New Roman" w:cs="Times New Roman" w:eastAsia="Times New Roman" w:hAnsi="Times New Roman"/>
                <w:sz w:val="18"/>
                <w:szCs w:val="18"/>
                <w:color w:val="auto"/>
              </w:rPr>
              <w:t>92911N104</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Rules 13d-1(b) or 13d-2(b) or (c), check whether the person filing is a:</w:t>
      </w:r>
    </w:p>
    <w:p>
      <w:pPr>
        <w:spacing w:after="0" w:line="229" w:lineRule="exact"/>
        <w:rPr>
          <w:sz w:val="20"/>
          <w:szCs w:val="20"/>
          <w:color w:val="auto"/>
        </w:rPr>
      </w:pPr>
    </w:p>
    <w:p>
      <w:pPr>
        <w:ind w:left="1480" w:hanging="486"/>
        <w:spacing w:after="0"/>
        <w:tabs>
          <w:tab w:leader="none" w:pos="14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oBroker or dealer registered under section 15 of the Act,</w:t>
      </w:r>
    </w:p>
    <w:p>
      <w:pPr>
        <w:spacing w:after="0" w:line="225" w:lineRule="exact"/>
        <w:rPr>
          <w:rFonts w:ascii="Times New Roman" w:cs="Times New Roman" w:eastAsia="Times New Roman" w:hAnsi="Times New Roman"/>
          <w:sz w:val="18"/>
          <w:szCs w:val="18"/>
          <w:color w:val="auto"/>
        </w:rPr>
      </w:pPr>
    </w:p>
    <w:p>
      <w:pPr>
        <w:ind w:left="1480" w:hanging="486"/>
        <w:spacing w:after="0"/>
        <w:tabs>
          <w:tab w:leader="none" w:pos="14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oBank as defined in section 3(a)(6) of the Act,</w:t>
      </w:r>
    </w:p>
    <w:p>
      <w:pPr>
        <w:spacing w:after="0" w:line="225" w:lineRule="exact"/>
        <w:rPr>
          <w:rFonts w:ascii="Times New Roman" w:cs="Times New Roman" w:eastAsia="Times New Roman" w:hAnsi="Times New Roman"/>
          <w:sz w:val="18"/>
          <w:szCs w:val="18"/>
          <w:color w:val="auto"/>
        </w:rPr>
      </w:pPr>
    </w:p>
    <w:p>
      <w:pPr>
        <w:ind w:left="1480" w:hanging="486"/>
        <w:spacing w:after="0"/>
        <w:tabs>
          <w:tab w:leader="none" w:pos="14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oInsurance company as defined in section 3(a)(19) of the Act,</w:t>
      </w:r>
    </w:p>
    <w:p>
      <w:pPr>
        <w:spacing w:after="0" w:line="225" w:lineRule="exact"/>
        <w:rPr>
          <w:rFonts w:ascii="Times New Roman" w:cs="Times New Roman" w:eastAsia="Times New Roman" w:hAnsi="Times New Roman"/>
          <w:sz w:val="18"/>
          <w:szCs w:val="18"/>
          <w:color w:val="auto"/>
        </w:rPr>
      </w:pPr>
    </w:p>
    <w:p>
      <w:pPr>
        <w:ind w:left="1480" w:hanging="486"/>
        <w:spacing w:after="0"/>
        <w:tabs>
          <w:tab w:leader="none" w:pos="14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oInvestment company registered under section 8 of the Investment Company Act of 1940,</w:t>
      </w:r>
    </w:p>
    <w:p>
      <w:pPr>
        <w:spacing w:after="0" w:line="225" w:lineRule="exact"/>
        <w:rPr>
          <w:rFonts w:ascii="Times New Roman" w:cs="Times New Roman" w:eastAsia="Times New Roman" w:hAnsi="Times New Roman"/>
          <w:sz w:val="18"/>
          <w:szCs w:val="18"/>
          <w:color w:val="auto"/>
        </w:rPr>
      </w:pPr>
    </w:p>
    <w:p>
      <w:pPr>
        <w:ind w:left="1480" w:hanging="486"/>
        <w:spacing w:after="0"/>
        <w:tabs>
          <w:tab w:leader="none" w:pos="14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oInvestment Adviser in accordance with Rule 13d-1 (b)(1)(ii)(E),</w:t>
      </w:r>
    </w:p>
    <w:p>
      <w:pPr>
        <w:spacing w:after="0" w:line="225" w:lineRule="exact"/>
        <w:rPr>
          <w:rFonts w:ascii="Times New Roman" w:cs="Times New Roman" w:eastAsia="Times New Roman" w:hAnsi="Times New Roman"/>
          <w:sz w:val="18"/>
          <w:szCs w:val="18"/>
          <w:color w:val="auto"/>
        </w:rPr>
      </w:pPr>
    </w:p>
    <w:p>
      <w:pPr>
        <w:ind w:left="1480" w:hanging="486"/>
        <w:spacing w:after="0"/>
        <w:tabs>
          <w:tab w:leader="none" w:pos="14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oEmployee Benefit Plan or endowment fund in accordance with 13d-1 (b)(1)(ii)(F),</w:t>
      </w:r>
    </w:p>
    <w:p>
      <w:pPr>
        <w:spacing w:after="0" w:line="225" w:lineRule="exact"/>
        <w:rPr>
          <w:rFonts w:ascii="Times New Roman" w:cs="Times New Roman" w:eastAsia="Times New Roman" w:hAnsi="Times New Roman"/>
          <w:sz w:val="18"/>
          <w:szCs w:val="18"/>
          <w:color w:val="auto"/>
        </w:rPr>
      </w:pPr>
    </w:p>
    <w:p>
      <w:pPr>
        <w:ind w:left="1480" w:hanging="486"/>
        <w:spacing w:after="0"/>
        <w:tabs>
          <w:tab w:leader="none" w:pos="14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oParent holding company or control person in accordance with Rule 13d-1 (b)(1)(ii)(G),</w:t>
      </w:r>
    </w:p>
    <w:p>
      <w:pPr>
        <w:spacing w:after="0" w:line="225" w:lineRule="exact"/>
        <w:rPr>
          <w:rFonts w:ascii="Times New Roman" w:cs="Times New Roman" w:eastAsia="Times New Roman" w:hAnsi="Times New Roman"/>
          <w:sz w:val="18"/>
          <w:szCs w:val="18"/>
          <w:color w:val="auto"/>
        </w:rPr>
      </w:pPr>
    </w:p>
    <w:p>
      <w:pPr>
        <w:ind w:left="1480" w:hanging="486"/>
        <w:spacing w:after="0"/>
        <w:tabs>
          <w:tab w:leader="none" w:pos="14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oSavings association as defined in section 3(b) of the Federal Deposit Insurance Act,</w:t>
      </w:r>
    </w:p>
    <w:p>
      <w:pPr>
        <w:spacing w:after="0" w:line="225" w:lineRule="exact"/>
        <w:rPr>
          <w:rFonts w:ascii="Times New Roman" w:cs="Times New Roman" w:eastAsia="Times New Roman" w:hAnsi="Times New Roman"/>
          <w:sz w:val="18"/>
          <w:szCs w:val="18"/>
          <w:color w:val="auto"/>
        </w:rPr>
      </w:pPr>
    </w:p>
    <w:p>
      <w:pPr>
        <w:ind w:left="2000" w:hanging="1006"/>
        <w:spacing w:after="0" w:line="282" w:lineRule="auto"/>
        <w:tabs>
          <w:tab w:leader="none" w:pos="147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oChurch plan that is excluded from the definition of an investment company under section 3(c)(14) of the Investment Company Act of 1940,</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3" w:lineRule="exact"/>
        <w:rPr>
          <w:rFonts w:ascii="Times New Roman" w:cs="Times New Roman" w:eastAsia="Times New Roman" w:hAnsi="Times New Roman"/>
          <w:sz w:val="18"/>
          <w:szCs w:val="18"/>
          <w:color w:val="auto"/>
        </w:rPr>
      </w:pPr>
    </w:p>
    <w:p>
      <w:pPr>
        <w:ind w:left="5680" w:hanging="86"/>
        <w:spacing w:after="0"/>
        <w:tabs>
          <w:tab w:leader="none" w:pos="5680"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167640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9" w:name="page10"/>
    <w:bookmarkEnd w:id="9"/>
    <w:p>
      <w:pPr>
        <w:ind w:left="1480" w:hanging="486"/>
        <w:spacing w:after="0"/>
        <w:tabs>
          <w:tab w:leader="none" w:pos="14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 non-U.S. institution in accordance with Rule 13d-1(b)(1)(ii)(J)</w:t>
      </w:r>
    </w:p>
    <w:p>
      <w:pPr>
        <w:spacing w:after="0" w:line="225" w:lineRule="exact"/>
        <w:rPr>
          <w:rFonts w:ascii="Times New Roman" w:cs="Times New Roman" w:eastAsia="Times New Roman" w:hAnsi="Times New Roman"/>
          <w:sz w:val="18"/>
          <w:szCs w:val="18"/>
          <w:color w:val="auto"/>
        </w:rPr>
      </w:pPr>
    </w:p>
    <w:p>
      <w:pPr>
        <w:ind w:left="1480" w:hanging="486"/>
        <w:spacing w:after="0"/>
        <w:tabs>
          <w:tab w:leader="none" w:pos="14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oGroup, in accordance with Rule 13d-1(b)(1)(ii)(K)</w:t>
      </w:r>
    </w:p>
    <w:p>
      <w:pPr>
        <w:spacing w:after="0" w:line="248"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229" w:lineRule="exact"/>
        <w:rPr>
          <w:sz w:val="20"/>
          <w:szCs w:val="20"/>
          <w:color w:val="auto"/>
        </w:rPr>
      </w:pPr>
    </w:p>
    <w:p>
      <w:pPr>
        <w:ind w:left="112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Items 4(a) - (c) is set forth in Rows 5 - 11 of the cover page hereto for each Warburg Pincus Reporting Person and is incorporated herein by reference for each such Warburg Pincus Reporting Person.</w:t>
      </w:r>
    </w:p>
    <w:p>
      <w:pPr>
        <w:spacing w:after="0" w:line="374"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left="1120" w:right="260"/>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374"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Ownership of More than Five Percent on Behalf of Another Person:</w:t>
      </w:r>
    </w:p>
    <w:p>
      <w:pPr>
        <w:spacing w:after="0" w:line="22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N/A</w:t>
      </w: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N/A</w:t>
      </w: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Identification and Classification of Members of the Group:</w:t>
      </w:r>
    </w:p>
    <w:p>
      <w:pPr>
        <w:spacing w:after="0" w:line="229" w:lineRule="exact"/>
        <w:rPr>
          <w:sz w:val="20"/>
          <w:szCs w:val="20"/>
          <w:color w:val="auto"/>
        </w:rPr>
      </w:pPr>
    </w:p>
    <w:p>
      <w:pPr>
        <w:ind w:left="1120" w:right="260"/>
        <w:spacing w:after="0" w:line="258" w:lineRule="auto"/>
        <w:rPr>
          <w:sz w:val="20"/>
          <w:szCs w:val="20"/>
          <w:color w:val="auto"/>
        </w:rPr>
      </w:pPr>
      <w:r>
        <w:rPr>
          <w:rFonts w:ascii="Times New Roman" w:cs="Times New Roman" w:eastAsia="Times New Roman" w:hAnsi="Times New Roman"/>
          <w:sz w:val="18"/>
          <w:szCs w:val="18"/>
          <w:color w:val="auto"/>
        </w:rPr>
        <w:t>The Warburg Pincus Reporting Persons are making this single, joint filing because they may be deemed to constitute a “group” within the meaning of Section 13(d)-3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The agreement among the Warburg Pincus Reporting Persons to file this Schedule 13G/A jointly in accordance with Rule 13d-1(k) of the Exchange Act is attached to the Schedule 13G previously filed with the United States Securities and Exchange Commission by the Warburg Pincus Reporting Persons with respect to Vringo, Inc. on June 29, 2010.</w:t>
      </w:r>
    </w:p>
    <w:p>
      <w:pPr>
        <w:spacing w:after="0" w:line="396"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N/A</w:t>
      </w: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167640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 w:name="page11"/>
    <w:bookmarkEnd w:id="10"/>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correct.</w:t>
      </w:r>
    </w:p>
    <w:p>
      <w:pPr>
        <w:spacing w:after="0" w:line="207" w:lineRule="exact"/>
        <w:rPr>
          <w:sz w:val="20"/>
          <w:szCs w:val="20"/>
          <w:color w:val="auto"/>
        </w:rPr>
      </w:pPr>
    </w:p>
    <w:p>
      <w:pPr>
        <w:spacing w:after="0"/>
        <w:tabs>
          <w:tab w:leader="none" w:pos="5680" w:val="left"/>
        </w:tabs>
        <w:rPr>
          <w:sz w:val="20"/>
          <w:szCs w:val="20"/>
          <w:color w:val="auto"/>
        </w:rPr>
      </w:pPr>
      <w:r>
        <w:rPr>
          <w:rFonts w:ascii="Times New Roman" w:cs="Times New Roman" w:eastAsia="Times New Roman" w:hAnsi="Times New Roman"/>
          <w:sz w:val="18"/>
          <w:szCs w:val="18"/>
          <w:color w:val="auto"/>
        </w:rPr>
        <w:t>Dated: June 30, 2011</w:t>
      </w:r>
      <w:r>
        <w:rPr>
          <w:sz w:val="20"/>
          <w:szCs w:val="20"/>
          <w:color w:val="auto"/>
        </w:rPr>
        <w:tab/>
      </w:r>
      <w:r>
        <w:rPr>
          <w:rFonts w:ascii="Times New Roman" w:cs="Times New Roman" w:eastAsia="Times New Roman" w:hAnsi="Times New Roman"/>
          <w:sz w:val="17"/>
          <w:szCs w:val="17"/>
          <w:color w:val="auto"/>
        </w:rPr>
        <w:t>WARBURG PINCUS PRIVATE EQUITY IX, L.P.</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By:  Warburg Pincus IX, LLC,</w:t>
      </w:r>
    </w:p>
    <w:p>
      <w:pPr>
        <w:spacing w:after="0" w:line="27"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By:  Warburg Pincus Partners, LLC,</w:t>
      </w:r>
    </w:p>
    <w:p>
      <w:pPr>
        <w:spacing w:after="0" w:line="27"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its Sole Member</w:t>
      </w:r>
    </w:p>
    <w:p>
      <w:pPr>
        <w:spacing w:after="0" w:line="20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By:  Warburg Pincus &amp; Co.,</w:t>
      </w:r>
    </w:p>
    <w:p>
      <w:pPr>
        <w:spacing w:after="0" w:line="27"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0" w:lineRule="exact"/>
        <w:rPr>
          <w:sz w:val="20"/>
          <w:szCs w:val="20"/>
          <w:color w:val="auto"/>
        </w:rPr>
      </w:pPr>
    </w:p>
    <w:p>
      <w:pPr>
        <w:spacing w:after="0" w:line="223" w:lineRule="exact"/>
        <w:rPr>
          <w:sz w:val="20"/>
          <w:szCs w:val="20"/>
          <w:color w:val="auto"/>
        </w:rPr>
      </w:pPr>
    </w:p>
    <w:p>
      <w:pPr>
        <w:ind w:left="570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A. Arenare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17145</wp:posOffset>
            </wp:positionV>
            <wp:extent cx="338772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87725"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Scott A. Arenare</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Partner</w:t>
      </w:r>
    </w:p>
    <w:p>
      <w:pPr>
        <w:spacing w:after="0" w:line="207" w:lineRule="exact"/>
        <w:rPr>
          <w:sz w:val="20"/>
          <w:szCs w:val="20"/>
          <w:color w:val="auto"/>
        </w:rPr>
      </w:pPr>
    </w:p>
    <w:p>
      <w:pPr>
        <w:spacing w:after="0"/>
        <w:tabs>
          <w:tab w:leader="none" w:pos="5680" w:val="left"/>
        </w:tabs>
        <w:rPr>
          <w:sz w:val="20"/>
          <w:szCs w:val="20"/>
          <w:color w:val="auto"/>
        </w:rPr>
      </w:pPr>
      <w:r>
        <w:rPr>
          <w:rFonts w:ascii="Times New Roman" w:cs="Times New Roman" w:eastAsia="Times New Roman" w:hAnsi="Times New Roman"/>
          <w:sz w:val="18"/>
          <w:szCs w:val="18"/>
          <w:color w:val="auto"/>
        </w:rPr>
        <w:t>Dated: June 30, 2011</w:t>
      </w:r>
      <w:r>
        <w:rPr>
          <w:sz w:val="20"/>
          <w:szCs w:val="20"/>
          <w:color w:val="auto"/>
        </w:rPr>
        <w:tab/>
      </w:r>
      <w:r>
        <w:rPr>
          <w:rFonts w:ascii="Times New Roman" w:cs="Times New Roman" w:eastAsia="Times New Roman" w:hAnsi="Times New Roman"/>
          <w:sz w:val="17"/>
          <w:szCs w:val="17"/>
          <w:color w:val="auto"/>
        </w:rPr>
        <w:t>WARBURG PINCUS IX, LLC</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By:  Warburg Pincus Partners, LLC,</w:t>
      </w:r>
    </w:p>
    <w:p>
      <w:pPr>
        <w:spacing w:after="0" w:line="27"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its Sole Member</w:t>
      </w:r>
    </w:p>
    <w:p>
      <w:pPr>
        <w:spacing w:after="0" w:line="20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By:  Warburg Pincus &amp; Co.,</w:t>
      </w:r>
    </w:p>
    <w:p>
      <w:pPr>
        <w:spacing w:after="0" w:line="27"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ind w:left="570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A. Arenare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17145</wp:posOffset>
            </wp:positionV>
            <wp:extent cx="338772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87725"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Scott A. Arenare</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Partner</w:t>
      </w:r>
    </w:p>
    <w:p>
      <w:pPr>
        <w:spacing w:after="0" w:line="207" w:lineRule="exact"/>
        <w:rPr>
          <w:sz w:val="20"/>
          <w:szCs w:val="20"/>
          <w:color w:val="auto"/>
        </w:rPr>
      </w:pPr>
    </w:p>
    <w:p>
      <w:pPr>
        <w:spacing w:after="0"/>
        <w:tabs>
          <w:tab w:leader="none" w:pos="5680" w:val="left"/>
        </w:tabs>
        <w:rPr>
          <w:sz w:val="20"/>
          <w:szCs w:val="20"/>
          <w:color w:val="auto"/>
        </w:rPr>
      </w:pPr>
      <w:r>
        <w:rPr>
          <w:rFonts w:ascii="Times New Roman" w:cs="Times New Roman" w:eastAsia="Times New Roman" w:hAnsi="Times New Roman"/>
          <w:sz w:val="18"/>
          <w:szCs w:val="18"/>
          <w:color w:val="auto"/>
        </w:rPr>
        <w:t>Dated: June 30, 2011</w:t>
      </w:r>
      <w:r>
        <w:rPr>
          <w:sz w:val="20"/>
          <w:szCs w:val="20"/>
          <w:color w:val="auto"/>
        </w:rPr>
        <w:tab/>
      </w:r>
      <w:r>
        <w:rPr>
          <w:rFonts w:ascii="Times New Roman" w:cs="Times New Roman" w:eastAsia="Times New Roman" w:hAnsi="Times New Roman"/>
          <w:sz w:val="17"/>
          <w:szCs w:val="17"/>
          <w:color w:val="auto"/>
        </w:rPr>
        <w:t>WARBURG PINCUS PARTNERS, LLC</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By:  Warburg Pincus &amp; Co.,</w:t>
      </w:r>
    </w:p>
    <w:p>
      <w:pPr>
        <w:spacing w:after="0" w:line="27"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ind w:left="570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A. Arenare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17145</wp:posOffset>
            </wp:positionV>
            <wp:extent cx="338772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87725"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Scott A. Arenare</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Partner</w:t>
      </w:r>
    </w:p>
    <w:p>
      <w:pPr>
        <w:spacing w:after="0" w:line="207" w:lineRule="exact"/>
        <w:rPr>
          <w:sz w:val="20"/>
          <w:szCs w:val="20"/>
          <w:color w:val="auto"/>
        </w:rPr>
      </w:pPr>
    </w:p>
    <w:p>
      <w:pPr>
        <w:spacing w:after="0"/>
        <w:tabs>
          <w:tab w:leader="none" w:pos="5680" w:val="left"/>
        </w:tabs>
        <w:rPr>
          <w:sz w:val="20"/>
          <w:szCs w:val="20"/>
          <w:color w:val="auto"/>
        </w:rPr>
      </w:pPr>
      <w:r>
        <w:rPr>
          <w:rFonts w:ascii="Times New Roman" w:cs="Times New Roman" w:eastAsia="Times New Roman" w:hAnsi="Times New Roman"/>
          <w:sz w:val="18"/>
          <w:szCs w:val="18"/>
          <w:color w:val="auto"/>
        </w:rPr>
        <w:t>Dated: June 30, 2011</w:t>
      </w:r>
      <w:r>
        <w:rPr>
          <w:sz w:val="20"/>
          <w:szCs w:val="20"/>
          <w:color w:val="auto"/>
        </w:rPr>
        <w:tab/>
      </w:r>
      <w:r>
        <w:rPr>
          <w:rFonts w:ascii="Times New Roman" w:cs="Times New Roman" w:eastAsia="Times New Roman" w:hAnsi="Times New Roman"/>
          <w:sz w:val="17"/>
          <w:szCs w:val="17"/>
          <w:color w:val="auto"/>
        </w:rPr>
        <w:t>WARBURG PINCUS &amp; CO.</w:t>
      </w:r>
    </w:p>
    <w:p>
      <w:pPr>
        <w:spacing w:after="0" w:line="200" w:lineRule="exact"/>
        <w:rPr>
          <w:sz w:val="20"/>
          <w:szCs w:val="20"/>
          <w:color w:val="auto"/>
        </w:rPr>
      </w:pPr>
    </w:p>
    <w:p>
      <w:pPr>
        <w:spacing w:after="0" w:line="241" w:lineRule="exact"/>
        <w:rPr>
          <w:sz w:val="20"/>
          <w:szCs w:val="20"/>
          <w:color w:val="auto"/>
        </w:rPr>
      </w:pPr>
    </w:p>
    <w:p>
      <w:pPr>
        <w:ind w:left="570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A. Arenare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17145</wp:posOffset>
            </wp:positionV>
            <wp:extent cx="338772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87725"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Scott A. Arenare</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Partner</w:t>
      </w:r>
    </w:p>
    <w:p>
      <w:pPr>
        <w:spacing w:after="0" w:line="200" w:lineRule="exact"/>
        <w:rPr>
          <w:sz w:val="20"/>
          <w:szCs w:val="20"/>
          <w:color w:val="auto"/>
        </w:rPr>
      </w:pPr>
    </w:p>
    <w:p>
      <w:pPr>
        <w:spacing w:after="0" w:line="24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167640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400" w:right="519" w:bottom="1440" w:gutter="0" w:footer="0" w:header="0"/>
        </w:sectPr>
      </w:pPr>
    </w:p>
    <w:bookmarkStart w:id="11" w:name="page12"/>
    <w:bookmarkEnd w:id="11"/>
    <w:p>
      <w:pPr>
        <w:spacing w:after="0"/>
        <w:tabs>
          <w:tab w:leader="none" w:pos="5680" w:val="left"/>
        </w:tabs>
        <w:rPr>
          <w:sz w:val="20"/>
          <w:szCs w:val="20"/>
          <w:color w:val="auto"/>
        </w:rPr>
      </w:pPr>
      <w:r>
        <w:rPr>
          <w:rFonts w:ascii="Times New Roman" w:cs="Times New Roman" w:eastAsia="Times New Roman" w:hAnsi="Times New Roman"/>
          <w:sz w:val="18"/>
          <w:szCs w:val="18"/>
          <w:color w:val="auto"/>
        </w:rPr>
        <w:t>Dated: June 30, 2011</w:t>
      </w:r>
      <w:r>
        <w:rPr>
          <w:sz w:val="20"/>
          <w:szCs w:val="20"/>
          <w:color w:val="auto"/>
        </w:rPr>
        <w:tab/>
      </w:r>
      <w:r>
        <w:rPr>
          <w:rFonts w:ascii="Times New Roman" w:cs="Times New Roman" w:eastAsia="Times New Roman" w:hAnsi="Times New Roman"/>
          <w:sz w:val="17"/>
          <w:szCs w:val="17"/>
          <w:color w:val="auto"/>
        </w:rPr>
        <w:t>WARBURG PINCUS LLC</w:t>
      </w:r>
    </w:p>
    <w:p>
      <w:pPr>
        <w:spacing w:after="0" w:line="200" w:lineRule="exact"/>
        <w:rPr>
          <w:sz w:val="20"/>
          <w:szCs w:val="20"/>
          <w:color w:val="auto"/>
        </w:rPr>
      </w:pPr>
    </w:p>
    <w:p>
      <w:pPr>
        <w:spacing w:after="0" w:line="241" w:lineRule="exact"/>
        <w:rPr>
          <w:sz w:val="20"/>
          <w:szCs w:val="20"/>
          <w:color w:val="auto"/>
        </w:rPr>
      </w:pPr>
    </w:p>
    <w:p>
      <w:pPr>
        <w:ind w:left="570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A. Arenare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17145</wp:posOffset>
            </wp:positionV>
            <wp:extent cx="338772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87725"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Scott A. Arenare</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tabs>
          <w:tab w:leader="none" w:pos="5740" w:val="left"/>
        </w:tabs>
        <w:rPr>
          <w:sz w:val="20"/>
          <w:szCs w:val="20"/>
          <w:color w:val="auto"/>
        </w:rPr>
      </w:pPr>
      <w:r>
        <w:rPr>
          <w:rFonts w:ascii="Times New Roman" w:cs="Times New Roman" w:eastAsia="Times New Roman" w:hAnsi="Times New Roman"/>
          <w:sz w:val="18"/>
          <w:szCs w:val="18"/>
          <w:color w:val="auto"/>
        </w:rPr>
        <w:t>Dated: June 30, 2011</w:t>
      </w:r>
      <w:r>
        <w:rPr>
          <w:sz w:val="20"/>
          <w:szCs w:val="20"/>
          <w:color w:val="auto"/>
        </w:rPr>
        <w:tab/>
      </w:r>
      <w:r>
        <w:rPr>
          <w:rFonts w:ascii="Times New Roman" w:cs="Times New Roman" w:eastAsia="Times New Roman" w:hAnsi="Times New Roman"/>
          <w:sz w:val="17"/>
          <w:szCs w:val="17"/>
          <w:color w:val="auto"/>
        </w:rPr>
        <w:t>CHARLES R. KAYE</w:t>
      </w:r>
    </w:p>
    <w:p>
      <w:pPr>
        <w:spacing w:after="0" w:line="200" w:lineRule="exact"/>
        <w:rPr>
          <w:sz w:val="20"/>
          <w:szCs w:val="20"/>
          <w:color w:val="auto"/>
        </w:rPr>
      </w:pPr>
    </w:p>
    <w:p>
      <w:pPr>
        <w:spacing w:after="0" w:line="24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/s/ Scott A. Arenare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17145</wp:posOffset>
            </wp:positionV>
            <wp:extent cx="362775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Charles R. Kaye</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By:  Scott A. Arenare</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as Attorney-in-Fact*</w:t>
      </w:r>
    </w:p>
    <w:p>
      <w:pPr>
        <w:spacing w:after="0" w:line="207" w:lineRule="exact"/>
        <w:rPr>
          <w:sz w:val="20"/>
          <w:szCs w:val="20"/>
          <w:color w:val="auto"/>
        </w:rPr>
      </w:pPr>
    </w:p>
    <w:p>
      <w:pPr>
        <w:spacing w:after="0"/>
        <w:tabs>
          <w:tab w:leader="none" w:pos="5740" w:val="left"/>
        </w:tabs>
        <w:rPr>
          <w:sz w:val="20"/>
          <w:szCs w:val="20"/>
          <w:color w:val="auto"/>
        </w:rPr>
      </w:pPr>
      <w:r>
        <w:rPr>
          <w:rFonts w:ascii="Times New Roman" w:cs="Times New Roman" w:eastAsia="Times New Roman" w:hAnsi="Times New Roman"/>
          <w:sz w:val="18"/>
          <w:szCs w:val="18"/>
          <w:color w:val="auto"/>
        </w:rPr>
        <w:t>Dated: June 30, 2011</w:t>
      </w:r>
      <w:r>
        <w:rPr>
          <w:sz w:val="20"/>
          <w:szCs w:val="20"/>
          <w:color w:val="auto"/>
        </w:rPr>
        <w:tab/>
      </w:r>
      <w:r>
        <w:rPr>
          <w:rFonts w:ascii="Times New Roman" w:cs="Times New Roman" w:eastAsia="Times New Roman" w:hAnsi="Times New Roman"/>
          <w:sz w:val="17"/>
          <w:szCs w:val="17"/>
          <w:color w:val="auto"/>
        </w:rPr>
        <w:t>JOSEPH P. LANDY</w:t>
      </w:r>
    </w:p>
    <w:p>
      <w:pPr>
        <w:spacing w:after="0" w:line="200" w:lineRule="exact"/>
        <w:rPr>
          <w:sz w:val="20"/>
          <w:szCs w:val="20"/>
          <w:color w:val="auto"/>
        </w:rPr>
      </w:pPr>
    </w:p>
    <w:p>
      <w:pPr>
        <w:spacing w:after="0" w:line="24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/s/ Scott A. Arenare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17145</wp:posOffset>
            </wp:positionV>
            <wp:extent cx="362775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Joseph P. Landy</w:t>
      </w:r>
    </w:p>
    <w:p>
      <w:pPr>
        <w:spacing w:after="0" w:line="27" w:lineRule="exact"/>
        <w:rPr>
          <w:sz w:val="20"/>
          <w:szCs w:val="20"/>
          <w:color w:val="auto"/>
        </w:rPr>
      </w:pPr>
    </w:p>
    <w:p>
      <w:pPr>
        <w:ind w:left="570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Scott A. Arenare</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as Attorney-in-Fact**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w:t>
      </w:r>
    </w:p>
    <w:p>
      <w:pPr>
        <w:spacing w:after="0" w:line="215" w:lineRule="exact"/>
        <w:rPr>
          <w:sz w:val="20"/>
          <w:szCs w:val="20"/>
          <w:color w:val="auto"/>
        </w:rPr>
      </w:pPr>
    </w:p>
    <w:p>
      <w:pPr>
        <w:ind w:left="880" w:hanging="872"/>
        <w:spacing w:after="0" w:line="282" w:lineRule="auto"/>
        <w:tabs>
          <w:tab w:leader="none" w:pos="8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of Attorney given by Mr. Kaye was previously filed with the United States Securities and Exchange Commission (“SEC”) on March 2, 2006, as an exhibit to the Schedule 13D filed by Building Products, LLC with respect to Builders FirstSource, Inc.</w:t>
      </w:r>
    </w:p>
    <w:p>
      <w:pPr>
        <w:spacing w:after="0" w:line="162" w:lineRule="exact"/>
        <w:rPr>
          <w:sz w:val="20"/>
          <w:szCs w:val="20"/>
          <w:color w:val="auto"/>
        </w:rPr>
      </w:pPr>
    </w:p>
    <w:p>
      <w:pPr>
        <w:ind w:left="880" w:right="440" w:hanging="872"/>
        <w:spacing w:after="0" w:line="282" w:lineRule="auto"/>
        <w:tabs>
          <w:tab w:leader="none" w:pos="8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of Attorney given by Mr. Landy was previously filed with the SEC on March 2, 2006, as an exhibit to the Schedule 13D filed by Building Products, LLC with respect to Builders FirstSource, Inc.</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5640" w:hanging="82"/>
        <w:spacing w:after="0"/>
        <w:tabs>
          <w:tab w:leader="none" w:pos="5640" w:val="left"/>
        </w:tabs>
        <w:numPr>
          <w:ilvl w:val="1"/>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12 -</w:t>
      </w:r>
    </w:p>
    <w:sectPr>
      <w:pgSz w:w="11900" w:h="16838" w:orient="portrait"/>
      <w:cols w:equalWidth="0" w:num="1">
        <w:col w:w="11420"/>
      </w:cols>
      <w:pgMar w:left="240" w:top="118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1F32454"/>
    <w:multiLevelType w:val="hybridMultilevel"/>
    <w:lvl w:ilvl="0">
      <w:lvlJc w:val="left"/>
      <w:lvlText w:val="o"/>
      <w:numFmt w:val="bullet"/>
      <w:start w:val="1"/>
    </w:lvl>
  </w:abstractNum>
  <w:abstractNum w:abstractNumId="1">
    <w:nsid w:val="2CA88611"/>
    <w:multiLevelType w:val="hybridMultilevel"/>
    <w:lvl w:ilvl="0">
      <w:lvlJc w:val="left"/>
      <w:lvlText w:val="1"/>
      <w:numFmt w:val="bullet"/>
      <w:start w:val="1"/>
    </w:lvl>
  </w:abstractNum>
  <w:abstractNum w:abstractNumId="2">
    <w:nsid w:val="836C40E"/>
    <w:multiLevelType w:val="hybridMultilevel"/>
    <w:lvl w:ilvl="0">
      <w:lvlJc w:val="left"/>
      <w:lvlText w:val="2"/>
      <w:numFmt w:val="bullet"/>
      <w:start w:val="1"/>
    </w:lvl>
    <w:lvl w:ilvl="1">
      <w:lvlJc w:val="left"/>
      <w:lvlText w:val="(%2)"/>
      <w:numFmt w:val="lowerLetter"/>
      <w:start w:val="1"/>
    </w:lvl>
  </w:abstractNum>
  <w:abstractNum w:abstractNumId="3">
    <w:nsid w:val="2901D82"/>
    <w:multiLevelType w:val="hybridMultilevel"/>
    <w:lvl w:ilvl="0">
      <w:lvlJc w:val="left"/>
      <w:lvlText w:val="3"/>
      <w:numFmt w:val="bullet"/>
      <w:start w:val="1"/>
    </w:lvl>
  </w:abstractNum>
  <w:abstractNum w:abstractNumId="4">
    <w:nsid w:val="3A95F874"/>
    <w:multiLevelType w:val="hybridMultilevel"/>
    <w:lvl w:ilvl="0">
      <w:lvlJc w:val="left"/>
      <w:lvlText w:val="4"/>
      <w:numFmt w:val="bullet"/>
      <w:start w:val="1"/>
    </w:lvl>
  </w:abstractNum>
  <w:abstractNum w:abstractNumId="5">
    <w:nsid w:val="8138641"/>
    <w:multiLevelType w:val="hybridMultilevel"/>
    <w:lvl w:ilvl="0">
      <w:lvlJc w:val="left"/>
      <w:lvlText w:val="8"/>
      <w:numFmt w:val="bullet"/>
      <w:start w:val="1"/>
    </w:lvl>
  </w:abstractNum>
  <w:abstractNum w:abstractNumId="6">
    <w:nsid w:val="1E7FF521"/>
    <w:multiLevelType w:val="hybridMultilevel"/>
    <w:lvl w:ilvl="0">
      <w:lvlJc w:val="left"/>
      <w:lvlText w:val="9"/>
      <w:numFmt w:val="bullet"/>
      <w:start w:val="1"/>
    </w:lvl>
  </w:abstractNum>
  <w:abstractNum w:abstractNumId="7">
    <w:nsid w:val="7C3DBD3D"/>
    <w:multiLevelType w:val="hybridMultilevel"/>
    <w:lvl w:ilvl="0">
      <w:lvlJc w:val="left"/>
      <w:lvlText w:val="%1"/>
      <w:numFmt w:val="decimal"/>
      <w:start w:val="10"/>
    </w:lvl>
  </w:abstractNum>
  <w:abstractNum w:abstractNumId="8">
    <w:nsid w:val="737B8DDC"/>
    <w:multiLevelType w:val="hybridMultilevel"/>
    <w:lvl w:ilvl="0">
      <w:lvlJc w:val="left"/>
      <w:lvlText w:val="1"/>
      <w:numFmt w:val="bullet"/>
      <w:start w:val="1"/>
    </w:lvl>
  </w:abstractNum>
  <w:abstractNum w:abstractNumId="9">
    <w:nsid w:val="6CEAF087"/>
    <w:multiLevelType w:val="hybridMultilevel"/>
    <w:lvl w:ilvl="0">
      <w:lvlJc w:val="left"/>
      <w:lvlText w:val="2"/>
      <w:numFmt w:val="bullet"/>
      <w:start w:val="1"/>
    </w:lvl>
    <w:lvl w:ilvl="1">
      <w:lvlJc w:val="left"/>
      <w:lvlText w:val="(%2)"/>
      <w:numFmt w:val="lowerLetter"/>
      <w:start w:val="1"/>
    </w:lvl>
  </w:abstractNum>
  <w:abstractNum w:abstractNumId="10">
    <w:nsid w:val="22221A70"/>
    <w:multiLevelType w:val="hybridMultilevel"/>
    <w:lvl w:ilvl="0">
      <w:lvlJc w:val="left"/>
      <w:lvlText w:val="3"/>
      <w:numFmt w:val="bullet"/>
      <w:start w:val="1"/>
    </w:lvl>
  </w:abstractNum>
  <w:abstractNum w:abstractNumId="11">
    <w:nsid w:val="4516DDE9"/>
    <w:multiLevelType w:val="hybridMultilevel"/>
    <w:lvl w:ilvl="0">
      <w:lvlJc w:val="left"/>
      <w:lvlText w:val="4"/>
      <w:numFmt w:val="bullet"/>
      <w:start w:val="1"/>
    </w:lvl>
  </w:abstractNum>
  <w:abstractNum w:abstractNumId="12">
    <w:nsid w:val="3006C83E"/>
    <w:multiLevelType w:val="hybridMultilevel"/>
    <w:lvl w:ilvl="0">
      <w:lvlJc w:val="left"/>
      <w:lvlText w:val="8"/>
      <w:numFmt w:val="bullet"/>
      <w:start w:val="1"/>
    </w:lvl>
  </w:abstractNum>
  <w:abstractNum w:abstractNumId="13">
    <w:nsid w:val="614FD4A1"/>
    <w:multiLevelType w:val="hybridMultilevel"/>
    <w:lvl w:ilvl="0">
      <w:lvlJc w:val="left"/>
      <w:lvlText w:val="9"/>
      <w:numFmt w:val="bullet"/>
      <w:start w:val="1"/>
    </w:lvl>
  </w:abstractNum>
  <w:abstractNum w:abstractNumId="14">
    <w:nsid w:val="419AC241"/>
    <w:multiLevelType w:val="hybridMultilevel"/>
    <w:lvl w:ilvl="0">
      <w:lvlJc w:val="left"/>
      <w:lvlText w:val="%1"/>
      <w:numFmt w:val="decimal"/>
      <w:start w:val="10"/>
    </w:lvl>
  </w:abstractNum>
  <w:abstractNum w:abstractNumId="15">
    <w:nsid w:val="5577F8E1"/>
    <w:multiLevelType w:val="hybridMultilevel"/>
    <w:lvl w:ilvl="0">
      <w:lvlJc w:val="left"/>
      <w:lvlText w:val="1"/>
      <w:numFmt w:val="bullet"/>
      <w:start w:val="1"/>
    </w:lvl>
  </w:abstractNum>
  <w:abstractNum w:abstractNumId="16">
    <w:nsid w:val="440BADFC"/>
    <w:multiLevelType w:val="hybridMultilevel"/>
    <w:lvl w:ilvl="0">
      <w:lvlJc w:val="left"/>
      <w:lvlText w:val="2"/>
      <w:numFmt w:val="bullet"/>
      <w:start w:val="1"/>
    </w:lvl>
    <w:lvl w:ilvl="1">
      <w:lvlJc w:val="left"/>
      <w:lvlText w:val="(%2)"/>
      <w:numFmt w:val="lowerLetter"/>
      <w:start w:val="1"/>
    </w:lvl>
  </w:abstractNum>
  <w:abstractNum w:abstractNumId="17">
    <w:nsid w:val="5072367"/>
    <w:multiLevelType w:val="hybridMultilevel"/>
    <w:lvl w:ilvl="0">
      <w:lvlJc w:val="left"/>
      <w:lvlText w:val="3"/>
      <w:numFmt w:val="bullet"/>
      <w:start w:val="1"/>
    </w:lvl>
  </w:abstractNum>
  <w:abstractNum w:abstractNumId="18">
    <w:nsid w:val="3804823E"/>
    <w:multiLevelType w:val="hybridMultilevel"/>
    <w:lvl w:ilvl="0">
      <w:lvlJc w:val="left"/>
      <w:lvlText w:val="4"/>
      <w:numFmt w:val="bullet"/>
      <w:start w:val="1"/>
    </w:lvl>
  </w:abstractNum>
  <w:abstractNum w:abstractNumId="19">
    <w:nsid w:val="77465F01"/>
    <w:multiLevelType w:val="hybridMultilevel"/>
    <w:lvl w:ilvl="0">
      <w:lvlJc w:val="left"/>
      <w:lvlText w:val="8"/>
      <w:numFmt w:val="bullet"/>
      <w:start w:val="1"/>
    </w:lvl>
  </w:abstractNum>
  <w:abstractNum w:abstractNumId="20">
    <w:nsid w:val="7724C67E"/>
    <w:multiLevelType w:val="hybridMultilevel"/>
    <w:lvl w:ilvl="0">
      <w:lvlJc w:val="left"/>
      <w:lvlText w:val="9"/>
      <w:numFmt w:val="bullet"/>
      <w:start w:val="1"/>
    </w:lvl>
  </w:abstractNum>
  <w:abstractNum w:abstractNumId="21">
    <w:nsid w:val="5C482A97"/>
    <w:multiLevelType w:val="hybridMultilevel"/>
    <w:lvl w:ilvl="0">
      <w:lvlJc w:val="left"/>
      <w:lvlText w:val="%1"/>
      <w:numFmt w:val="decimal"/>
      <w:start w:val="10"/>
    </w:lvl>
  </w:abstractNum>
  <w:abstractNum w:abstractNumId="22">
    <w:nsid w:val="2463B9EA"/>
    <w:multiLevelType w:val="hybridMultilevel"/>
    <w:lvl w:ilvl="0">
      <w:lvlJc w:val="left"/>
      <w:lvlText w:val="1"/>
      <w:numFmt w:val="bullet"/>
      <w:start w:val="1"/>
    </w:lvl>
  </w:abstractNum>
  <w:abstractNum w:abstractNumId="23">
    <w:nsid w:val="5E884ADC"/>
    <w:multiLevelType w:val="hybridMultilevel"/>
    <w:lvl w:ilvl="0">
      <w:lvlJc w:val="left"/>
      <w:lvlText w:val="2"/>
      <w:numFmt w:val="bullet"/>
      <w:start w:val="1"/>
    </w:lvl>
    <w:lvl w:ilvl="1">
      <w:lvlJc w:val="left"/>
      <w:lvlText w:val="(%2)"/>
      <w:numFmt w:val="lowerLetter"/>
      <w:start w:val="1"/>
    </w:lvl>
  </w:abstractNum>
  <w:abstractNum w:abstractNumId="24">
    <w:nsid w:val="51EAD36B"/>
    <w:multiLevelType w:val="hybridMultilevel"/>
    <w:lvl w:ilvl="0">
      <w:lvlJc w:val="left"/>
      <w:lvlText w:val="3"/>
      <w:numFmt w:val="bullet"/>
      <w:start w:val="1"/>
    </w:lvl>
  </w:abstractNum>
  <w:abstractNum w:abstractNumId="25">
    <w:nsid w:val="2D517796"/>
    <w:multiLevelType w:val="hybridMultilevel"/>
    <w:lvl w:ilvl="0">
      <w:lvlJc w:val="left"/>
      <w:lvlText w:val="4"/>
      <w:numFmt w:val="bullet"/>
      <w:start w:val="1"/>
    </w:lvl>
  </w:abstractNum>
  <w:abstractNum w:abstractNumId="26">
    <w:nsid w:val="580BD78F"/>
    <w:multiLevelType w:val="hybridMultilevel"/>
    <w:lvl w:ilvl="0">
      <w:lvlJc w:val="left"/>
      <w:lvlText w:val="8"/>
      <w:numFmt w:val="bullet"/>
      <w:start w:val="1"/>
    </w:lvl>
  </w:abstractNum>
  <w:abstractNum w:abstractNumId="27">
    <w:nsid w:val="153EA438"/>
    <w:multiLevelType w:val="hybridMultilevel"/>
    <w:lvl w:ilvl="0">
      <w:lvlJc w:val="left"/>
      <w:lvlText w:val="9"/>
      <w:numFmt w:val="bullet"/>
      <w:start w:val="1"/>
    </w:lvl>
  </w:abstractNum>
  <w:abstractNum w:abstractNumId="28">
    <w:nsid w:val="3855585C"/>
    <w:multiLevelType w:val="hybridMultilevel"/>
    <w:lvl w:ilvl="0">
      <w:lvlJc w:val="left"/>
      <w:lvlText w:val="%1"/>
      <w:numFmt w:val="decimal"/>
      <w:start w:val="10"/>
    </w:lvl>
  </w:abstractNum>
  <w:abstractNum w:abstractNumId="29">
    <w:nsid w:val="70A64E2A"/>
    <w:multiLevelType w:val="hybridMultilevel"/>
    <w:lvl w:ilvl="0">
      <w:lvlJc w:val="left"/>
      <w:lvlText w:val="1"/>
      <w:numFmt w:val="bullet"/>
      <w:start w:val="1"/>
    </w:lvl>
  </w:abstractNum>
  <w:abstractNum w:abstractNumId="30">
    <w:nsid w:val="6A2342EC"/>
    <w:multiLevelType w:val="hybridMultilevel"/>
    <w:lvl w:ilvl="0">
      <w:lvlJc w:val="left"/>
      <w:lvlText w:val="2"/>
      <w:numFmt w:val="bullet"/>
      <w:start w:val="1"/>
    </w:lvl>
    <w:lvl w:ilvl="1">
      <w:lvlJc w:val="left"/>
      <w:lvlText w:val="(%2)"/>
      <w:numFmt w:val="lowerLetter"/>
      <w:start w:val="1"/>
    </w:lvl>
  </w:abstractNum>
  <w:abstractNum w:abstractNumId="31">
    <w:nsid w:val="2A487CB0"/>
    <w:multiLevelType w:val="hybridMultilevel"/>
    <w:lvl w:ilvl="0">
      <w:lvlJc w:val="left"/>
      <w:lvlText w:val="3"/>
      <w:numFmt w:val="bullet"/>
      <w:start w:val="1"/>
    </w:lvl>
  </w:abstractNum>
  <w:abstractNum w:abstractNumId="32">
    <w:nsid w:val="1D4ED43B"/>
    <w:multiLevelType w:val="hybridMultilevel"/>
    <w:lvl w:ilvl="0">
      <w:lvlJc w:val="left"/>
      <w:lvlText w:val="4"/>
      <w:numFmt w:val="bullet"/>
      <w:start w:val="1"/>
    </w:lvl>
  </w:abstractNum>
  <w:abstractNum w:abstractNumId="33">
    <w:nsid w:val="725A06FB"/>
    <w:multiLevelType w:val="hybridMultilevel"/>
    <w:lvl w:ilvl="0">
      <w:lvlJc w:val="left"/>
      <w:lvlText w:val="8"/>
      <w:numFmt w:val="bullet"/>
      <w:start w:val="1"/>
    </w:lvl>
  </w:abstractNum>
  <w:abstractNum w:abstractNumId="34">
    <w:nsid w:val="2CD89A32"/>
    <w:multiLevelType w:val="hybridMultilevel"/>
    <w:lvl w:ilvl="0">
      <w:lvlJc w:val="left"/>
      <w:lvlText w:val="9"/>
      <w:numFmt w:val="bullet"/>
      <w:start w:val="1"/>
    </w:lvl>
  </w:abstractNum>
  <w:abstractNum w:abstractNumId="35">
    <w:nsid w:val="57E4CCAF"/>
    <w:multiLevelType w:val="hybridMultilevel"/>
    <w:lvl w:ilvl="0">
      <w:lvlJc w:val="left"/>
      <w:lvlText w:val="%1"/>
      <w:numFmt w:val="decimal"/>
      <w:start w:val="10"/>
    </w:lvl>
  </w:abstractNum>
  <w:abstractNum w:abstractNumId="36">
    <w:nsid w:val="7A6D8D3C"/>
    <w:multiLevelType w:val="hybridMultilevel"/>
    <w:lvl w:ilvl="0">
      <w:lvlJc w:val="left"/>
      <w:lvlText w:val="1"/>
      <w:numFmt w:val="bullet"/>
      <w:start w:val="1"/>
    </w:lvl>
  </w:abstractNum>
  <w:abstractNum w:abstractNumId="37">
    <w:nsid w:val="4B588F54"/>
    <w:multiLevelType w:val="hybridMultilevel"/>
    <w:lvl w:ilvl="0">
      <w:lvlJc w:val="left"/>
      <w:lvlText w:val="2"/>
      <w:numFmt w:val="bullet"/>
      <w:start w:val="1"/>
    </w:lvl>
    <w:lvl w:ilvl="1">
      <w:lvlJc w:val="left"/>
      <w:lvlText w:val="(%2)"/>
      <w:numFmt w:val="lowerLetter"/>
      <w:start w:val="1"/>
    </w:lvl>
  </w:abstractNum>
  <w:abstractNum w:abstractNumId="38">
    <w:nsid w:val="542289EC"/>
    <w:multiLevelType w:val="hybridMultilevel"/>
    <w:lvl w:ilvl="0">
      <w:lvlJc w:val="left"/>
      <w:lvlText w:val="3"/>
      <w:numFmt w:val="bullet"/>
      <w:start w:val="1"/>
    </w:lvl>
  </w:abstractNum>
  <w:abstractNum w:abstractNumId="39">
    <w:nsid w:val="6DE91B18"/>
    <w:multiLevelType w:val="hybridMultilevel"/>
    <w:lvl w:ilvl="0">
      <w:lvlJc w:val="left"/>
      <w:lvlText w:val="4"/>
      <w:numFmt w:val="bullet"/>
      <w:start w:val="1"/>
    </w:lvl>
  </w:abstractNum>
  <w:abstractNum w:abstractNumId="40">
    <w:nsid w:val="38437FDB"/>
    <w:multiLevelType w:val="hybridMultilevel"/>
    <w:lvl w:ilvl="0">
      <w:lvlJc w:val="left"/>
      <w:lvlText w:val="8"/>
      <w:numFmt w:val="bullet"/>
      <w:start w:val="1"/>
    </w:lvl>
  </w:abstractNum>
  <w:abstractNum w:abstractNumId="41">
    <w:nsid w:val="7644A45C"/>
    <w:multiLevelType w:val="hybridMultilevel"/>
    <w:lvl w:ilvl="0">
      <w:lvlJc w:val="left"/>
      <w:lvlText w:val="9"/>
      <w:numFmt w:val="bullet"/>
      <w:start w:val="1"/>
    </w:lvl>
  </w:abstractNum>
  <w:abstractNum w:abstractNumId="42">
    <w:nsid w:val="32FFF902"/>
    <w:multiLevelType w:val="hybridMultilevel"/>
    <w:lvl w:ilvl="0">
      <w:lvlJc w:val="left"/>
      <w:lvlText w:val="%1"/>
      <w:numFmt w:val="decimal"/>
      <w:start w:val="10"/>
    </w:lvl>
  </w:abstractNum>
  <w:abstractNum w:abstractNumId="43">
    <w:nsid w:val="684A481A"/>
    <w:multiLevelType w:val="hybridMultilevel"/>
    <w:lvl w:ilvl="0">
      <w:lvlJc w:val="left"/>
      <w:lvlText w:val="1"/>
      <w:numFmt w:val="bullet"/>
      <w:start w:val="1"/>
    </w:lvl>
  </w:abstractNum>
  <w:abstractNum w:abstractNumId="44">
    <w:nsid w:val="579478FE"/>
    <w:multiLevelType w:val="hybridMultilevel"/>
    <w:lvl w:ilvl="0">
      <w:lvlJc w:val="left"/>
      <w:lvlText w:val="2"/>
      <w:numFmt w:val="bullet"/>
      <w:start w:val="1"/>
    </w:lvl>
    <w:lvl w:ilvl="1">
      <w:lvlJc w:val="left"/>
      <w:lvlText w:val="(%2)"/>
      <w:numFmt w:val="lowerLetter"/>
      <w:start w:val="1"/>
    </w:lvl>
  </w:abstractNum>
  <w:abstractNum w:abstractNumId="45">
    <w:nsid w:val="749ABB43"/>
    <w:multiLevelType w:val="hybridMultilevel"/>
    <w:lvl w:ilvl="0">
      <w:lvlJc w:val="left"/>
      <w:lvlText w:val="3"/>
      <w:numFmt w:val="bullet"/>
      <w:start w:val="1"/>
    </w:lvl>
  </w:abstractNum>
  <w:abstractNum w:abstractNumId="46">
    <w:nsid w:val="3DC240FB"/>
    <w:multiLevelType w:val="hybridMultilevel"/>
    <w:lvl w:ilvl="0">
      <w:lvlJc w:val="left"/>
      <w:lvlText w:val="4"/>
      <w:numFmt w:val="bullet"/>
      <w:start w:val="1"/>
    </w:lvl>
  </w:abstractNum>
  <w:abstractNum w:abstractNumId="47">
    <w:nsid w:val="1BA026FA"/>
    <w:multiLevelType w:val="hybridMultilevel"/>
    <w:lvl w:ilvl="0">
      <w:lvlJc w:val="left"/>
      <w:lvlText w:val="8"/>
      <w:numFmt w:val="bullet"/>
      <w:start w:val="1"/>
    </w:lvl>
  </w:abstractNum>
  <w:abstractNum w:abstractNumId="48">
    <w:nsid w:val="79A1DEAA"/>
    <w:multiLevelType w:val="hybridMultilevel"/>
    <w:lvl w:ilvl="0">
      <w:lvlJc w:val="left"/>
      <w:lvlText w:val="9"/>
      <w:numFmt w:val="bullet"/>
      <w:start w:val="1"/>
    </w:lvl>
  </w:abstractNum>
  <w:abstractNum w:abstractNumId="49">
    <w:nsid w:val="75C6C33A"/>
    <w:multiLevelType w:val="hybridMultilevel"/>
    <w:lvl w:ilvl="0">
      <w:lvlJc w:val="left"/>
      <w:lvlText w:val="%1"/>
      <w:numFmt w:val="decimal"/>
      <w:start w:val="10"/>
    </w:lvl>
  </w:abstractNum>
  <w:abstractNum w:abstractNumId="50">
    <w:nsid w:val="12E685FB"/>
    <w:multiLevelType w:val="hybridMultilevel"/>
    <w:lvl w:ilvl="0">
      <w:lvlJc w:val="left"/>
      <w:lvlText w:val="(%1)"/>
      <w:numFmt w:val="lowerLetter"/>
      <w:start w:val="1"/>
    </w:lvl>
    <w:lvl w:ilvl="1">
      <w:lvlJc w:val="left"/>
      <w:lvlText w:val="-"/>
      <w:numFmt w:val="bullet"/>
      <w:start w:val="1"/>
    </w:lvl>
  </w:abstractNum>
  <w:abstractNum w:abstractNumId="51">
    <w:nsid w:val="70C6A529"/>
    <w:multiLevelType w:val="hybridMultilevel"/>
    <w:lvl w:ilvl="0">
      <w:lvlJc w:val="left"/>
      <w:lvlText w:val="(%1)"/>
      <w:numFmt w:val="lowerLetter"/>
      <w:start w:val="10"/>
    </w:lvl>
  </w:abstractNum>
  <w:abstractNum w:abstractNumId="52">
    <w:nsid w:val="520EEDD1"/>
    <w:multiLevelType w:val="hybridMultilevel"/>
    <w:lvl w:ilvl="0">
      <w:lvlJc w:val="left"/>
      <w:lvlText w:val="*"/>
      <w:numFmt w:val="bullet"/>
      <w:start w:val="1"/>
    </w:lvl>
  </w:abstractNum>
  <w:abstractNum w:abstractNumId="53">
    <w:nsid w:val="374A3FE6"/>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2019-12-15T16:40:18Z</dcterms:created>
  <dcterms:modified xsi:type="dcterms:W3CDTF">2019-12-15T16:40:18Z</dcterms:modified>
</cp:coreProperties>
</file>