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7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4599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August 21,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consumer behavior continues to evolve post pandemic, we believe that XWELL, Inc. (“XWELL” or the “Company”) is well positioned to serve our customers’ growing interest in wellness—whether in the airport or outside the airport.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year, we have focused on executing a strategy to capitalize on this opportunity by expanding our footprint in the airport, as well as aggressively growing our Naples wax operation outside the airport. In addition, we’ve made strategic investments in the use of technology and automation to provide more convenient and customized wellness services for travelers on the go, and added additional offerings, such as esthetic facial services to our Naples Wax Centers. Further, we continue to invest in our life sciences and biosurveillance offerings through XpresTest, Inc., in collaboration with the CDC and Ginkgo Bioworks. Through those efforts, we now operate nine biosurveillance stations in seven of the nation’s busiest airports.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pleased with the recent momentum and continue to focus our collective energies on our strategy and go-forward plan,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integrating products and services across our family of brands;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Right-sizing our existing airport portfolio to create a leaner and more profitable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off-airport growth strategy to deliver more products and services that drive more revenue at higher margins;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international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can scale our growth in a responsible way that drives stockholder value;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cost structure and simplifying our processes in order to achieve profitability.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this month, we also welcomed two new investors via a registered direct offering at a premium to market, with a purchase price of $2.18 per share, strengthening our financial position. The gross proceeds from the offering were approximately $1.4 million, before deducting offering expenses payable. With this expanded investor base and additional funding, we are well positioned to continue growing, innovating and delivering on our strategic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you may know, CPC Pain &amp; Wellness SPV, LLC (“CPC SPV”) submitted documents to the Company earlier this year purporting to provide notice (the “Purported Nomination Notice”) of its intent to nominate four director candidates (collectively, the “Purported CPC SPV Nominees”) for election to the Board at the Annual Meeting. The Company informed CPC SPV that the Purported Nomination Notice was invalid due to its failure to comply with the Company’s bylaws. On July 19, 2024, CPC SPV filed a complaint in the Chancery Court of the State of Delaware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we are fully focused on delivering on our strategic plan to drive durable, long-term value creation for stockholders and are confident that our Board nominees possess the right professional background, skills, expertise and reputation to serve effectively as directors. We remain committed to improving our operating performance, reaching profitability, and delivering on our long-term strategic priorities at an accelerated pace. By right-sizing our existing business, making smart investments in innovation and optimizing our cost structure, XWELL is positioning itself for both financial and operational growth, now and in the future.</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and ownership in XWELL. As always, we appreciate engagement with our stockholders and welcome the opportunity to hear your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Milford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2024 Annual Meeting of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appreciate and encourage stockholder participation in the Company’s affairs and are cordially inviting you to attend the Company’s virtual 2024 annual meeting of stockholders (including any adjournment, postponement or rescheduling thereof, the “Annual Meeting”) to be held at 11:00 a.m. Eastern Time on September 20, 2024. Additional details regarding the Annual Meeting, the business to be conducted at the Annual Meeting and information about the Company that you should consider when you vote your shares at the Annual Meeting are described in the accompanying Proxy Statement. The Proxy Statement and the Proxy Card are first being made available to stockholders on or about August 21,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or if you would like additional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copies of the proxy materials, please contact our proxy solicitor, Alliance Advisors, LLC: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XWEL@allianceadvisors.com</w:t>
      </w:r>
    </w:p>
    <w:p>
      <w:pPr>
        <w:ind w:left="446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ind w:lef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4599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24599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b w:val="1"/>
          <w:bCs w:val="1"/>
          <w:color w:val="auto"/>
        </w:rPr>
        <w:t>August 21, 2024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is hereby given to the holders of the shares of common stock, par value $0.01 per share (the “Common Stock”) of XWELL, Inc. (the “Company”) of the Company’s 2024 annual meeting of stockholders (including any adjournment, postponement or rescheduling thereof, the “Annual Meeting”).</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September 20, 2024</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11:00 a.m. Eastern Time</w:t>
      </w:r>
    </w:p>
    <w:p>
      <w:pPr>
        <w:spacing w:after="0" w:line="225" w:lineRule="exact"/>
        <w:rPr>
          <w:sz w:val="20"/>
          <w:szCs w:val="20"/>
          <w:color w:val="auto"/>
        </w:rPr>
      </w:pPr>
    </w:p>
    <w:p>
      <w:pPr>
        <w:jc w:val="both"/>
        <w:ind w:left="1320" w:right="20" w:hanging="1319"/>
        <w:spacing w:after="0" w:line="25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ACCESS:</w:t>
      </w:r>
      <w:r>
        <w:rPr>
          <w:sz w:val="20"/>
          <w:szCs w:val="20"/>
          <w:color w:val="auto"/>
        </w:rPr>
        <w:tab/>
      </w:r>
      <w:r>
        <w:rPr>
          <w:rFonts w:ascii="Times New Roman" w:cs="Times New Roman" w:eastAsia="Times New Roman" w:hAnsi="Times New Roman"/>
          <w:sz w:val="18"/>
          <w:szCs w:val="18"/>
          <w:color w:val="auto"/>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8"/>
          <w:szCs w:val="18"/>
          <w:i w:val="1"/>
          <w:iCs w:val="1"/>
          <w:color w:val="auto"/>
        </w:rPr>
        <w:t xml:space="preserve">http://viewproxy.com/XWELL/2024 </w:t>
      </w:r>
      <w:r>
        <w:rPr>
          <w:rFonts w:ascii="Times New Roman" w:cs="Times New Roman" w:eastAsia="Times New Roman" w:hAnsi="Times New Roman"/>
          <w:sz w:val="18"/>
          <w:szCs w:val="18"/>
          <w:color w:val="auto"/>
        </w:rPr>
        <w:t>by 11:59 p.m. Eastern Time on September 17, 2024. You will receive a meeting invitation by email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At the Annual Meeting, we will ask stockholders to consider the following proposals:</w:t>
      </w:r>
    </w:p>
    <w:p>
      <w:pPr>
        <w:spacing w:after="0" w:line="229" w:lineRule="exact"/>
        <w:rPr>
          <w:sz w:val="20"/>
          <w:szCs w:val="20"/>
          <w:color w:val="auto"/>
        </w:rPr>
      </w:pPr>
    </w:p>
    <w:p>
      <w:pPr>
        <w:ind w:left="660" w:hanging="328"/>
        <w:spacing w:after="0" w:line="31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of Directors (the “Board”), each to serve until the 2025 annual meeting of stockholders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the accompanying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dated August 16, 2024, between the Company and Equiniti Trust Company, LLC, as Rights Agent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Scott R. Milford, Bruce T. Bernstein, Robert Weinstein, Michael Lebowitz and Gaëlle Wizenberg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Proposal 2, Proposal 3 and Proposal 4 on the enclosed Proxy Card. The Proxy Statement and the Proxy Card are first being made available to stockholders on or about August 21,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August 19, 2024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A list of stockholders of record will be available starting on September 10, 2024, ten days prior to the Annual Meeting, at our headquarters, 254 West 31st Street, 11th Floor, New York, New York 10001. If you would like to view the stockholder list, please contact Cara Soffer, our General Counsel, at 646-389-3412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Board is pleased to nominate each of </w:t>
      </w:r>
      <w:r>
        <w:rPr>
          <w:rFonts w:ascii="Times New Roman" w:cs="Times New Roman" w:eastAsia="Times New Roman" w:hAnsi="Times New Roman"/>
          <w:sz w:val="18"/>
          <w:szCs w:val="18"/>
          <w:b w:val="1"/>
          <w:bCs w:val="1"/>
          <w:color w:val="auto"/>
        </w:rPr>
        <w:t>Scott R. Milford, Bruce T. Bernstein, Robert Weinstein, Michael Lebowitz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Gaëlle Wizenberg</w:t>
      </w:r>
      <w:r>
        <w:rPr>
          <w:rFonts w:ascii="Times New Roman" w:cs="Times New Roman" w:eastAsia="Times New Roman" w:hAnsi="Times New Roman"/>
          <w:sz w:val="18"/>
          <w:szCs w:val="18"/>
          <w:color w:val="auto"/>
        </w:rPr>
        <w:t xml:space="preserve"> to serve on the Board. It is very important that you vote, regardless of the number of shares you own or whether you are able to attend the Annual Meeting virtually. Please vote as soon as possible, even if you plan to attend the Annual Meeting virtually, to ensure that your shares will be represented. You do not need to attend the Annual Meeting to vote if you vote your shares before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may vote (i) by completing, signing, dating and promptly returning the enclosed Proxy Card in the postage-paid envelope provided,</w:t>
      </w:r>
    </w:p>
    <w:p>
      <w:pPr>
        <w:spacing w:after="0" w:line="27" w:lineRule="exact"/>
        <w:rPr>
          <w:sz w:val="20"/>
          <w:szCs w:val="20"/>
          <w:color w:val="auto"/>
        </w:rPr>
      </w:pPr>
    </w:p>
    <w:p>
      <w:pPr>
        <w:jc w:val="both"/>
        <w:ind w:right="20" w:firstLine="8"/>
        <w:spacing w:after="0" w:line="255"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Scott R. Milford, Bruce T. Bernstein, Robert Weinstein, Michael Lebowitz and Gaëlle Wizenberg,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4.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THE BOARD UNANIMOUSLY RECOMMENDS VOTING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EACH OF THE BOARD’S</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NOMINEES—SCOTT R. MILFORD, BRUCE T. BERNSTEIN, ROBERT WEINSTEIN, MICHAEL</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LEBOWITZ AND GAËLLE WIZENBERG—USING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our proxy solicitor, Alliance: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R. Milford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STOCKHOLDER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ON SEPTEMBER 20,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the accompanying Proxy Statement and our Annual Report on Form 10-K for the year ended December 31, 2023, as amended (the “2023 Annual Report”) are available free of charge for viewing, printing and downloading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Information on this website, other than the Proxy Statement, is not part of the Proxy Statement.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Additionally, you can find a copy of the Proxy Statement and our 2023 Annual Report on the U.S. Securities and Exchange Commission’s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or in the “SEC Filings” section of the “Investors” section of our website at</w:t>
      </w:r>
      <w:r>
        <w:rPr>
          <w:rFonts w:ascii="Times New Roman" w:cs="Times New Roman" w:eastAsia="Times New Roman" w:hAnsi="Times New Roman"/>
          <w:sz w:val="18"/>
          <w:szCs w:val="18"/>
          <w:i w:val="1"/>
          <w:iCs w:val="1"/>
          <w:color w:val="auto"/>
        </w:rPr>
        <w:t xml:space="preserve"> www.xwell.com</w:t>
      </w:r>
      <w:r>
        <w:rPr>
          <w:rFonts w:ascii="Times New Roman" w:cs="Times New Roman" w:eastAsia="Times New Roman" w:hAnsi="Times New Roman"/>
          <w:sz w:val="18"/>
          <w:szCs w:val="18"/>
          <w:color w:val="auto"/>
        </w:rPr>
        <w:t>. Information on these websites,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is not part of the Proxy Statement. You may also obtain a printed copy of our 2023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provides a detailed description of the business to be conducted at the Annual Meeting. We urge you to read the accompanying Proxy Statement carefully and in its entirety.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or if you would like additional copies of the proxy materials, please contact our proxy solicitor, Alliance: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10380" w:type="dxa"/>
            <w:vAlign w:val="bottom"/>
            <w:gridSpan w:val="3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IMPORTANT INFORMATION ABOUT THE ANNUAL MEETING AND VOTING</w:t>
            </w:r>
          </w:p>
        </w:tc>
        <w:tc>
          <w:tcPr>
            <w:tcW w:w="520" w:type="dxa"/>
            <w:vAlign w:val="bottom"/>
            <w:tcBorders>
              <w:right w:val="single" w:sz="8" w:color="CCEEFF"/>
            </w:tcBorders>
            <w:gridSpan w:val="2"/>
            <w:shd w:val="clear" w:color="auto" w:fill="CCEEFF"/>
          </w:tcPr>
          <w:p>
            <w:pPr>
              <w:jc w:val="center"/>
              <w:ind w:left="250"/>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340" w:type="dxa"/>
            <w:vAlign w:val="bottom"/>
            <w:shd w:val="clear" w:color="auto" w:fill="CCEEFF"/>
          </w:tcPr>
          <w:p>
            <w:pPr>
              <w:spacing w:after="0"/>
              <w:rPr>
                <w:sz w:val="14"/>
                <w:szCs w:val="14"/>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2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180" w:type="dxa"/>
            <w:vAlign w:val="bottom"/>
            <w:gridSpan w:val="5"/>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10</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11</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3: ADVISORY VOTE ON APPROVAL OF EXECUTIVE COMPENSATION AS DISCLOSED IN THIS PROXY STATEMENT</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13</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4: RATIFICATION OF TAX BENEFITS PRESERVATION PLAN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15</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7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MANAGEMENT AND CORPORATE GOVERNANCE</w:t>
            </w:r>
          </w:p>
        </w:tc>
        <w:tc>
          <w:tcPr>
            <w:tcW w:w="4600" w:type="dxa"/>
            <w:vAlign w:val="bottom"/>
            <w:gridSpan w:val="7"/>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62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Stockholder Feedback</w:t>
            </w:r>
          </w:p>
        </w:tc>
        <w:tc>
          <w:tcPr>
            <w:tcW w:w="8600" w:type="dxa"/>
            <w:vAlign w:val="bottom"/>
            <w:gridSpan w:val="29"/>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6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Directors</w:t>
            </w:r>
          </w:p>
        </w:tc>
        <w:tc>
          <w:tcPr>
            <w:tcW w:w="8600" w:type="dxa"/>
            <w:vAlign w:val="bottom"/>
            <w:gridSpan w:val="29"/>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Director Independence and Committee Qualifications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Committees of the Board and Meetings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06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Involvement in Certain Legal Proceedings</w:t>
            </w:r>
          </w:p>
        </w:tc>
        <w:tc>
          <w:tcPr>
            <w:tcW w:w="7160" w:type="dxa"/>
            <w:vAlign w:val="bottom"/>
            <w:gridSpan w:val="1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Arrangements Between Directors and Executive Officers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Family Relationships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Diversity Matrix</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42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Code of Conduct and Ethics</w:t>
            </w:r>
          </w:p>
        </w:tc>
        <w:tc>
          <w:tcPr>
            <w:tcW w:w="7800" w:type="dxa"/>
            <w:vAlign w:val="bottom"/>
            <w:gridSpan w:val="23"/>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Insider Trading Policy and Hedging Prohibition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COMPENSATION</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2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7980" w:type="dxa"/>
            <w:vAlign w:val="bottom"/>
            <w:gridSpan w:val="24"/>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Narrative Disclosure to Summary Compensation Table</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7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520" w:type="dxa"/>
            <w:vAlign w:val="bottom"/>
            <w:gridSpan w:val="2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Outstanding Equity Awards at 2023 Fiscal Year End</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760" w:type="dxa"/>
            <w:vAlign w:val="bottom"/>
            <w:gridSpan w:val="22"/>
          </w:tcPr>
          <w:p>
            <w:pPr>
              <w:ind w:left="20"/>
              <w:spacing w:after="0" w:line="176" w:lineRule="exact"/>
              <w:rPr>
                <w:sz w:val="20"/>
                <w:szCs w:val="20"/>
                <w:color w:val="auto"/>
              </w:rPr>
            </w:pPr>
            <w:r>
              <w:rPr>
                <w:rFonts w:ascii="Times New Roman" w:cs="Times New Roman" w:eastAsia="Times New Roman" w:hAnsi="Times New Roman"/>
                <w:sz w:val="18"/>
                <w:szCs w:val="18"/>
                <w:color w:val="0000EE"/>
              </w:rPr>
              <w:t>Pension Benefits</w:t>
            </w:r>
          </w:p>
        </w:tc>
        <w:tc>
          <w:tcPr>
            <w:tcW w:w="6460" w:type="dxa"/>
            <w:vAlign w:val="bottom"/>
            <w:gridSpan w:val="14"/>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Nonqualified Deferred Compensation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Relationship Between Financial Performance Measures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67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40" w:type="dxa"/>
            <w:vAlign w:val="bottom"/>
            <w:gridSpan w:val="4"/>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7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REPORT OF AUDIT COMMITTEE</w:t>
            </w:r>
          </w:p>
        </w:tc>
        <w:tc>
          <w:tcPr>
            <w:tcW w:w="3640" w:type="dxa"/>
            <w:vAlign w:val="bottom"/>
            <w:gridSpan w:val="4"/>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5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780" w:type="dxa"/>
            <w:vAlign w:val="bottom"/>
            <w:gridSpan w:val="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36</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60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4780" w:type="dxa"/>
            <w:vAlign w:val="bottom"/>
            <w:gridSpan w:val="8"/>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STOCKHOLDERS SHARING AN ADDRESS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30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STOCKHOLDER COMMUNICATIONS</w:t>
            </w:r>
          </w:p>
        </w:tc>
        <w:tc>
          <w:tcPr>
            <w:tcW w:w="7360" w:type="dxa"/>
            <w:vAlign w:val="bottom"/>
            <w:gridSpan w:val="19"/>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360" w:type="dxa"/>
            <w:vAlign w:val="bottom"/>
            <w:gridSpan w:val="19"/>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92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SUBMISSION OF STOCKHOLDER PROPOSALS AND DIRECTOR NOMINATIONS AT THE 2025 ANNUAL MEETING</w:t>
            </w:r>
          </w:p>
        </w:tc>
        <w:tc>
          <w:tcPr>
            <w:tcW w:w="1180" w:type="dxa"/>
            <w:vAlign w:val="bottom"/>
            <w:gridSpan w:val="2"/>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8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8"/>
              </w:rPr>
              <w:t>ANNEX A – THE TAX BENEFITS PRESERVATION PLAN</w:t>
            </w:r>
          </w:p>
        </w:tc>
        <w:tc>
          <w:tcPr>
            <w:tcW w:w="4720" w:type="dxa"/>
            <w:vAlign w:val="bottom"/>
            <w:gridSpan w:val="7"/>
          </w:tcPr>
          <w:p>
            <w:pPr>
              <w:spacing w:after="0"/>
              <w:rPr>
                <w:sz w:val="15"/>
                <w:szCs w:val="15"/>
                <w:color w:val="auto"/>
              </w:rPr>
            </w:pPr>
          </w:p>
        </w:tc>
        <w:tc>
          <w:tcPr>
            <w:tcW w:w="1180" w:type="dxa"/>
            <w:vAlign w:val="bottom"/>
            <w:gridSpan w:val="2"/>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39</w:t>
            </w:r>
          </w:p>
        </w:tc>
        <w:tc>
          <w:tcPr>
            <w:tcW w:w="340" w:type="dxa"/>
            <w:vAlign w:val="bottom"/>
          </w:tcPr>
          <w:p>
            <w:pPr>
              <w:spacing w:after="0"/>
              <w:rPr>
                <w:sz w:val="15"/>
                <w:szCs w:val="15"/>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-5476875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TO BE HELD ON SEPTEMBER 20,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the Annual Meeting of Stockholders, contains information about the 2024 annual meeting of stockholders (including any adjournment, postponement or rescheduling thereof, the “Annual Meeting”) of XWELL, Inc. (“XWELL,” the “Company,” “we,” or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held at 11:00 a.m. Eastern Time on September 20, 2024.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by 11:59 p.m. Eastern Time on September 17, 2024. You will receive a meeting invitation by email with your unique link, along with a password, prior to the meeting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of common stock, par value $0.01 (the “Common Stock”) at the close of business on August 19, 2024 (the “Record Date”) are entitled to notice of the Annual Meeting and to vote at the Annual Meeting. The Proxy Statement and the Proxy Card are first being made available to stockholders on or about August 21,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vote is being solicited on behalf of the Company’s board of directors (the “Board”). At the Annual Meeting, we will ask stockholders to consider the following proposals: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Michael Lebowitz and Gaëlle Wizenberg to our Board, each to serve until the 2025 annual meeting of stockholders (the “2025 Annual Meeting”) or until his or her respective successor is duly elected and qualified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(“Marcum”)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this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dated August 16, 2024, between the Company and Equiniti Trust Company, LLC, as Rights Agent (the “Tax Benefits Preservation Plan”)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WE URGE YOU TO COMPLETE, SIGN, DATE AND PROMPTLY RETURN THE ENCLOSED PROXY CARD. FOR ADDITIONAL INSTRUCTIONS, PLEASE REFER TO THE ENCLOSED PROXY CARD.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our proxy solicitor, Alliance Advisors, LLC (“Alliance”):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 w:name="page10"/>
    <w:bookmarkEnd w:id="9"/>
    <w:p>
      <w:pPr>
        <w:ind w:left="238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Michael Lebowitz and Gaëlle Wizenberg to our Board, each to serve until the 2025 Annual Meeting or until his or her respective successor is duly elected and qualified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this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unanimously recommends that you vote as follows:</w:t>
      </w:r>
    </w:p>
    <w:p>
      <w:pPr>
        <w:spacing w:after="0" w:line="221" w:lineRule="exact"/>
        <w:rPr>
          <w:sz w:val="20"/>
          <w:szCs w:val="20"/>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Scott R. Milford, Bruce T. Bernstein, Robert Weinstein, Michael Lebowitz and Gaëlle Wizenberg to our Board, each to serve until the 2025 Annual Meeting or until his or her respective successor is duly elected and qualified;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Marcum as our independent registered public accounting firm for our fiscal year ending December 31,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the compensation of our named executive officers, as disclosed in this Proxy Statement;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our Tax Benefits Preservation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who owned the Common Stock at the close of business on August 19, 2024, the Record Date, are entitled to vote at the Annual Meeting. On the Record Date, there were 5,256,024 shares of Common Stock issued and outstanding and entitled to vote. The Common Stock is the only class of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Other Candidates Been Nominated For Election as Directors at the Annual Meeting in Opposition to the Board’s Nominees?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nominated Scott R. Milford, Bruce T. Bernstein, Robert Weinstein, Michael Lebowitz and Gaëlle Wizenberg for election as directors at the Annual Meeting, each to serve until the 2025 Annual Meeting or until his or her respective successor is duly elected and qualified. As you may know, CPC Pain &amp; Wellness SPV, LLC (“CPC SPV”) submitted documents to the Company purporting to provide qualifying and timely notice (the “Purported Nomination Notice”) of an intent to nominate four director candidates (collectively, the “Purported CPC SPV Nominees”) for election to the Board at the Annual Meeting in opposition to four of the five director candidates nominated by the Board.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informed CPC SPV that the Purported Nomination Notice was invalid due to its failure to comply with the Company’s Third Amended and Restated Bylaws (the “Bylaws”) as a result of material omissions and other material deficiencies. On July 19, 2024, CPC SPV filed a complaint in the Chancery Court of the State of Delaware (the “Chancery Court”)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has retained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Access the Proxy Materials on the Internet?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Yes. The Company’s Proxy Statement and the Annual Report on Form 10-K for the year ended December 31, 2023, as amended (the “2023 Annual Report”) are available free of charge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You may also obtain these materials at the U.S. Securities and Exchange Commission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How Can Stockholders Attend the Annual Meeting? Am I Entitled to Attend the Annual Meeting in Person? Why Are You Holding a Virtual Annual Meeting?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 of Record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as of the Record Date, your shares are registered in your own name, you may register to attend the Annual Meeting by going to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no later than 11:59 p.m. Eastern Time on September 17, 2024 and registering for the meeting exactly as your registration appears on your Proxy Card. You must provide a valid email address to register and to vote at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Stockholders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no later than 11:59 p.m. Eastern Time on September 17, 2024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 xml:space="preserve"> or call 866-612-8937.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our Common Stock that you own entitles you to one vote. There is no cumulative voting in the election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 w:cs="Times New Roman" w:eastAsia="Times New Roman" w:hAnsi="Times New Roman"/>
          <w:sz w:val="18"/>
          <w:szCs w:val="18"/>
          <w:i w:val="1"/>
          <w:iCs w:val="1"/>
          <w:color w:val="auto"/>
        </w:rPr>
        <w:t>How Will My Proxy Be Voted?”</w:t>
      </w:r>
      <w:r>
        <w:rPr>
          <w:rFonts w:ascii="Times New Roman" w:cs="Times New Roman" w:eastAsia="Times New Roman" w:hAnsi="Times New Roman"/>
          <w:sz w:val="18"/>
          <w:szCs w:val="18"/>
          <w:color w:val="auto"/>
        </w:rPr>
        <w:t xml:space="preserve"> Voting by proxy will not affect your right to attend the Annual Meeting virtually.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as of the Record Date, your shares are registered directly in your name, you may vote your shares in one of the following ways:</w:t>
      </w:r>
    </w:p>
    <w:p>
      <w:pPr>
        <w:spacing w:after="0" w:line="221" w:lineRule="exact"/>
        <w:rPr>
          <w:sz w:val="20"/>
          <w:szCs w:val="20"/>
          <w:color w:val="auto"/>
        </w:rPr>
      </w:pPr>
    </w:p>
    <w:p>
      <w:pPr>
        <w:ind w:left="660" w:right="2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Via the Internet</w:t>
      </w:r>
      <w:r>
        <w:rPr>
          <w:rFonts w:ascii="Times New Roman" w:cs="Times New Roman" w:eastAsia="Times New Roman" w:hAnsi="Times New Roman"/>
          <w:sz w:val="18"/>
          <w:szCs w:val="18"/>
          <w:color w:val="auto"/>
        </w:rPr>
        <w:t>: You may vote via the Internet by following the instructions on the Proxy Card.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www.AALvote.com/XWEL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your Proxy Card available. The Internet voting facilities will close at 11:59 p.m. Eastern Time on September 19, 2024.</w:t>
      </w:r>
    </w:p>
    <w:p>
      <w:pPr>
        <w:spacing w:after="0" w:line="154"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received a Proxy Card by mail, you can vote by completing, signing, dating and promptly returning the enclosed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postage-paid envelope provided. A completed Proxy Card returned by mail must be received at the address stated on the Proxy Card before September 20, 2024. If you sign the enclosed Proxy Card but do not specify how you want your shares voted, they will be voted in accordance with the Board’s recommendations as described below under “</w:t>
      </w:r>
      <w:r>
        <w:rPr>
          <w:rFonts w:ascii="Times New Roman" w:cs="Times New Roman" w:eastAsia="Times New Roman" w:hAnsi="Times New Roman"/>
          <w:sz w:val="18"/>
          <w:szCs w:val="18"/>
          <w:i w:val="1"/>
          <w:iCs w:val="1"/>
          <w:color w:val="auto"/>
        </w:rPr>
        <w:t>How Will My Proxy Be Voted?”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You may vote by telephone by calling (866) 804-9616 and following the instructions on the Proxy Card. The telephone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will close at 11:59 p.m. Eastern Time on September 19,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Virtually at the Annual Meeting</w:t>
      </w:r>
      <w:r>
        <w:rPr>
          <w:rFonts w:ascii="Times New Roman" w:cs="Times New Roman" w:eastAsia="Times New Roman" w:hAnsi="Times New Roman"/>
          <w:sz w:val="18"/>
          <w:szCs w:val="18"/>
          <w:color w:val="auto"/>
        </w:rPr>
        <w:t>: You may also vote by attending the virtual Annual Meeting. To attend the virtual Annual Meeting, you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pre-register as described above under “</w:t>
      </w:r>
      <w:r>
        <w:rPr>
          <w:rFonts w:ascii="Times New Roman" w:cs="Times New Roman" w:eastAsia="Times New Roman" w:hAnsi="Times New Roman"/>
          <w:sz w:val="18"/>
          <w:szCs w:val="18"/>
          <w:i w:val="1"/>
          <w:iCs w:val="1"/>
          <w:color w:val="auto"/>
        </w:rPr>
        <w:t>How Can Stockholders Attend the Annual Meeting?”</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 w:cs="Times New Roman" w:eastAsia="Times New Roman" w:hAnsi="Times New Roman"/>
          <w:sz w:val="18"/>
          <w:szCs w:val="18"/>
          <w:b w:val="1"/>
          <w:bCs w:val="1"/>
          <w:color w:val="auto"/>
        </w:rPr>
        <w:t>Internet and telephone voting facilities for record stockholders will be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24 hours a day and will close at 11:59 p.m. Eastern Time on September 19, 2024. </w:t>
      </w:r>
      <w:r>
        <w:rPr>
          <w:rFonts w:ascii="Times New Roman" w:cs="Times New Roman" w:eastAsia="Times New Roman" w:hAnsi="Times New Roman"/>
          <w:sz w:val="18"/>
          <w:szCs w:val="18"/>
          <w:color w:val="auto"/>
        </w:rPr>
        <w:t xml:space="preserve">Please contact our proxy solicitor, Alliance, by calling 1-888-490-5110 or by email at </w:t>
      </w:r>
      <w:r>
        <w:rPr>
          <w:rFonts w:ascii="Times New Roman" w:cs="Times New Roman" w:eastAsia="Times New Roman" w:hAnsi="Times New Roman"/>
          <w:sz w:val="18"/>
          <w:szCs w:val="18"/>
          <w:u w:val="single" w:color="auto"/>
          <w:color w:val="auto"/>
        </w:rPr>
        <w:t>XWEL@allianceadvisors.com</w:t>
      </w:r>
      <w:r>
        <w:rPr>
          <w:rFonts w:ascii="Times New Roman" w:cs="Times New Roman" w:eastAsia="Times New Roman" w:hAnsi="Times New Roman"/>
          <w:sz w:val="18"/>
          <w:szCs w:val="18"/>
          <w:color w:val="auto"/>
        </w:rPr>
        <w:t xml:space="preserve"> if you require assistance in voting your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as of the Record Date, you are the beneficial owner of shares and you held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Scott R. Milford, Bruce T. Bernstein, Robert Weinstein, Michael Lebowitz and Gaëlle Wizenberg,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4.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represented by properly executed Proxy Cards will be voted in accordance with the directions indicated thereon. If you sign the Proxy Card but do not make any specific choices, your proxy will vote your shares as follows:</w:t>
      </w:r>
    </w:p>
    <w:p>
      <w:pPr>
        <w:spacing w:after="0" w:line="158" w:lineRule="exact"/>
        <w:rPr>
          <w:sz w:val="20"/>
          <w:szCs w:val="20"/>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Scott R. Milford, Bruce T. Bernstein, Robert Weinstein, Michael Lebowitz and Gaëlle Wizenberg to our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to serve until the 2025 Annual Meeting or until his or her respective successor is duly elected and qualified;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Marcum as our independent registered public accounting firm for our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our Tax Benefits Preservation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as of the Record Date, your shares are registered directly in your name with our stock transfer agent, Equiniti Trust Company, LLC, you are considered the stockholder of record with respect to those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 What Is Discretionary Voting?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proposals, if the broker has transmitted proxy-soliciting materials to you, as the beneficial owner of the shares, but has not received voting instructions from you on such proposals. A broker non-vote occurs when a broker does not vote on a particular proposal because it does not have discretionary voting power with respect to that proposal and has not received voting instructions from the beneficial owner.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do not provide voting instructions to your broker, then your shares will not be voted at the Annual Meeting on any proposal with respect to which your broker does not have discretionary authority except as to “routine” matters. However, your broker firm is entitled to vote shares held for a beneficial holder on discretionary matters, such as the ratification of the selection of Marcum as our independent registered public accounting firm, without instructions from the beneficial holder of those shares. On the other hand, your broker firm is not entitled to vote shares held for a beneficial holder on non-discretionary items such as the election of directors, the vote to approve the compensation paid to our named executive officers and the ratification of our Tax Benefits Preservation Plan. If you are a beneficial owner, we encourage you to instruct your broker, bank or other nominee how to vote your shares using the voting instruction form provided by your broker, bank or other nominee so that your vote can be counted.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the stockholder of record, you may change your proxy instructions or revoke your proxy at any time before your proxy is voted at the Annual Meeting. You may change or revoke your proxy in any one of the following ways:</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our Corporate Secretary in writing before the Annual Meeting that you have revoked your proxy;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and voting at the Annual Meeting (attending the Annual Meeting virtually will not in and of itself revoke a previously submitted proxy).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Your most current vote, whether via the Internet, by telephone or by completing, signing, dating and promptly returning the enclosed Proxy Card is the one that will be counted.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of Annual Meeting of Stockholders or Proxy Card?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xml:space="preserve">” for each account to ensure that all of your shares are voted. </w:t>
      </w:r>
      <w:r>
        <w:rPr>
          <w:rFonts w:ascii="Times New Roman" w:cs="Times New Roman" w:eastAsia="Times New Roman" w:hAnsi="Times New Roman"/>
          <w:sz w:val="18"/>
          <w:szCs w:val="18"/>
          <w:b w:val="1"/>
          <w:bCs w:val="1"/>
          <w:color w:val="auto"/>
        </w:rPr>
        <w:t>ONLY THE LATEST DATED PROXY YOU SUBMIT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presence, virtually or by proxy, of the holders of one-third (33.33%) of the votes which could be cast by the holders of all outstanding shares of stock entitled to vote at the Annual Meeting shall be necessary and sufficient to constitute a quorum at the Annual Meeting. Abstentions will be counted for purposes of determining whether a quorum exists at the Annual Meeting. Broker non-votes, if any, will not be counted for purposes of determining whether a quorum exists at the Annual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shall be elected by a plurality of the voting power of the shares present in person or represented by</w:t>
            </w:r>
          </w:p>
        </w:tc>
        <w:tc>
          <w:tcPr>
            <w:tcW w:w="0" w:type="dxa"/>
            <w:vAlign w:val="bottom"/>
          </w:tcPr>
          <w:p>
            <w:pPr>
              <w:spacing w:after="0"/>
              <w:rPr>
                <w:sz w:val="1"/>
                <w:szCs w:val="1"/>
                <w:color w:val="auto"/>
              </w:rPr>
            </w:pPr>
          </w:p>
        </w:tc>
      </w:tr>
      <w:tr>
        <w:trPr>
          <w:trHeight w:val="220"/>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proxy at the Annual Meeting and entitled to vote on the election of directors. That means that the five</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nominees for director who receive the most votes will be elected.</w:t>
            </w:r>
          </w:p>
        </w:tc>
        <w:tc>
          <w:tcPr>
            <w:tcW w:w="0" w:type="dxa"/>
            <w:vAlign w:val="bottom"/>
          </w:tcPr>
          <w:p>
            <w:pPr>
              <w:spacing w:after="0"/>
              <w:rPr>
                <w:sz w:val="1"/>
                <w:szCs w:val="1"/>
                <w:color w:val="auto"/>
              </w:rPr>
            </w:pPr>
          </w:p>
        </w:tc>
      </w:tr>
      <w:tr>
        <w:trPr>
          <w:trHeight w:val="432"/>
        </w:trPr>
        <w:tc>
          <w:tcPr>
            <w:tcW w:w="3060" w:type="dxa"/>
            <w:vAlign w:val="bottom"/>
            <w:tcBorders>
              <w:left w:val="single" w:sz="8" w:color="auto"/>
              <w:right w:val="single" w:sz="8" w:color="auto"/>
            </w:tcBorders>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Stockholders may vote “FOR” each nominee or “WITHHOLD” their vote from each nominee.</w:t>
            </w:r>
          </w:p>
        </w:tc>
        <w:tc>
          <w:tcPr>
            <w:tcW w:w="0" w:type="dxa"/>
            <w:vAlign w:val="bottom"/>
          </w:tcPr>
          <w:p>
            <w:pPr>
              <w:spacing w:after="0"/>
              <w:rPr>
                <w:sz w:val="1"/>
                <w:szCs w:val="1"/>
                <w:color w:val="auto"/>
              </w:rPr>
            </w:pPr>
          </w:p>
        </w:tc>
      </w:tr>
      <w:tr>
        <w:trPr>
          <w:trHeight w:val="432"/>
        </w:trPr>
        <w:tc>
          <w:tcPr>
            <w:tcW w:w="306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Withheld votes and broker non-votes will have no effect on the outcome of the election of directors.</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2:</w:t>
            </w:r>
          </w:p>
        </w:tc>
        <w:tc>
          <w:tcPr>
            <w:tcW w:w="81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Ratify Selection of Marcum as the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Annual Meeting and entitled to vote on Proposal 2 shall be the act of the stockholders.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Company’s independent registered</w:t>
            </w: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public accounting firm for the fiscal</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Abstentions will be treated as votes “AGAINST” Proposal 2 and broker non-votes will have no effect on the</w:t>
            </w: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ending December 31, 2024</w:t>
            </w: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outcome of Proposal 2.</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3:</w:t>
            </w:r>
          </w:p>
        </w:tc>
        <w:tc>
          <w:tcPr>
            <w:tcW w:w="81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Approve, by a non-binding advisory</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Annual Meeting and entitled to vote on Proposal 3 shall be the act of the stockholders.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vote, the compensation of our named</w:t>
            </w: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Abstentions will be treated as votes “AGAINST” Proposal 3 and broker non-votes will have no effect on the</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outcome of Proposal 3.</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4:</w:t>
            </w:r>
          </w:p>
        </w:tc>
        <w:tc>
          <w:tcPr>
            <w:tcW w:w="81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w w:val="99"/>
              </w:rPr>
              <w:t>The affirmative vote of a majority of the voting power of the shares present in person or represented by proxy at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Ratify our Tax Benefits Preservation</w:t>
            </w:r>
          </w:p>
        </w:tc>
        <w:tc>
          <w:tcPr>
            <w:tcW w:w="8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Annual Meeting and entitled to vote on Proposal 4 shall be the act of the stockholders.</w:t>
            </w: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Abstentions will be treated as votes “AGAINST” Proposal 4 and broker non-votes will have no effect on the</w:t>
            </w:r>
          </w:p>
        </w:tc>
        <w:tc>
          <w:tcPr>
            <w:tcW w:w="0" w:type="dxa"/>
            <w:vAlign w:val="bottom"/>
          </w:tcPr>
          <w:p>
            <w:pPr>
              <w:spacing w:after="0"/>
              <w:rPr>
                <w:sz w:val="1"/>
                <w:szCs w:val="1"/>
                <w:color w:val="auto"/>
              </w:rPr>
            </w:pPr>
          </w:p>
        </w:tc>
      </w:tr>
      <w:tr>
        <w:trPr>
          <w:trHeight w:val="198"/>
        </w:trPr>
        <w:tc>
          <w:tcPr>
            <w:tcW w:w="3060" w:type="dxa"/>
            <w:vAlign w:val="bottom"/>
            <w:tcBorders>
              <w:left w:val="single" w:sz="8" w:color="auto"/>
              <w:right w:val="single" w:sz="8" w:color="auto"/>
            </w:tcBorders>
          </w:tcPr>
          <w:p>
            <w:pPr>
              <w:spacing w:after="0"/>
              <w:rPr>
                <w:sz w:val="17"/>
                <w:szCs w:val="17"/>
                <w:color w:val="auto"/>
              </w:rPr>
            </w:pPr>
          </w:p>
        </w:tc>
        <w:tc>
          <w:tcPr>
            <w:tcW w:w="8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outcome of Proposal 4.</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Do I Have Any Dissenters’ Or Appraisal Rights With Respect to Any of the Matters to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None of our stockholders has any dissenters’ or appraisal rights with respect to the matters to be voted on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and expenses of the Board’s solicitation of proxies, including the preparation, printing and mailing of the Proxy Statement, the Proxy Card, the Notice of the Annual Meeting of Stockholders and any additional information furnished to stockholders by the Company, will be borne by the Company. Solicitation of proxies may be in person, by telephone, electronic mail or personal solicitation by the Company’s directors, officers or staff members. Other than the persons described in the Proxy Statement, no general class of employee of the Company will be employed to solicit stockholders in connection with this proxy solicitation. However, in the course of their regular duties, the Company’s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engagement of Alliance by the Company as a proxy solicitor, the Company anticipates that certain employees of Alliance may communicate in person, by telephone or otherwise with a limited number of institutions, brokers or other persons who are stockholders of the Company for the purpose of assisting in the solicitation of proxies for the Annual Meeting. The Company expects to pay Alliance up to $114,570 for its services in connection with the solicitation of proxies for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1-888-490-5110 or by email at </w:t>
      </w:r>
      <w:r>
        <w:rPr>
          <w:rFonts w:ascii="Times New Roman" w:cs="Times New Roman" w:eastAsia="Times New Roman" w:hAnsi="Times New Roman"/>
          <w:sz w:val="18"/>
          <w:szCs w:val="18"/>
          <w:u w:val="single" w:color="auto"/>
          <w:color w:val="auto"/>
        </w:rPr>
        <w:t>XWEL@allianceadvisors.com</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Proposal 1 relates to the election of directors. 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nominated Scott R. Milford, Bruce T. Bernstein, Robert Weinstein, Michael Lebowitz and Gaëlle Wizenberg for election as directors at the Annual Meeting, each to serve until the 2025 Annual Meeting or until his or her respective successor is duly elected and qualified.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Scott R. Milford, Bruce T. Bernstein, Robert Weinstein, Michael Lebowitz and Gaëlle Wizenberg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the Proxy Statement and based on the information provided by each director, no director is a party to an arrangement or understanding pursuant to which he or she is to be selected as a director or nominee.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each of Scott R. Milford, Bruce T. Bernstein, Robert Weinstein, Michael Lebowitz and Gaëlle Wizenberg is set forth below under “</w:t>
      </w:r>
      <w:r>
        <w:rPr>
          <w:rFonts w:ascii="Times New Roman" w:cs="Times New Roman" w:eastAsia="Times New Roman" w:hAnsi="Times New Roman"/>
          <w:sz w:val="18"/>
          <w:szCs w:val="18"/>
          <w:i w:val="1"/>
          <w:iCs w:val="1"/>
          <w:color w:val="auto"/>
        </w:rPr>
        <w:t>Management and Corporate Governance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Votes that are withheld and broker non-votes will have no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698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8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SCOTT R. MILFORD, BRUCE T. BERNSTEIN, ROBERT WEINSTEIN, MICHAEL LEBOWITZ AND GAËLLE WIZENBERG AS DIRECTORS.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(the “Audit Committee”) recommends stockholders ratify Marcum as the Company’s independent registered public accounting firm for the fiscal year ending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Marcum are expected to be available at the Annual Meeting. Such representatives will have an opportunity to make a statement if they desire to do so and will be available to respond to appropriate questions.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2020, we approved the engagement of Friedman LLP (“Friedman”) as our independent registered public accounting firm for the fiscal year ended December 31, 2020. This selection was ratified by our stockholders at the 2020, 2021, 2022 and 2023 annual meetings of stockholders held on October 28, 2020, September 30, 2021, October 4, 2022 and August 22, 2023,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became our auditors as of October 4, 2022, following the approval of their engagement by our Audit Committee. Further, the Audit Committee reviewed auditor independence issues and existing commercial relationships with Marcum LLP. The Audit Committee concluded that independence of Marcum was not impaired for the fiscal years ended December 31, 2023, and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December 31, 2023, and 2022, we incurred the following fees for the services of Marcum: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Marcum LLP:</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567,070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410,025</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80,242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Tax fees(3)</w:t>
            </w: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687,985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490,267</w:t>
            </w:r>
          </w:p>
        </w:tc>
        <w:tc>
          <w:tcPr>
            <w:tcW w:w="10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benefit plan audits and lease compliance audits.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services, including tax compliance, tax advice and tax planning.</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in this category pertain to fees billed for products and services provided by Marcum LLP, other than the services reported in the categories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Marcum as our independent registered public accounting firm for the fiscal year ending December 31, 2024. The affirmative vote of a majority of the voting power of the shares present in person or represented by proxy at the Annual Meeting and entitled to vote on Proposal 2 is required to ratify the appointment of Marcum as our independent registered public accounting firm for the fiscal year ending December 31, 2024. Abstentions will be treated as votes “AGAINST” Proposal 2, and broker non-votes will have no effect on the outcome of Proposal 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We are not required to obtain the approval of our stockholders to select our independent registered public accounting firm. However, if our stockholders do not ratify the selection of Marcum as our independent registered public accounting firm for the year ended December 31, 2024, our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698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98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THE APPOINTMENT OF MARCUM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APPROVAL OF EXECUTIVE COMPENSATION AS DISCLOSED IN THIS PROXY STATEMENT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2025 Annual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APPROVED.”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Annual Meeting and entitled to vote on Proposal 3 is required to approve, on a non-binding advisory basis, the compensation of our named executive officers, as described in this Proxy Statement. Abstentions will be treated as votes “AGAINST” Proposal 3, and broker non-votes will have no effect on the outcome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578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78485"/>
                    </a:xfrm>
                    <a:prstGeom prst="rect">
                      <a:avLst/>
                    </a:prstGeom>
                    <a:noFill/>
                  </pic:spPr>
                </pic:pic>
              </a:graphicData>
            </a:graphic>
          </wp:anchor>
        </w:drawing>
      </w:r>
    </w:p>
    <w:p>
      <w:pPr>
        <w:spacing w:after="0" w:line="38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OUR TAX BENEFITS PRESERVATION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Proposal 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2024, we entered into the Tax Benefits Preservation Plan between us and Equiniti Trust Company, LLC, as Rights Agent. The Tax Benefits Preservation Plan is intended to preserve the value of certain of the Company’s tax attributes, including net operating losses (the “Tax Attributes”). In adopting the Tax Benefits Preservation Plan, the Board concluded that it is in the best interests of the Company and our stockholders that the Company provide for the preservation of our Tax Attributes.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stockholder ratification of the Tax Benefits Preservation Plan is not required under Delaware law or pursuant to the terms of the Plan, our Board has determined to seek stockholder ratification of the Tax Benefits Preservation Plan in furtherance of good corporate governance. As the Tax Benefits Preservation Plan is not conditioned upon stockholder approval, the Plan will not expire pursuant to its terms if it is not ratified by the stockholders. However, the Board is committed, in connection with its continued evaluation of the Tax Benefits Preservation Plan, to considering the results of the vote on this Proposal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Tax Benefits Preservation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Benefits Preservation Plan is intended to help protect the Company’s Tax Attributes. As of August 16, 2024, the Company has Tax Attributes which may entitle the Company to reduce taxable income with respect to the Company’s current 2024 tax year. The Company currently has approximately $67.3 million of net operating losses available to offset taxable income. However, these Tax Attributes may be materially reduced or eliminated by a “change of ownership” of the Company under Section 382 of the Internal Revenue Code of 1986, as amended (the “Code”), and the Internal Revenue Service rules. The Plan is similar to Section 382 rights plans adopted by many other public companies with significant Tax Attributes.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adopted the Tax Benefits Preservation Plan to reduce the risk that our ability to use our Tax Attributes would be substantially limited following an change of ownership under Section 382 of the Code. The Tax Benefits Preservation Plan deters any person or group from becoming or obtaining the right to become a “5-percent shareholder” (as such term is used in Section 382 of the Code) or, in certain cases, from increasing such person’s or group’s ownership of shares of the Company’s common stock beyond 4.99%, in each case, without first obtaining the approval of the Board. In general, a change of ownership would occur if the Company’s “5-percent shareholders” collectively increase their ownership in the Company by more than 50 percentage points over a rolling three-year period. While the Board adopted the Tax Benefits Preservation Plan to diminish the risk that the Company’s ability to use our Tax Attributes would be substantially impaired, nonetheless, the Plan may also have an “anti-takeover effect” because it may deter or discourage a person or group from acquiring beneficial ownership of 4.99% or more of the shares of Common Stock or, in the case of a person or group that already own 4.99% or more of the shares of common stock, from acquiring one or more additional shares of Common Stock without advance approval from the Board. Subject to certain exceptions, if any person or group acquires 4.99% or more of the outstanding shares of Common Stock without approval of the Board, there would be a triggering event under the Tax Benefits Preservation Plan that could result in significant dilution in the ownership interest of such person or group. As such, the Plan has anti-takeover effects.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Tax Benefits Preservation Plan contained in this Proposal 4 is qualified in its entirety by reference to the text of the Tax Benefits Preservation Plan which is attached hereto as Annex A. You are urged to carefully read the Tax Benefits Preservation Plan in its entirety as the discussion herein is only a summary.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15, 2024, the Board declared a dividend of one Series A Junior Participating Preferred Stock purchase right (the “Rights”) for each outstanding share of Common Stock under the terms of the Tax Benefits Preservation Plan. The dividend is payable on August 26, 2024 to the stockholders of record as of the close of business on August 26, 2024 (the “Plan Record Date”). Each Right entitles the registered holder to purchase from the Company one one-thousandth of a share of Series A Junior Participating Preferred Stock, par value $0.01 per share, of the Company (the “Preferred Stock”) at a price of $7.50 per one one-thousandth of a share of Preferred Stock (the “Purchase Price”), subject to adjustment and to the other terms, provisions and conditions of the Tax Benefits Preservation Plan. The description and terms of the Rights are set forth in the Tax Benefits Preservation Plan. Until it is exercised or exchanged, a Right does not give its holder any rights as a stockholder of the Company, including without limitation any dividend, voting or liquidation rights, powers or preferences. The issuance of the Rights will not affect the Company’s reported earnings or loss per share and is not taxable to the Company or its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Preferred Stock will be entitled, when, as and if declared, to a minimum preferential quarterly dividend payment of an amount equal to 1,000 times the dividend declared per share of Common Stock, subject to adjustment.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will not be exercisable until the earlier to occur of (i) the tenth business day following the public announcement that a person or group has become an “Acquiring Person” by acquiring or obtaining the right to acquire beneficial ownership of 4.99% or more of the outstanding shares of Common Stock (or the Board becoming aware of an “Acquiring Person”) or (ii) the tenth business day following the commencement of, or announcement of an intention to make, a tender offer or exchange offer the consummation of which would result in the beneficial ownership by a person or group of 4.99% or more of the outstanding shares of Common Stock, in each case with certain exceptions (the earlier of such dates being called the “Distribution Date”). Until the Distribution Date, the Rights will be evidenced, with respect to the Common Stock certificates outstanding as of the Record Date (or any book-entry shares in respect thereof), by such Common Stock certificate (or registration in book-entry form), and the Rights will be transferable only in connection with the transfer of Common Stock.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Benefits Preservation Plan provides that, until the Distribution Date (or earlier expiration or redemption of the Rights), (i) the Rights will be attached to and will be transferred with and only with the Common Stock; (ii) new shares of Common Stock issued after the Record Date upon transfer or new issuances of Common Stock will contain a notation incorporating the Plan by reference (with respect to shares represented by certificates) or notice thereof will be provided in accordance with applicable law (with respect to uncertificated shares); and (iii) the surrender for transfer of any certificates representing shares of Common Stock outstanding as of the Plan Record Date or the transfer by book-entry of any uncertificated shares of Common Stock, will also constitute the transfer of the Rights associated with such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becomes an Acquiring Person, each holder of a Right, other than Rights beneficially owned by the Acquiring Person (which will thereupon become null and void), will thereafter have the right to receive upon exercise of a Right (including payment of the Purchase Price) that number of shares of Common Stock having a market value of two times the Purchase Price.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prior to the acquisition by such Acquiring Person of beneficial ownership of 50% or more of the voting power of the shares of Common Stock then outstanding, the Board may exchange the Rights (other than Rights owned by such Acquiring Person,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stock) equivalent in value thereto, per Right (subject to adjustment for stock splits, stock dividends and similar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will expire upon the earliest of: (i) the close of business on the third anniversary of the adoption of the Tax Benefits Preservation Plan (the “Final Expiration Date”); (ii) the time at which the Rights are redeemed pursuant to the Plan, (iii) the time at which the Rights are exchanged pursuant to the Plan; (iv) the closing of any merger or other acquisition transaction involving the Company pursuant to an agreement approved by the Board; (v) the close of business on the effective date of the repeal of Section 382 of the Code if the Board determines that the Plan is no longer necessary or desirable for the preservation of the Tax Attributes; or (vi) the close of business on the first day of a taxable year of the Company to which the Board determines that no Tax Attributes may be carried forward or otherwise utilized.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Preferred Stock, which may, at the election of the Company, be evidenced by depositary receipts), and in lieu thereof an adjustment in cash will be made based on the current market price of the Preferred Stock or the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time an Acquiring Person becomes such and (ii) the Final Expiration Date,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Tax Benefits Preservation Plan in any manner. After the Rights are no longer redeemable, the Company may amend the Plan in any manner that does not (i) adversely affect the interests of holders of the Rights as such (other than the Acquiring Person or any associate or affiliate thereof) and (ii) cause the Rights again to become redeemable or cause the Plan again to become amendable as to an Acquiring Person (or any associate or affiliate thereof).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Annual Meeting and entitled to vote on Proposal 4 is required to approve, on a non-binding advisory basis, the compensation of our named executive officers, as described in this Proxy Statement. Abstentions will be treated as votes “AGAINST” Proposal 4, and broker non-votes will have no effect on the outcome of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433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OUR TAX BENEFITS PRESERVATION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Except as set forth in this Proxy Statement, no director or executive officer has any substantial interest, direct or indirect, by security holdings or otherwise, in any matter to be acted upon at the Annual Meeting. Additionally, information about the specific experience, qualifications, attributes or skills that led to our Board’s conclusion that each person listed below should serve as a director is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c>
          <w:tcPr>
            <w:tcW w:w="742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Bernstein*(1)(2)(3)(4)</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Weinstein*(1)(2)(3)(4)</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Lebowitz* (3)(4)</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Gaëlle Wizenberg*(1)(2)(5)</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A. Scrabis</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8"/>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Executive Vice President of XWELL, Chief Executive Officer of XpresTest, Inc. and President and</w:t>
            </w:r>
          </w:p>
        </w:tc>
      </w:tr>
      <w:tr>
        <w:trPr>
          <w:trHeight w:val="23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of HyperPointe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Independent director under the rules of the Nasdaq Stock Market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Compensation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Audit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Strategic Affairs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the Board appointed Gaëlle Wizenberg to be a member of the Board, effective as of January 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Feedback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considers and values the feedback of its stockholders. Over the last year, stockholders provided feedback regarding Board composition, including overall Board diversity across a range of skills and experience. This feedback was also reflected in the support levels for several directors on the Nominating and Corporate Governance Committee. In response, the Board appointed Gaëlle Wizenberg to the Board to bring her breadth of expertise to the oversight of the Company. In conjunction with this addition, the Board sought to balance director refreshment with stability and the retention of institutional knowledge, given the implementation of several strategic initiatives currently underway.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currently consists of five members: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in February 2016 and has served as the Chairman of our Board since February 2018. Mr. Bernstein has over thirty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securities industry, primarily as senior portfolio manager for two alternative finance funds, as well as in trading and structuring of arbitrage strategies. Since 2006, Mr. Bernstein has served as President of Rockmore Capital, LLC, the manager of a direct investment and lending fund with peak assets under management of $140 million. Previously, he served as Co-President of Omicron Capital, LP (“Omicron Capital”), an investment firm based in New York, from August 2001 to March 2006.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Since April 2023, Mr. Bernstein has served on the Board of Directors of Wrap Technologies, Inc., a provider of advanced public safety solutions. Since December 2020, Mr. Bernstein has served on the Board of Directors of Petros Pharmaceuticals, Inc., a pharmaceutical company, which is the surviving company from the merger of Metuchen Pharmaceuticals LLC and Neurotrope, Inc. Mr. Bernstein has also served as a member of the Board of Directors of Synaptogenix, Inc. (formerly Neurotrope Bioscience, Inc.), a publicly traded biotechnology company, since November 2016. From February 2016 to November 2023, Mr. Bernstein served as a member of the board of Summit Digital Health, a laser-based blood glucose monitor distributor, based in New Jersey. Mr. Bernstein holds a B.B.A. from City University of New York (Baruch).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as the Chairman of our Board.</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in February 2020. Mr. Weinstein has extensive accounting and finance experience, spanning more than thirty years,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accountant, investment banker, healthcare private equity fund principal and chief financial officer. Since October 2013, Mr. Weinstein has been the Chief Financial Officer of Synaptogenix, Inc. (formerly Neurotrope Bioscience, Inc.), a publicly traded biotechnology company. Since October 2011, Mr. Weinstein has served as the Executive Vice President, Treasurer and Secretary of Synaptogenix, Inc. Since December 2020, Mr. Weinstein has performed work as a consultant for Petros Pharmaceuticals, Inc. From September 2011 to September 2013, Mr. Weinstein was an independent consultant for several healthcare companies in the pharmaceutical and biotechnology industries. Since May 2023, Mr. Weinstein has served on the Board of Directors of Oblong, Inc., a company providing multi-stream collaboration technologies and managed services for video collaboration and network applications. Since November 2022, Mr. Weinstein has served on the Board of Directors of PharmaCyte Biotech, Inc., a biotechnology company focusing on developing and commercializing cellular therapies for cancer, diabetes, and malignant ascites.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qualifies him to serve on our Board and as a member and the Chairperson of the Audit Committee.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in April 2020. An expert in customer experience strategy and innovation, Mr. Lebowitz has a twenty-five-year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in defining creative strategy and vision for some of the world’s most recognizable brands. Mr. Lebowitz founded Big Spaceship, a globally recognized creative consultancy, in March 2000 and served as its Chief Executive Officer until August 2022 when he became Executive Chair. In February 2024, Big Spaceship rebranded as SPCSHP. Mr. Lebowitz received his bachelor’s degree in Film from Vassar College.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Gaëlle Wizenberg </w:t>
      </w:r>
      <w:r>
        <w:rPr>
          <w:rFonts w:ascii="Times New Roman" w:cs="Times New Roman" w:eastAsia="Times New Roman" w:hAnsi="Times New Roman"/>
          <w:sz w:val="18"/>
          <w:szCs w:val="18"/>
          <w:color w:val="auto"/>
        </w:rPr>
        <w:t>joined our Board in January 2024. An expert in branding, manufacturing, global distribution of consumer goods and serial entrepreneur,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Wizenberg founded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2024.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Ms. Wizenberg’s global entrepreneurial experience in brand building, consumer goods and wellness as well as her critical and creative thinking qualifies her to serve on our Board. Further, the depth of Ms. Wizenberg’s operating background as well as her extensive experience launching successful consumer and wellness brands qualify her to serve on our Board.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Milford </w:t>
      </w:r>
      <w:r>
        <w:rPr>
          <w:rFonts w:ascii="Times New Roman" w:cs="Times New Roman" w:eastAsia="Times New Roman" w:hAnsi="Times New Roman"/>
          <w:sz w:val="18"/>
          <w:szCs w:val="18"/>
          <w:color w:val="auto"/>
        </w:rPr>
        <w:t>joined the Company in July 2019 and has served as our President and Chief Executive Officer and as a member of our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XWELL, he served as VP, People Operations at SoulCycle Inc., a fitness company, from February 2019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Home Health Care,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 includes senior leadership positions at Town Sports International, Starbucks Coffee Company, Universal Music Group, Viacom and Blockbuster Entertainment.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Milford’s extensive experience in the retail industry and his knowledge of the Company’s business due to his status as an executive officer of the Company qualifies him to serve on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A. Scrabis </w:t>
      </w:r>
      <w:r>
        <w:rPr>
          <w:rFonts w:ascii="Times New Roman" w:cs="Times New Roman" w:eastAsia="Times New Roman" w:hAnsi="Times New Roman"/>
          <w:sz w:val="18"/>
          <w:szCs w:val="18"/>
          <w:color w:val="auto"/>
        </w:rPr>
        <w:t>has served as Chief Financial Officer of the Company since July 2023. From January 2020 to July 2023, Ms. Scrabis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Manager, Technology Platforms for Rockwell Automation, Inc., an industrial automation and digital transformation company (“Rockwell Automation”), after serving as Chief Financial Officer for MAVERICK Technologies Holdings, LLC, a privately held independent systems integrator based in Columbia, Illinois (“MAVERICK”), from 2006 to December 2019. As Chief Financial Officer, she helped lead the acquisition of MAVERICK by Rockwell Automation in 2016. Before that, she served as the Director of Operations at MAVERICK from 2003 to 2006. Ms. Scrabis also served from 2001 to 2003 as the Director of Logistics for Aurora Foods, a packaged foods manufacturing company, that was subsequently acquired by Pinnacle Foods in 2004. Prior to that she served at Ernst &amp; Young as a senior asset manager for the Pacific and New York Metro regions from 1996 to 2001. Ms. Scrabis holds a Bachelor of Science in Operations Management and Marketing from California State University Long Beach.</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Ezra T. Ernst </w:t>
      </w:r>
      <w:r>
        <w:rPr>
          <w:rFonts w:ascii="Times New Roman" w:cs="Times New Roman" w:eastAsia="Times New Roman" w:hAnsi="Times New Roman"/>
          <w:sz w:val="18"/>
          <w:szCs w:val="18"/>
          <w:color w:val="auto"/>
        </w:rPr>
        <w:t>has served as Executive Vice President of the Company and Chief Executive Officer of our subsidiary XpresTest, Inc. since our January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Health Corp., an online publisher of health and medical news and information, from December 2008 to January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reviewed the materiality of any relationship that each of our directors has with us, either directly or indirectly. Based upon this review, we believe that Messrs. Bernstein, Weinstein, and Lebowitz and Ms. Wizenberg qualify as independent directors in accordance with the standards set by Nasdaq, as well as Rule 10A-3 promulgated under the Exchange Act. Accordingly, our Board is comprised of a majority of independent directors as required by Nasdaq rules.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each member of the Audit Committee, the Compensation Committee and the Nominating and Corporate Governance Committee meets the independence requirements applicable to each such committee member prescribed by Nasdaq and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further determined that Messrs. Bernstein and Weinstein are “audit committee financial experts” as defined pursuant to the rules of the SEC.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Committees of the Board and Meetings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2023, there were three meetings of our Board, as well as thirteen unanimous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consents of the Board. The various committees of the Board met a total of eleven times, collectively, as further described below. Each director attended more than 75% of the aggregate of the total number of meetings of the Board and each director serving on a committee attended more than 75% of the total number of meetings held by an applicable committee(s) of the Board on which such director served during the year ended December 31, 2023. The Board has adopted a policy under which each member of the Board is strongly encouraged, but not required, to attend each annual meeting of our stockholders. All five of our 2023 directors attended our 2023 annual meeting of stockholders.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met four times during the year ended December 31, 2023. The Audit Committee currently has three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Robert Weinstein (Chairman), Bruce T. Bernstein and Gaëlle Wizenberg. Effective as of January 1, 2024, Donald E. Stout ceased to be a member of the Board and all committees thereto, including the Audit Committee. As of January 30, 2024, Gaëlle Wizenberg was appointed a member of the Audit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Audit Committee qualify as independent under the listing standards promulgated by the SEC and Nasdaq, as such standards apply specifically to members of audit committees. The Board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Material Weakness Remediation</w:t>
      </w:r>
      <w:r>
        <w:rPr>
          <w:rFonts w:ascii="Times New Roman" w:cs="Times New Roman" w:eastAsia="Times New Roman" w:hAnsi="Times New Roman"/>
          <w:sz w:val="18"/>
          <w:szCs w:val="18"/>
          <w:color w:val="auto"/>
        </w:rPr>
        <w:t>. As reported in our 2023 Annual Report, the Company had previously identified certain material weaknesses in our internal controls over financial reporting. Management is committed to the remediation of the material weaknesses, as well as the continued improvement of the Company’s internal control over financial reporting. Management has implemented, and continues to implement, the following actions and will continue to assess additional opportunities for remediation on an ongoing basis:</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ind w:left="66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met one time during the year ended December 31, 2023.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three members: Bruce T. Bernstein (Chairman), Robert Weinstein and Gaëlle Wizenberg. Effective as of January 1, 2024, Donald E. Stout ceased to be a member of the Board and all committees thereof, including the Compensation Committee. As of January 30, 2024, Gaëlle Wizenberg was appointed a member of the Compensation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w:t>
      </w:r>
    </w:p>
    <w:p>
      <w:pPr>
        <w:spacing w:after="0" w:line="225"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regarding our compensation policies, practices and procedures to ensure that legal and fiduciary responsibilities of the Board are carried out and that such policies, practices and procedures contribute to our success;</w:t>
      </w: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2012 Employee, Director and Consultant Equity Incentive Plan (the “2012 Plan”) and our 2020 Equity Incentive Plan (the “2020 Plan”);</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our Chief Executive Officer, and conducts its decision-making process with respect to that issue without the Chief Executive Officer present;</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the executive officers of the Company other than the Chief Executive Officer, based upon the recommendation of the Chief Executive Officer and such other customary factors that the Compensation Committee deems necessary or appropriate;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review of general compensation policies with the objective of attracting and retaining superior talent, rewarding individual performance and achieving our financial goals.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directly retain the services of independent consultants and other experts to assist in fulfilling its responsibilities. During fiscal year 2023, the Compensation Committee did engage a third-party compensation consultant, StreeterWyatt Analytics, to review the Board’s compensation structure as well as benchmark it against the Company’s peer group.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 Nominating and Corporate Governance Committee met one time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The Nominating and Corporate Governance Committee currently has three members: Robert Weinstein (Chairman), Bruce T. Bernstein and Michael Lebowitz. Effective as of January 1, 2024, Donald E. Stout ceased to be a member of the Board and all committees thereof, including the Nominating and Corporate Governance Committee. As of January 30, 2024, Michael Lebowitz was appointed a member of the Nominating and Corporate Governance Committee.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role and responsibilities are set forth in the Nominating and Corporate Governance Committee’s written charter and include, among other things, the authority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as to the structure, composition and functioning of the Board and its committees.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and Board may therefore consider a broad range of factors relating to the qualifications and background of nominees, which may include diversity, which is not only limited to race, gender or national origin. Our Nominating and Corporate Governance Committee’s and Board’s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and concern for the long-term interests of the stockholders. In general, persons recommended by stockholders will be considered on the same basis as candidates from other sources. Stockholders may recommend director candidates to the Nominating and Corporate Governance Committee by delivering a written recommendation to: XWELL, Inc., 254 West 31st Street, 11th Floor, New York, New York 10001, Attention: Corporate Secretary. The Corporate Secretary will forward such recommendations to the Nominating and Corporate Governance Committee. Stockholders may also nominate persons directly for election as directors in accordance with the procedures set forth in Section 1.2 of our Bylaws. A notice of any such nomination must contain all required information and must be delivered to, or mailed and received by, the Corporate Secretary not less than 60 days or more than 90 days prior to the anniversary date of the immediately preceding annual meeting; provided, however, that in the event that the annual meeting is called for a date that is not within 30 days before or after such anniversary date, such notice must be received not later than the close of business on the later of (i) the 60th day prior to such annual meeting or (ii) the 10th day following the day on which public announcement of the date of such meeting is first made.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Strategic Affairs Committee. </w:t>
      </w:r>
      <w:r>
        <w:rPr>
          <w:rFonts w:ascii="Times New Roman" w:cs="Times New Roman" w:eastAsia="Times New Roman" w:hAnsi="Times New Roman"/>
          <w:sz w:val="18"/>
          <w:szCs w:val="18"/>
          <w:color w:val="auto"/>
        </w:rPr>
        <w:t>The Strategic Affairs Committee of the Board (the “Strategic Affairs Committee”) met four times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This 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Affairs Committee’s responsibilities include, among others:</w:t>
      </w:r>
    </w:p>
    <w:p>
      <w:pPr>
        <w:spacing w:after="0" w:line="225"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strategic transactions received by the Company or proposed by management;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February 5, 2018, the Board appointed Bruce T. Bernstein as the non-executive Chairman of the Board.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except as otherwise disclosed in this Proxy Statement, there is no event that occurred during the past ten years with respect to any of our directors or executive officers that is required to be disclosed under Item 401(f)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Arrangements Between Directors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there is no arrangement or understanding between any of our directors and any other person pursuant to which he or she was or is to be selected as a director or nominee. To our knowledge, there is no arrangement or understanding between any of our executive officers and any other person pursuant to which the officer was or is to be selected to serve as an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or any person nominated or chosen by the Company to become a director or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diversity matrix is set forth below as required under the listing requirements of Nasdaq.</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560" w:type="dxa"/>
            <w:vAlign w:val="bottom"/>
            <w:tcBorders>
              <w:top w:val="single" w:sz="8" w:color="auto"/>
              <w:left w:val="single" w:sz="8" w:color="auto"/>
              <w:bottom w:val="single" w:sz="8" w:color="auto"/>
            </w:tcBorders>
          </w:tcPr>
          <w:p>
            <w:pPr>
              <w:spacing w:after="0"/>
              <w:rPr>
                <w:sz w:val="20"/>
                <w:szCs w:val="20"/>
                <w:color w:val="auto"/>
              </w:rPr>
            </w:pPr>
          </w:p>
        </w:tc>
        <w:tc>
          <w:tcPr>
            <w:tcW w:w="4820" w:type="dxa"/>
            <w:vAlign w:val="bottom"/>
            <w:tcBorders>
              <w:top w:val="single" w:sz="8" w:color="auto"/>
              <w:bottom w:val="single" w:sz="8" w:color="auto"/>
            </w:tcBorders>
            <w:gridSpan w:val="3"/>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Board Diversity Matrix (As of August 21, 2024)</w:t>
            </w:r>
          </w:p>
        </w:tc>
        <w:tc>
          <w:tcPr>
            <w:tcW w:w="286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 - 5</w:t>
            </w:r>
          </w:p>
        </w:tc>
        <w:tc>
          <w:tcPr>
            <w:tcW w:w="2500" w:type="dxa"/>
            <w:vAlign w:val="bottom"/>
            <w:vMerge w:val="restart"/>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86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0" w:type="dxa"/>
            <w:vAlign w:val="bottom"/>
          </w:tcPr>
          <w:p>
            <w:pPr>
              <w:spacing w:after="0"/>
              <w:rPr>
                <w:sz w:val="1"/>
                <w:szCs w:val="1"/>
                <w:color w:val="auto"/>
              </w:rPr>
            </w:pPr>
          </w:p>
        </w:tc>
      </w:tr>
      <w:tr>
        <w:trPr>
          <w:trHeight w:val="198"/>
        </w:trPr>
        <w:tc>
          <w:tcPr>
            <w:tcW w:w="3560" w:type="dxa"/>
            <w:vAlign w:val="bottom"/>
            <w:tcBorders>
              <w:left w:val="single" w:sz="8" w:color="auto"/>
            </w:tcBorders>
          </w:tcPr>
          <w:p>
            <w:pPr>
              <w:spacing w:after="0"/>
              <w:rPr>
                <w:sz w:val="17"/>
                <w:szCs w:val="17"/>
                <w:color w:val="auto"/>
              </w:rPr>
            </w:pPr>
          </w:p>
        </w:tc>
        <w:tc>
          <w:tcPr>
            <w:tcW w:w="25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8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5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Hispanic or Latinx</w:t>
            </w:r>
          </w:p>
        </w:tc>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25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2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persons who own more than ten percent of our Common Stock, to file with the SEC initial reports of ownership and reports of changes in ownership of our Common Stock. To our knowledge, based solely on our records and a review of the copies of such reports furnished to us, during the fiscal year ended December 31, 2023, we believe that all reports applicable to our officers, directors and greater than ten percent stockholders which were required to be filed pursuant to Section 16(a) of the Exchange Act were filed on a timely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www.xwell.com/corporate-governance, and will be made available to stockholders without charge, upon request, in writing to the Corporate Secretary at 254 West 31st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Hedging Prohibition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The insider trading policy is designed to promote compliance with respect to insider trading laws, rules and regulations. The insider trading policy governs the ability of our directors, officers and employees to engage in short-term or speculative transactions by prohibiting trading in the Company’s securities on a short term basis, engaging in short sales, use of the Company’s securities to secure a margin or other loan, transactions in straddles, collars and in publicly-traded options relating to the Company’s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or paid by us during the years ended December 31, 2023 and 2022 to (i) our principal executive officer, (ii) the two most highly compensated executive officers other than the principal executive officer who were serving as executive officers at December 31, 2023, and (iii) up to two additional individuals for whom disclosure would have been provided under clause (ii) but for the fact that the person was not serving as an executive officer at the end of the year ended December 31, 2023 (collectively, the “named executive officers” or the “NEOs”).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 Awards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425,000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52,379</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413,462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181,704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615,500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1,246,956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A. Scrabis(3)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135,367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165,476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A. Haynes(4)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317,893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378,286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Interim Chief Financial Officer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251,250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101,856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454,397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Ezra T. Ernst(5)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27,379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411,079</w:t>
            </w:r>
          </w:p>
        </w:tc>
        <w:tc>
          <w:tcPr>
            <w:tcW w:w="0" w:type="dxa"/>
            <w:vAlign w:val="bottom"/>
          </w:tcPr>
          <w:p>
            <w:pPr>
              <w:spacing w:after="0"/>
              <w:rPr>
                <w:sz w:val="1"/>
                <w:szCs w:val="1"/>
                <w:color w:val="auto"/>
              </w:rPr>
            </w:pPr>
          </w:p>
        </w:tc>
      </w:tr>
      <w:tr>
        <w:trPr>
          <w:trHeight w:val="196"/>
        </w:trPr>
        <w:tc>
          <w:tcPr>
            <w:tcW w:w="30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 President of XWELL,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of XpresTest and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HyperPointe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318,425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362,900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681,325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20" w:hanging="215"/>
        <w:spacing w:after="0" w:line="262" w:lineRule="auto"/>
        <w:rPr>
          <w:sz w:val="20"/>
          <w:szCs w:val="20"/>
          <w:color w:val="auto"/>
        </w:rPr>
      </w:pPr>
      <w:r>
        <w:rPr>
          <w:rFonts w:ascii="Times New Roman" w:cs="Times New Roman" w:eastAsia="Times New Roman" w:hAnsi="Times New Roman"/>
          <w:sz w:val="18"/>
          <w:szCs w:val="18"/>
          <w:color w:val="auto"/>
        </w:rPr>
        <w:t xml:space="preserve">(1)Amounts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15 to our consolidated financial statements included in the Original Filing.</w:t>
      </w: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(2)Mr. Milford is currently our President and Chief Executive Officer, effective as of January 19, 2022. Prior to that, he served as our Chief Operating Officer since December 14, 2020. Compensation for the year ended December 31, 2023 includes equity awards of stock options. Compensation for the year ended December 31, 2022 includes equity awards of stock options and restricted stock.</w:t>
      </w:r>
    </w:p>
    <w:p>
      <w:pPr>
        <w:spacing w:after="0" w:line="1" w:lineRule="exact"/>
        <w:rPr>
          <w:sz w:val="20"/>
          <w:szCs w:val="20"/>
          <w:color w:val="auto"/>
        </w:rPr>
      </w:pP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(3)Ms. Scrabis is our current Chief Financial Officer, effective as of July 10, 2023. Compensation for the year ended December 31, 2023 includes equity awards of stock options and restricted stock.</w:t>
      </w:r>
    </w:p>
    <w:p>
      <w:pPr>
        <w:spacing w:after="0" w:line="1" w:lineRule="exact"/>
        <w:rPr>
          <w:sz w:val="20"/>
          <w:szCs w:val="20"/>
          <w:color w:val="auto"/>
        </w:rPr>
      </w:pP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(4)Mr. Haynes was our former Interim Chief Financial Officer, effective as of June 13, 2022. On July 10, 2023, upon the appointment of Suzanne A. Scrabis to the role of Chief Financial Officer, Mr. Haynes resumed his former role as Vice President of Treasury &amp; Finance, effective as of the same date. Compensation for the year ended December 31, 2023 includes equity awards of stock options and restricted stock. Compensation for the year ended December 31, 2022 includes equity awards of stock options and restricted stock.</w:t>
      </w:r>
    </w:p>
    <w:p>
      <w:pPr>
        <w:spacing w:after="0" w:line="2" w:lineRule="exact"/>
        <w:rPr>
          <w:sz w:val="20"/>
          <w:szCs w:val="20"/>
          <w:color w:val="auto"/>
        </w:rPr>
      </w:pPr>
    </w:p>
    <w:p>
      <w:pPr>
        <w:jc w:val="both"/>
        <w:ind w:left="220" w:hanging="215"/>
        <w:spacing w:after="0" w:line="255" w:lineRule="auto"/>
        <w:rPr>
          <w:sz w:val="20"/>
          <w:szCs w:val="20"/>
          <w:color w:val="auto"/>
        </w:rPr>
      </w:pPr>
      <w:r>
        <w:rPr>
          <w:rFonts w:ascii="Times New Roman" w:cs="Times New Roman" w:eastAsia="Times New Roman" w:hAnsi="Times New Roman"/>
          <w:sz w:val="18"/>
          <w:szCs w:val="18"/>
          <w:color w:val="auto"/>
        </w:rPr>
        <w:t>(5)Mr. Ernst has served as the Executive Vice President and the Chief Executive Officer of XpresTest Inc. since January 9, 2022. Compensation for the year ended December 31, 2023 includes equity awards of stock options. Compensation for the year ended December 31, 2022 includes equity awards of stock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her service as Chief Financial Officer, pursuant to an offer letter, dated as of June 26, 2023, by and between us and Ms. Scrabis (the “Scrabis Offer Letter”), Ms. Scrabis receives an annual base salary of $300,000, subject to review by the Compensation Committee. Ms. Scrabis is eligible to receive an annual cash bonus with a target of 50% of her base salary, which was not pro-rated for 2023 and half of which amount is guaranteed. For the year ended December 31, 2023, Ms. Scrabis received a cash bonus of $75,000. Ms. Scrabis is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Ms. Scrabis terminates her employment for good reason, or by the Company without cause (each as defined in the Scrabis Offer Letter) and Ms. Scrabis provides the Company with a release of claims, Ms. Scrabis will be entitled to receive a payment equal to 50% of her then-current base salary, payable in installments over a period of six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his service as Interim Chief Financial Officer, which terminated on July 10, 2023, upon the appointment of Suzanne A. Scrabis as our Chief Financial Officer, Mr. Haynes received a base salary of $288,750 annually, that was subject to review by the Compensation Committee. He was eligible to receive an annual cash bonus with a target of 50% of his base salary and was eligible to participate in any annual bonus or other incentive compensation program that the Company may adopt from time to time for its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9, 2022, the Company and Mr. Ernst entered into an executive employment agreement (the “Ernst Employment Agreement”), pursuant to which Mr. Ernst serves as the Chief Executive Officer and a director of XpresTest. The Ernst Employment Agreement has a term of three years from the date of closing of the Company’s acquisition of HyperPointe. Pursuant to the Ernst Employment Agreement,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RSUs with respect to the Company’s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Ernst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 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Bernstein(2)(6)</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Stout(3)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104,850</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Weinstein(4)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131,100</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Lebowitz(5)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both"/>
        <w:ind w:left="220"/>
        <w:spacing w:after="0" w:line="250" w:lineRule="auto"/>
        <w:rPr>
          <w:sz w:val="20"/>
          <w:szCs w:val="20"/>
          <w:color w:val="auto"/>
        </w:rPr>
      </w:pPr>
      <w:r>
        <w:rPr>
          <w:rFonts w:ascii="Times New Roman" w:cs="Times New Roman" w:eastAsia="Times New Roman" w:hAnsi="Times New Roman"/>
          <w:sz w:val="18"/>
          <w:szCs w:val="18"/>
          <w:color w:val="auto"/>
        </w:rPr>
        <w:t xml:space="preserve">Amounts represent the aggregate grant date fair value of the RSUs and option awards granted during the fiscal year computed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15 to the consolidated financial statements included in the Original Filing for the assumptions made in the valuation of the equity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(2)As of December 31, 2023, Mr. Bernstein held 42,511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(3)As of December 31, 2023, Mr. Stout held 22,670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(4)As of December 31, 2023, Mr. Weinstein held 22,579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(5)As of December 31, 2023, Mr. Lebowitz held 21,996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(6)Consists of $120,000 in cash paid in respect of XpresTest, Inc. board services (as described below).</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2023, the Board and the Compensation Committee engaged StreeterWyatt Analytics, an independent third-party compensation analyst, to evaluate and make recommendations regarding the compensation paid to our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its review, the director compensation program remained the same.</w:t>
      </w:r>
    </w:p>
    <w:p>
      <w:pPr>
        <w:spacing w:after="0" w:line="225" w:lineRule="exact"/>
        <w:rPr>
          <w:sz w:val="20"/>
          <w:szCs w:val="20"/>
          <w:color w:val="auto"/>
        </w:rPr>
      </w:pPr>
    </w:p>
    <w:p>
      <w:pPr>
        <w:ind w:left="980" w:right="5920" w:hanging="648"/>
        <w:spacing w:after="0" w:line="261" w:lineRule="auto"/>
        <w:tabs>
          <w:tab w:leader="none" w:pos="6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$350,000 per year, consisting of: o 150,000 in cash; and</w:t>
      </w: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$170,000 per year, consisting of:</w:t>
      </w:r>
    </w:p>
    <w:p>
      <w:pPr>
        <w:spacing w:after="0" w:line="27" w:lineRule="exact"/>
        <w:rPr>
          <w:sz w:val="20"/>
          <w:szCs w:val="20"/>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in cash; and</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in cash to the Chairman of the Audit Committee;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Compensation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Mr. Bernstein received $120,000 in cash compensation in the year ended December 31, 2023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as amended, and Nasdaq listing rules, as such compensation represents fees for such XpresTest board services.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2023, the Board reevaluated the Company’s compensation structure. Based on its review, the Compensation Committee recommended, and the full Board approved, a new director compensation program effective October 1, 2023:</w:t>
      </w:r>
    </w:p>
    <w:p>
      <w:pPr>
        <w:spacing w:after="0" w:line="162" w:lineRule="exact"/>
        <w:rPr>
          <w:sz w:val="20"/>
          <w:szCs w:val="20"/>
          <w:color w:val="auto"/>
        </w:rPr>
      </w:pPr>
    </w:p>
    <w:p>
      <w:pPr>
        <w:ind w:left="980" w:right="8380" w:hanging="648"/>
        <w:spacing w:after="0" w:line="282"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o $75,000 in cash</w:t>
      </w:r>
    </w:p>
    <w:p>
      <w:pPr>
        <w:spacing w:after="0" w:line="161" w:lineRule="exact"/>
        <w:rPr>
          <w:rFonts w:ascii="Times New Roman" w:cs="Times New Roman" w:eastAsia="Times New Roman" w:hAnsi="Times New Roman"/>
          <w:sz w:val="18"/>
          <w:szCs w:val="18"/>
          <w:color w:val="auto"/>
        </w:rPr>
      </w:pPr>
    </w:p>
    <w:p>
      <w:pPr>
        <w:ind w:left="980" w:right="7860" w:hanging="648"/>
        <w:spacing w:after="0" w:line="282"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o $35,000 in cash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27"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Audit Committee;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Compensation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2023 with respect to all of our equity compensation plans then in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 of securities</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 of securities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3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4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and rights ($)</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first column)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compensation plans approved by security holders (1)</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both"/>
        <w:ind w:left="220"/>
        <w:spacing w:after="0" w:line="253" w:lineRule="auto"/>
        <w:rPr>
          <w:sz w:val="20"/>
          <w:szCs w:val="20"/>
          <w:color w:val="auto"/>
        </w:rPr>
      </w:pPr>
      <w:r>
        <w:rPr>
          <w:rFonts w:ascii="Times New Roman" w:cs="Times New Roman" w:eastAsia="Times New Roman" w:hAnsi="Times New Roman"/>
          <w:sz w:val="18"/>
          <w:szCs w:val="18"/>
          <w:color w:val="auto"/>
        </w:rPr>
        <w:t>These plans consist solely of the 2020 Plan, as approved by our Board in September 2020 and by our stockholders in October 2020. On October 4, 2022, stockholders approved the amendment to the Company’s 2020 Equity Incentive Plan to increase the number of shares authorized for issuance under the Plan by 375,000 shares of Common Stock to an aggregate of 625,000 shares. Under the 2020 Equity Incentive Plan (the “2020 Plan”), a maximum of 249,899 shares of Common Stock remained available for issuance as of December 31,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2023, to each of our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r>
      <w:tr>
        <w:trPr>
          <w:trHeight w:val="187"/>
        </w:trPr>
        <w:tc>
          <w:tcPr>
            <w:tcW w:w="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securities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securities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of units</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stock</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30"/>
        </w:trPr>
        <w:tc>
          <w:tcPr>
            <w:tcW w:w="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un-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 expiration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have not</w:t>
            </w: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vested ($)</w:t>
            </w:r>
          </w:p>
        </w:tc>
      </w:tr>
      <w:tr>
        <w:trPr>
          <w:trHeight w:val="209"/>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2012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Incentive Stock Options from the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6, 2030</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October 28,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21, 2031</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2032</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5, 2033</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A. Haynes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2012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Inducement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16,666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14, 2032</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5, 2033</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A. Scrabis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July 10, 2033</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Un-exercisable options vest in equal annual increments over each of the remaining anniversaries of the date of grant.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2023 upon termination or change-in-control. The discussion assumes that such event occurred on December 31, 2023, the last business day of our fiscal year, at which time the closing price of our Common Stock as listed on Nasdaq was $1.74 per share. For a further discussion of these provisions see the “Narrative Disclosure to Summary Compensation Table” above.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19, 2024, Mr. Milford is not entitled to any payments upon termination or change-in-control.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19, 2024, in the event Mr. Milford’s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Ms. Scrabis terminates her employment for good reason, or in the event the Company terminates Ms. Scrabis’ employment without cause and Ms. Scrabis provides the Company with a release of claims, then Ms. Scrabis will be entitled to receive a payment equal to 50% of her then-current base salary, payable in installments over a period of six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Haynes is not entitled to any payments upon termination or change-in-control.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2023, were Scott R. Milford, Suzanne A. Scrabis, Omar A. Haynes and Ezra T. Ernst.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w:t>
            </w:r>
          </w:p>
        </w:tc>
      </w:tr>
      <w:tr>
        <w:trPr>
          <w:trHeight w:val="187"/>
        </w:trPr>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 PEO</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w:t>
            </w: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Officers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Officers ($) (1)</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Return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7"/>
              </w:rPr>
              <w:t>(28,029)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1,246,956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567,861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669,260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(32,629)</w:t>
            </w:r>
          </w:p>
        </w:tc>
      </w:tr>
    </w:tbl>
    <w:p>
      <w:pPr>
        <w:spacing w:after="0" w:line="179" w:lineRule="exact"/>
        <w:rPr>
          <w:sz w:val="20"/>
          <w:szCs w:val="20"/>
          <w:color w:val="auto"/>
        </w:rPr>
      </w:pPr>
    </w:p>
    <w:p>
      <w:pPr>
        <w:jc w:val="both"/>
        <w:ind w:firstLine="8"/>
        <w:spacing w:after="0" w:line="266" w:lineRule="auto"/>
        <w:tabs>
          <w:tab w:leader="none" w:pos="2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Financial Performance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2023 and 2022. The TSR amounts reported in the graph assume an initial fixed investment of $100.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586105</wp:posOffset>
            </wp:positionV>
            <wp:extent cx="4920615" cy="5760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Common Stock as of August 19, 2024, for (a) each stockholder known by us to beneficially own 5% or more of any class of our voting securities, (b) each of our named executive officers included in this Proxy Statement, (c) each of our directors and (d) all of our directors and executive officers as a group.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We deem shares of Common Stock that may be acquired by an individual or group within 60 days of August 19, 2024, pursuant to the exercise of options or warrants or the vesting of RSUs, as applicable, to be outstanding for the purpose of computing the percentage ownership of such individual or group, but not for the purpose of computing the percentage ownership of any other person shown in the table.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5,256,024 shares of Common Stock issued and outstanding as of August 19,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8400" w:type="dxa"/>
            <w:vAlign w:val="bottom"/>
            <w:gridSpan w:val="2"/>
            <w:vMerge w:val="continue"/>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09"/>
        </w:trPr>
        <w:tc>
          <w:tcPr>
            <w:tcW w:w="8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R. Milford</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60,660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Suzanne A. Scrabis</w:t>
            </w:r>
            <w:r>
              <w:rPr>
                <w:rFonts w:ascii="Times New Roman" w:cs="Times New Roman" w:eastAsia="Times New Roman" w:hAnsi="Times New Roman"/>
                <w:sz w:val="29"/>
                <w:szCs w:val="29"/>
                <w:color w:val="auto"/>
                <w:vertAlign w:val="superscript"/>
              </w:rPr>
              <w:t>(3)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18,750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Ezra T. Ernst</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49,463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81,467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Gaëlle Wizenberg</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30,403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9"/>
                <w:szCs w:val="29"/>
                <w:color w:val="auto"/>
                <w:vertAlign w:val="superscript"/>
              </w:rPr>
              <w:t>(7)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34,970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Omar A. Haynes</w:t>
            </w:r>
            <w:r>
              <w:rPr>
                <w:rFonts w:ascii="Times New Roman" w:cs="Times New Roman" w:eastAsia="Times New Roman" w:hAnsi="Times New Roman"/>
                <w:sz w:val="29"/>
                <w:szCs w:val="29"/>
                <w:color w:val="auto"/>
                <w:vertAlign w:val="superscript"/>
              </w:rPr>
              <w:t>(8)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(8 individuals)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281,478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percent or more beneficial owners: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XWEL INV I, LLC</w:t>
            </w:r>
            <w:r>
              <w:rPr>
                <w:rFonts w:ascii="Times New Roman" w:cs="Times New Roman" w:eastAsia="Times New Roman" w:hAnsi="Times New Roman"/>
                <w:sz w:val="27"/>
                <w:szCs w:val="27"/>
                <w:color w:val="auto"/>
                <w:vertAlign w:val="superscript"/>
              </w:rPr>
              <w:t>(10)</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 Park Avenue, 4th Floor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515,090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8"/>
        </w:trPr>
        <w:tc>
          <w:tcPr>
            <w:tcW w:w="840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CPC Pain &amp; Wellness SPV, LLC</w:t>
            </w:r>
            <w:r>
              <w:rPr>
                <w:rFonts w:ascii="Times New Roman" w:cs="Times New Roman" w:eastAsia="Times New Roman" w:hAnsi="Times New Roman"/>
                <w:sz w:val="27"/>
                <w:szCs w:val="27"/>
                <w:color w:val="auto"/>
                <w:vertAlign w:val="superscript"/>
              </w:rPr>
              <w:t>(11)</w:t>
            </w: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301 Edgewater Place, Suite 100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Wakefield, Massachusetts 01880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394,200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right="2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footnote below, the business address of the individuals in the table above is c/o XWELL, Inc., 254 West 31st Street, 11th Floor, New York, New York 10001.</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2,058 shares of Common Stock and options to purchase 58,602 shares of Common Stock, which are exercisable within 60 days of August 19, 2024.</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5,000 RSUs and options to purchase 13,750 shares of Common Stock, which are exercisable within 60 days of August 19, 2024.</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1,130 shares of Common Stock and options to purchase 48,333 shares of Common Stock, which are exercisable within 60 days of August 19, 2024.</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38,956 shares of Common Stock and options to purchase 42,511 shares of Common Stock, which are exercisable within 60 days of August 19, 2024.</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7,824 shares of Common Stock and options to purchase 22,579 shares of Common Stock, which are exercisable within 60 days of August 19, 2024.</w:t>
      </w:r>
    </w:p>
    <w:p>
      <w:pPr>
        <w:ind w:left="34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12,974 vested shares of Common Stock and options to purchase 21,996 shares of Common Stock, which are exercisable within 60 days of August 19, 2024.</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5,466 RSUs.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through (8).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 filed on August 9, 2024 by XWEL INV I, LLC.</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filed on August 13, 2024 by CPC Pain &amp; Wellness SPV, LLC.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which consists entirely of directors who meet the independence and experience requirements of the Nasdaq Capital Market, has furnished the following report: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2023, the Audit Committee took the following actions:</w:t>
      </w:r>
    </w:p>
    <w:p>
      <w:pPr>
        <w:spacing w:after="0" w:line="187" w:lineRule="exact"/>
        <w:rPr>
          <w:sz w:val="20"/>
          <w:szCs w:val="20"/>
          <w:color w:val="auto"/>
        </w:rPr>
      </w:pPr>
    </w:p>
    <w:p>
      <w:pPr>
        <w:ind w:left="660" w:right="2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2023 with management and Marcum, our independent registered public accounting firm;</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Marcum the matters required to be discussed by the applicable requirements of the Public Company Accounting Oversight Board (“PCAOB”) and the SEC; and</w:t>
      </w: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Marcum LLP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Marcum LLP, the Audit Committee recommended to the Board that the audited financial statements be included in our 2023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Weinstein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Gaëlle Wizenberg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party transactions must be reviewed and approved by our Audit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may also find our SEC filings in the “SEC Filings” section of the “Investors” section of our website at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two or more stockholders share an address, we may send a single copy of the 2023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2023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2023 Annual Report, this Proxy Statement, the Notice of Internet Availability of Proxy Materials or other proxy materials, such stockholders may make such request to our Corporate Secretary at the same address or telephone number described above.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2024, CPC SPV filed a complaint in the Chancery Court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 AND DIRECTOR NOMINATIONS AT THE 2025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stockholder who intends to submit a proposal at the 2025 Annual Meeting to be included in the Company’s proxy statement and form of proxy for the 2025 Annual Meeting in accordance with Rule 14a-8 under the Exchange Act must submit the proposal no later than April 23, 2025 in writing to our corporate offices as follows, XWELL, Inc., 254 West 31st Street, 11th Floor, New York, New York 10001, attention Cara Soffer, General Counsel. Such proposal must comply with Rule 14a-8 under the Exchange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our Bylaws, a stockholder who intends to submit a proposal at the 2025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2025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June 22, 2025, and no later than July 22, 2025.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July 22, 2025.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Benefits Preservation Plan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Dated as of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TAX BENEFITS PRESERVATION PLAN</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Tax Benefits Preservation Plan, dated as of August 16, 2024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on August 15, 2024,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Company adopted this Plan and, in connection therewith, authorized and declared a dividend of one preferred stock purchase 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for each share of Common Stock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of the Company outstanding at the close of business on August 26,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and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each Right initially representing the right to purchase one one-thousandth (subject to adjustment) of a share of Series A Junior Participating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of the Company having the rights, powers and preferences set forth in the form of Certificate of Designation of Series A Junior Participating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the terms and subject to the conditions hereinafter set forth,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Rights may be issued with respect to Common Stock that shall become outstanding after the Distribution Date and prior to the Expiration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significant net operating loss carryforwards (collectively, the “</w:t>
      </w:r>
      <w:r>
        <w:rPr>
          <w:rFonts w:ascii="Times New Roman" w:cs="Times New Roman" w:eastAsia="Times New Roman" w:hAnsi="Times New Roman"/>
          <w:sz w:val="18"/>
          <w:szCs w:val="18"/>
          <w:i w:val="1"/>
          <w:iCs w:val="1"/>
          <w:color w:val="auto"/>
        </w:rPr>
        <w:t>Tax Attributes</w:t>
      </w:r>
      <w:r>
        <w:rPr>
          <w:rFonts w:ascii="Times New Roman" w:cs="Times New Roman" w:eastAsia="Times New Roman" w:hAnsi="Times New Roman"/>
          <w:sz w:val="18"/>
          <w:szCs w:val="18"/>
          <w:color w:val="auto"/>
        </w:rPr>
        <w:t>”) that could be materially diminished or lost in the event of an “ownership change,” as defined in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views its Tax Attributes as a valuable asset of the Company, which are likely to inure to the benefit of the Company and its stockholders, and the Company believes that it is in the best interests of the Company and its stockholders that the Company provide for the protection of the Tax Attributes on the terms and conditions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Plan, the following terms have the meanings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shall mean any Person who or which, together with all Affiliates and Associates of such Person, from and after the date of this Plan shall be the Beneficial Owner of 4.99% or more of the Common Stock then outstanding, but shall not include (i) any Exempt Person, (ii) any Person who or which becomes the Beneficial Owner of 4.99% or more of the Common Stock solely as a result of equity compensation awards granted to such Person by the Company or as a result of an adjustment to the number of shares of Common Stock represented by such equity compensation award pursuant to the terms thereof, unless and until such time, in the case of this clause (ii), as such Person or one or more of its Affiliates or Associates thereafter acquires Beneficial Ownership of one additional share of Common Stock (other than Common Stock acquired as described in clause (ii) or pursuant to a dividend or distribution paid or made by the Company on the outstanding Common Stock in Common Stock or pursuant to a split or reclassification of the outstanding Common Stock) or (iii) any Existing Holder, unless and until such time as such Existing Holder shall become the Beneficial Owner of (A) one or more additional shares of Common Stock (excluding any shares of Common Stock acquired after the first public announcement of the adoption of this Plan in the manner described in the immediately preceding clause (ii) or pursuant to a dividend or distribution paid or made by the Company on the outstanding Common Stock in Common Stock or pursuant to a split or reclassification of the outstanding Common Stock) or</w:t>
      </w:r>
    </w:p>
    <w:p>
      <w:pPr>
        <w:spacing w:after="0" w:line="6" w:lineRule="exact"/>
        <w:rPr>
          <w:sz w:val="20"/>
          <w:szCs w:val="20"/>
          <w:color w:val="auto"/>
        </w:rPr>
      </w:pPr>
    </w:p>
    <w:p>
      <w:pPr>
        <w:jc w:val="both"/>
        <w:ind w:firstLine="8"/>
        <w:spacing w:after="0" w:line="251" w:lineRule="auto"/>
        <w:tabs>
          <w:tab w:leader="none" w:pos="3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 than 4.99% of the Common Stock then outstanding (after which time, if such Person shall be the Beneficial Owner of 4.99% or more of the Common Stock then outstanding (other than by virtue of acquiring Beneficial Ownership of any shares of Common Stock in the manner described in the immediately preceding clause (ii) or pursuant to a dividend or distribution paid or made by the Company on the outstanding Common Stock in Common Stock or pursuant to a split or reclassification of the outstanding Common Stock), such Person shall be or become deemed an “Acquiring Person”). Notwithstanding the foregoing, no Person shall become an “Acquiring Person” as the result of an acquisition of Common Stock by the Company which, by reducing the number of shares outstanding, increases the proportionate number of shares Beneficially Owned by such Person to 4.99% or more of the Common Stock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Person shall become the Beneficial Owner of 4.99% or more of the Common Stock then outstanding solely by reason of share acquisitions by the Company and shall, after such share acquisitions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4.99% or more of the Common Stock then outstanding.</w:t>
      </w:r>
    </w:p>
    <w:p>
      <w:pPr>
        <w:spacing w:after="0" w:line="19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 Notwithstanding the foregoing, if (i) the Board determines in good faith that a Person who would otherwise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has become such inadvertently (including, without limitation, because</w:t>
      </w:r>
    </w:p>
    <w:p>
      <w:pPr>
        <w:jc w:val="both"/>
        <w:ind w:firstLine="8"/>
        <w:spacing w:after="0" w:line="253"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Plan), and (ii) such Person divests as promptly as practicable (as determined in good faith by the Board) a sufficient number of shares of Common Stock so that such Person would no longer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then such Person shall not be deemed to be or have become an “Acquiring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1.1.2. For all purposes of this Plan, any calculation of the number of shares of Common Stock outstanding at any particular time, for purposes of determining the particular percentage of such outstanding Common Stock of which any Person is the Beneficial Owner, shall be made pursuant to and in accordance with Section 382 of the Code and the Treasury Regulations promulgated thereunder and/or the last sentence of Rule 13d-3(d)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under the Exchange 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as in effect on the date of this Plan, and, to the extent not included within the foregoing clause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also include, with respect to any Person, any other Person (other than an Exempt Person or an Existing Holder) whose Common Stock would be deemed constructively owned by such first Person, owned by a “single entity” with respect to such first Person as defined in Section 1.382-3(a)(1) of the Treasury Regulations, or otherwise aggregated with shares owned by such first Person, pursuant to the provisions of Section 382 of the Code and the Treasury Regulations promulgated thereunder.</w:t>
      </w:r>
    </w:p>
    <w:p>
      <w:pPr>
        <w:spacing w:after="0" w:line="18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i w:val="1"/>
          <w:iCs w:val="1"/>
          <w:color w:val="auto"/>
        </w:rPr>
        <w:t>Beneficially Own</w:t>
      </w:r>
      <w:r>
        <w:rPr>
          <w:rFonts w:ascii="Times New Roman" w:cs="Times New Roman" w:eastAsia="Times New Roman" w:hAnsi="Times New Roman"/>
          <w:sz w:val="18"/>
          <w:szCs w:val="18"/>
          <w:color w:val="auto"/>
        </w:rPr>
        <w:t xml:space="preserve">” or have </w:t>
      </w:r>
      <w:r>
        <w:rPr>
          <w:rFonts w:ascii="Times New Roman" w:cs="Times New Roman" w:eastAsia="Times New Roman" w:hAnsi="Times New Roman"/>
          <w:sz w:val="18"/>
          <w:szCs w:val="18"/>
          <w:i w:val="1"/>
          <w:iCs w:val="1"/>
          <w:color w:val="auto"/>
        </w:rPr>
        <w:t>“Beneficial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Ownership” </w:t>
      </w:r>
      <w:r>
        <w:rPr>
          <w:rFonts w:ascii="Times New Roman" w:cs="Times New Roman" w:eastAsia="Times New Roman" w:hAnsi="Times New Roman"/>
          <w:sz w:val="18"/>
          <w:szCs w:val="18"/>
          <w:color w:val="auto"/>
        </w:rPr>
        <w:t>of any securities: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1.3.1. which such Person or any of such Person’s Affiliates or Associates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1.3.2. which such Person or any of such Person’s Affiliates or Associates directly or indirectly, has the Right to Acquire;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or to Beneficially Own, (w) securities tendered pursuant to a tender or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or on behalf of such Person or any of such Person’s Affiliates or Associates until such tendered securities are accepted for purchase or exchange,</w:t>
      </w:r>
    </w:p>
    <w:p>
      <w:pPr>
        <w:spacing w:after="0" w:line="1" w:lineRule="exact"/>
        <w:rPr>
          <w:sz w:val="20"/>
          <w:szCs w:val="20"/>
          <w:color w:val="auto"/>
        </w:rPr>
      </w:pPr>
    </w:p>
    <w:p>
      <w:pPr>
        <w:jc w:val="both"/>
        <w:ind w:firstLine="8"/>
        <w:spacing w:after="0" w:line="252"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such Person has a Right to Acquire upon the exercise of Rights at any time prior to the time that any Person becomes an Acquiring Person (except to the extent the acquisition or transfer of such rights, options or warrants would be treated as exercised on the date of its acquisition or transfer under Section 1.382-4(d) of the Treasury Regulations under Section 382 of the Code), or (y) securities issuable upon the exercise of Rights from and after the time that any Person becomes an Acquiring Person if such Rights were acquired by such Person or any of such Person’s Affiliates or Associates prior to the Distribution Date or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Rights</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with respect to an adjustment to Original Rights;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1.3.3. which are Beneficially Owned, directly or indirectly, by any other Person (or any Affiliate or Associate thereof) with whom such Person or any of such Person’s Affiliates or Associates, has an agreement, arrangement or understanding to act together for the purpose of acquiring, holding, voting or disposing of any securities of the Company, provided that the foregoing shall apply only if the effect of such agreement, arrangement or understanding is to treat such Persons as an “entity” under Section 1.382-3(a)(1) of the Treasury Regulations under Section 382 of the Code (except that a Person shall not be deemed to be the Beneficial Owner of any security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0" w:name="page51"/>
    <w:bookmarkEnd w:id="50"/>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of which such Person would otherwise be deemed to be the beneficial owner pursuant to Rule 13d-3 under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1.3.5. which such Person would be deemed to actually or constructively own for purposes of Section 382 of the Code, or any successor provision or replacement provision.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shall be deemed to be the “Beneficial Owner” of, to have “Beneficial Ownership” of or to “Beneficially Own” any securities which such Person or any of such Person’s Affiliates or Associates would otherwise be deemed to “Beneficially Own” pursuant to this </w:t>
      </w:r>
      <w:r>
        <w:rPr>
          <w:rFonts w:ascii="Times New Roman" w:cs="Times New Roman" w:eastAsia="Times New Roman" w:hAnsi="Times New Roman"/>
          <w:sz w:val="18"/>
          <w:szCs w:val="18"/>
          <w:u w:val="single" w:color="auto"/>
          <w:color w:val="auto"/>
        </w:rPr>
        <w:t>Section 1.3</w:t>
      </w:r>
    </w:p>
    <w:p>
      <w:pPr>
        <w:jc w:val="both"/>
        <w:ind w:firstLine="8"/>
        <w:spacing w:after="0" w:line="251" w:lineRule="auto"/>
        <w:tabs>
          <w:tab w:leader="none" w:pos="2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a result of any merger or other acquisition agreement between the Company and such Person (or one or more of such Person’s Affiliates or Associates), or any tender, voting or support agreement entered into by such Person (or one or more of such Person’s Affiliates or Associates) in connection therewith, if, prior to such Person becoming an Acquiring Person, the Board has approved such merger or other acquisition agreement, or such tender, voting or support agreement, (y) solely as a result of the Right to Acquire such securities unless the acquisition or transfer of such Right to Acquire would be deemed, on the date of such acquisition or transfer, to constitute the exercise of such Right to Acquire for the purposes of Section 1.382-4(d) of the Treasury Regulations promulgated under Section 382 of the Code, or (z) solely as a result of any agreement, arrangement, understanding or relationship unless the effect thereof is to treat such Person, or any of such Person’s Affiliates or Associates, as an “entity” under Section 1.382-3(a)(1) of the Treasury Regulations promulgated under Section 382 of the Code.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including, without limitation, in a fiduciary capacity, by an Exempt Person or by any other such officer, director or employee of an Exempt Person.</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New York time, on the next succeeding Business Day.</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shall mean the common stock, par value $0.01 per share, of the Company.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Exempt Person</w:t>
      </w:r>
      <w:r>
        <w:rPr>
          <w:rFonts w:ascii="Times New Roman" w:cs="Times New Roman" w:eastAsia="Times New Roman" w:hAnsi="Times New Roman"/>
          <w:sz w:val="18"/>
          <w:szCs w:val="18"/>
          <w:color w:val="auto"/>
        </w:rPr>
        <w:t xml:space="preserve">” shall mean (i) the Company, any Subsidiary of the Company, in each case including, without limitation, the officers and board of directors thereof acting in their fiduciary capacity, or any employee benefit plan of the Company or of any Subsidiary of the Company or any entity or trustee holding shares of capital stock of the Company for or pursuant to the terms of any such plan, or for the purpose of funding other employee benefits for employees of the Company or any Subsidiary of the Company, (ii) any Person deemed to be an “Exempt Person”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so long as such Person complies with any limitations or conditions required by the Board in making such determination, (iii) any other Person whose Beneficial Ownership (together with all Affiliates and Associates of such Person) of shares in excess of 4.99% of the then-outstanding Common Stock will not, as determined by the Board in its sole discretion, jeopardize or endanger the value or availability to the Company of the Tax Attributes or as otherwise determined by the Board, in its sole discretion, and (iv) any other Person if the Board has determined in good faith that such Person shall be an “Exempt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Person deemed to be an “Exempt Person” pursuant to clauses (ii) or (iii) will cease to be an “Exempt Person” if the Board thereafter makes a determination that such Person’s Beneficial Ownership (together with all Affiliates and Associates of such Person) would, notwithstanding its prior determination to the contrary, jeopardize or endanger the value or availability to the Company of the Tax Attributes or the Board otherwise determines it is not in the best interests of the Company that such Person be an “Exempt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mean any Person (together with all Affiliates and Associates of such Person) who, immediately prior to the first public announcement of the adoption of this Plan, is the Beneficial Owner of 4.99% or more of the Common Stock then outstanding, together with any Affiliates and Associates of such Person. Any Existing Holder who (together with all Affiliates and Associates of such Existing Holder), after the first public announcement of the adoption of this Plan becomes the Beneficial Owner of less than 4.99% of the Common Stock then outstanding shall cease to be an Existing Holder and shall be subject to all the provisions of this Plan in the same manner as any Person who is not and was not an Existing Holder.</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partnership, joint venture, limited liability company, firm, corporation, unincorporated association, trust or other entity, and shall include any successor (by merger or otherwise) of such entity.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Right to Acquire</w:t>
      </w:r>
      <w:r>
        <w:rPr>
          <w:rFonts w:ascii="Times New Roman" w:cs="Times New Roman" w:eastAsia="Times New Roman" w:hAnsi="Times New Roman"/>
          <w:sz w:val="18"/>
          <w:szCs w:val="18"/>
          <w:color w:val="auto"/>
        </w:rPr>
        <w:t>” shall mean a legal, equitable or contractual right to acquire any securities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i w:val="1"/>
          <w:iCs w:val="1"/>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73"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Trigger Event</w:t>
      </w:r>
      <w:r>
        <w:rPr>
          <w:rFonts w:ascii="Times New Roman" w:cs="Times New Roman" w:eastAsia="Times New Roman" w:hAnsi="Times New Roman"/>
          <w:sz w:val="17"/>
          <w:szCs w:val="17"/>
          <w:color w:val="auto"/>
        </w:rPr>
        <w:t>” shall be deemed to have occurred upon any Person becoming an Acquiring Person.</w:t>
      </w:r>
    </w:p>
    <w:p>
      <w:pPr>
        <w:spacing w:after="0" w:line="2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following terms shall have the meanings defined for such terms in the Sections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260" w:type="dxa"/>
            <w:vAlign w:val="bottom"/>
            <w:shd w:val="clear" w:color="auto" w:fill="D9EEFF"/>
          </w:tcPr>
          <w:p>
            <w:pPr>
              <w:spacing w:after="0"/>
              <w:rPr>
                <w:sz w:val="17"/>
                <w:szCs w:val="17"/>
                <w:color w:val="auto"/>
              </w:rPr>
            </w:pPr>
          </w:p>
        </w:tc>
        <w:tc>
          <w:tcPr>
            <w:tcW w:w="100" w:type="dxa"/>
            <w:vAlign w:val="bottom"/>
            <w:shd w:val="clear" w:color="auto" w:fill="D9EEFF"/>
          </w:tcPr>
          <w:p>
            <w:pPr>
              <w:spacing w:after="0"/>
              <w:rPr>
                <w:sz w:val="17"/>
                <w:szCs w:val="17"/>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Section</w:t>
            </w:r>
          </w:p>
        </w:tc>
        <w:tc>
          <w:tcPr>
            <w:tcW w:w="21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shd w:val="clear" w:color="auto" w:fill="D9EEFF"/>
          </w:tcPr>
          <w:p>
            <w:pPr>
              <w:spacing w:after="0" w:line="20" w:lineRule="exact"/>
              <w:rPr>
                <w:sz w:val="1"/>
                <w:szCs w:val="1"/>
                <w:color w:val="auto"/>
              </w:rPr>
            </w:pPr>
          </w:p>
        </w:tc>
        <w:tc>
          <w:tcPr>
            <w:tcW w:w="1260" w:type="dxa"/>
            <w:vAlign w:val="bottom"/>
            <w:shd w:val="clear" w:color="auto" w:fill="D9EEFF"/>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40" w:type="dxa"/>
            <w:vAlign w:val="bottom"/>
            <w:shd w:val="clear" w:color="auto" w:fill="D9EE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Adjustment Shares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Blue Sky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Book Entry Shares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Code</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common stock equivalent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per share market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Value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Distribution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equivalent preferred stock</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Consideration</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Exemption Request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Final Expiration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Original Rights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1.3.2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Period; Redemption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Requesting Person</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 Certificate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Rights Agent</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1.10</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Spread</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Substitution Period</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Tax Attributes</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Trading Day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 Agreement</w:t>
            </w:r>
          </w:p>
        </w:tc>
        <w:tc>
          <w:tcPr>
            <w:tcW w:w="1260" w:type="dxa"/>
            <w:vAlign w:val="bottom"/>
            <w:shd w:val="clear" w:color="auto" w:fill="D9EEFF"/>
          </w:tcPr>
          <w:p>
            <w:pPr>
              <w:spacing w:after="0"/>
              <w:rPr>
                <w:sz w:val="20"/>
                <w:szCs w:val="20"/>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20"/>
                <w:szCs w:val="20"/>
                <w:color w:val="auto"/>
              </w:rPr>
            </w:pPr>
          </w:p>
        </w:tc>
        <w:tc>
          <w:tcPr>
            <w:tcW w:w="21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53" w:name="page54"/>
    <w:bookmarkEnd w:id="5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in accordance with the express terms and conditions hereof (and no implied terms and conditions), and the Rights Agent hereby accepts such appointment. The Company may from time to time appoint such co-rights agents as it may deem necessary or desirable upon ten (10) calendar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Plan and that contemporaneously with such appointment, if any, the Company shall notify the Rights Agent in writing thereof.</w:t>
      </w:r>
    </w:p>
    <w:p>
      <w:pPr>
        <w:spacing w:after="0" w:line="18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Issuance of Right Certificates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Rights Evidenced by Stock Certificates</w:t>
      </w:r>
      <w:r>
        <w:rPr>
          <w:rFonts w:ascii="Times New Roman" w:cs="Times New Roman" w:eastAsia="Times New Roman" w:hAnsi="Times New Roman"/>
          <w:sz w:val="18"/>
          <w:szCs w:val="18"/>
          <w:color w:val="auto"/>
        </w:rPr>
        <w:t>. Until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Stock Acquisition Date</w:t>
      </w:r>
    </w:p>
    <w:p>
      <w:pPr>
        <w:jc w:val="both"/>
        <w:spacing w:after="0" w:line="244" w:lineRule="auto"/>
        <w:rPr>
          <w:sz w:val="20"/>
          <w:szCs w:val="20"/>
          <w:color w:val="auto"/>
        </w:rPr>
      </w:pPr>
      <w:r>
        <w:rPr>
          <w:rFonts w:ascii="Times New Roman" w:cs="Times New Roman" w:eastAsia="Times New Roman" w:hAnsi="Times New Roman"/>
          <w:sz w:val="18"/>
          <w:szCs w:val="18"/>
          <w:color w:val="auto"/>
        </w:rPr>
        <w:t>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the commencement of, or first public announcement of, the intent of any Person (other than an Exempt Person) to commence, a tender or exchange offer the consummation of which would result in any Person (other than an Exempt Person) becoming an Acquiring Person (the earlier of (i) and (ii) being herein referred to as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xml:space="preserve">”), (x) the Rights (unless earlier expired, redeemed or terminated) will be evidenced (subject to the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the certificates for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i w:val="1"/>
          <w:iCs w:val="1"/>
          <w:color w:val="auto"/>
        </w:rPr>
        <w:t>Book Entry Shares</w:t>
      </w:r>
      <w:r>
        <w:rPr>
          <w:rFonts w:ascii="Times New Roman" w:cs="Times New Roman" w:eastAsia="Times New Roman" w:hAnsi="Times New Roman"/>
          <w:sz w:val="18"/>
          <w:szCs w:val="18"/>
          <w:color w:val="auto"/>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Nothing herein shall permit such a postponement of a Distribution Date after a Person becomes an Acquiring Person, except as a result of the operation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As soon as practicable after the Distribution Date, the Company will prepare and execute, the Rights Agent will countersign and the Company (or, if requested, the Rights Agent at the expense of the Company and upon receipt of all relevant information) will send, by first-class, postage-prepaid mail, to each record holder of Common Stock as of the close of business on the Distribution Date (other than any Acquiring Person or any Associate or Affiliate of an Acquiring Person), at the address of such holder shown on the records of the Company, one or more certificates for Rights,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i w:val="1"/>
          <w:iCs w:val="1"/>
          <w:color w:val="auto"/>
        </w:rPr>
        <w:t>Right Certificate</w:t>
      </w:r>
      <w:r>
        <w:rPr>
          <w:rFonts w:ascii="Times New Roman" w:cs="Times New Roman" w:eastAsia="Times New Roman" w:hAnsi="Times New Roman"/>
          <w:sz w:val="18"/>
          <w:szCs w:val="18"/>
          <w:color w:val="auto"/>
        </w:rPr>
        <w:t>”), evidencing one Right (subject to adjustment as provided herein) for each share of Common Stock so held. As of the Distribution Date, the Rights will be evidenced solely by such Right Certificates.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Registered Holders; Transfer</w:t>
      </w:r>
      <w:r>
        <w:rPr>
          <w:rFonts w:ascii="Times New Roman" w:cs="Times New Roman" w:eastAsia="Times New Roman" w:hAnsi="Times New Roman"/>
          <w:sz w:val="18"/>
          <w:szCs w:val="18"/>
          <w:color w:val="auto"/>
        </w:rPr>
        <w:t>. With respect to certificates for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and the registered holders of the Common Stock shall also be registered holders of the associated Rights. Until the Distribution Date (or the earlier Expiration Date), the surrender for transfer of any certificate for Common Stock or Book Entry Shares outstanding at the close of business on the Record Date shall also constitute the transfer of the Rights associated with the Common Stock represented thereby and the Book Entry Shares, as applicable.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 Certificates and Uncertificated Shares After Record Date</w:t>
      </w:r>
      <w:r>
        <w:rPr>
          <w:rFonts w:ascii="Times New Roman" w:cs="Times New Roman" w:eastAsia="Times New Roman" w:hAnsi="Times New Roman"/>
          <w:sz w:val="18"/>
          <w:szCs w:val="18"/>
          <w:color w:val="auto"/>
        </w:rPr>
        <w:t>. Certificates for Common Stock which become outstanding after the Record Date but prior to the earliest of the Distribution Date or the Expiration Date, shall have impressed, printed, stamped, written or otherwise affixed onto them the following legend:</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This certificate also evidences and entitles the holder hereof to certain rights as set forth in a Tax Benefits Preservation Plan between XWELL, Inc. (the “Company”) and Equiniti Trust Company, LLC, as Rights Agent, dated as of August 16, 2024, as the same may be amended from time to time (the “Plan”), the terms of which are hereby incorporated herein by reference and a copy of which is on file at the principal executive offices of the Company. Under certain circumstances, as set forth in the Plan, such Rights will be evidenced by separate certificates and will no longer be evidenced by this certificate. The Company will mail to the holder of this certificate a copy of the Plan without charge after receipt of a written request therefor. </w:t>
      </w:r>
      <w:r>
        <w:rPr>
          <w:rFonts w:ascii="Times New Roman" w:cs="Times New Roman" w:eastAsia="Times New Roman" w:hAnsi="Times New Roman"/>
          <w:sz w:val="18"/>
          <w:szCs w:val="18"/>
          <w:b w:val="1"/>
          <w:bCs w:val="1"/>
          <w:color w:val="auto"/>
        </w:rPr>
        <w:t>As described in the Plan, Rights which are owned by, transferred to or have been owned by Acquiring</w:t>
      </w:r>
    </w:p>
    <w:p>
      <w:pPr>
        <w:spacing w:after="0" w:line="5" w:lineRule="exact"/>
        <w:rPr>
          <w:sz w:val="20"/>
          <w:szCs w:val="20"/>
          <w:color w:val="auto"/>
        </w:rPr>
      </w:pPr>
    </w:p>
    <w:p>
      <w:pPr>
        <w:jc w:val="both"/>
        <w:ind w:left="660" w:right="20"/>
        <w:spacing w:after="0" w:line="260" w:lineRule="auto"/>
        <w:rPr>
          <w:sz w:val="20"/>
          <w:szCs w:val="20"/>
          <w:color w:val="auto"/>
        </w:rPr>
      </w:pPr>
      <w:r>
        <w:rPr>
          <w:rFonts w:ascii="Times New Roman" w:cs="Times New Roman" w:eastAsia="Times New Roman" w:hAnsi="Times New Roman"/>
          <w:sz w:val="18"/>
          <w:szCs w:val="18"/>
          <w:b w:val="1"/>
          <w:bCs w:val="1"/>
          <w:color w:val="auto"/>
        </w:rPr>
        <w:t>Persons or Associates or Affiliates thereof (each, as defined in the Plan) and their transferees shall become null and void and will no longer be transferable</w:t>
      </w:r>
      <w:r>
        <w:rPr>
          <w:rFonts w:ascii="Times New Roman" w:cs="Times New Roman" w:eastAsia="Times New Roman" w:hAnsi="Times New Roman"/>
          <w:sz w:val="18"/>
          <w:szCs w:val="18"/>
          <w:b w:val="1"/>
          <w:bCs w:val="1"/>
          <w:i w:val="1"/>
          <w:iCs w:val="1"/>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by such certificates and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acquires any Common Stock after the Record Date but prior to the Distribution Date, any Rights associated with such Common Stock shall be deemed canceled and retired so that the Company shall not be entitled to exercise any Rights associated with the shares of Common Stock that are no longer outstanding.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neither the omission of the legend, nor the failure to provide the notice thereof, shall affect the enforceability of any part of this Plan or the rights of any holder of the Rights.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 Certificates</w:t>
      </w:r>
      <w:r>
        <w:rPr>
          <w:rFonts w:ascii="Times New Roman" w:cs="Times New Roman" w:eastAsia="Times New Roman" w:hAnsi="Times New Roman"/>
          <w:sz w:val="18"/>
          <w:szCs w:val="18"/>
          <w:color w:val="auto"/>
        </w:rPr>
        <w:t xml:space="preserve">. The Right Certificates (and the forms of election to purchase shares, certification and assignment to be printed on the reverse thereof) shall be substantially the same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Plan,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 one-thousandths of a share of Preferred Stock as shall be set forth therein at the price per one one-thousandth of a share of Preferred Stock set forth therein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but the number of such one one-thousandths of a share of Preferred Stock and the Purchase Price shall be subject to adjustment as provided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Right Certificates shall be executed on behalf of the Company by the President, any Vice President, the Treasurer, any Assistant Treasurer, the Secretary or any Assistant Secretary of the Company and shall be attested by the Secretary or any Assistant Secretary of the Company or by such other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Plan any such person was not such an officer.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Following the Distribution Date, and receipt by the Rights Agent of written notice to that effect and all other relevant information referred to in this Plan,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 Tran</w:t>
      </w:r>
      <w:r>
        <w:rPr>
          <w:rFonts w:ascii="Times New Roman" w:cs="Times New Roman" w:eastAsia="Times New Roman" w:hAnsi="Times New Roman"/>
          <w:sz w:val="18"/>
          <w:szCs w:val="18"/>
          <w:u w:val="single" w:color="auto"/>
          <w:color w:val="auto"/>
        </w:rPr>
        <w:t>sfer, Split Up, Combination and Exchange of Right Certificates; Mutilated, Destroyed, Lost or Stolen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that have been exchanged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may be transferred, split up or combined or exchanged for another Right Certificate or Right Certificates, entitling the registered holder to purchase a like number of one one-thousandths of a share of Preferred Stock as the Right Certificate or Right Certificates surrendered then entitled such holder to purchase. Any registered holder desiring to transfer, split up or combine or exchange any Right Certificate shall make such request in writing delivered to the Rights Agent, and shall surrender, together with any required form of assignment and certificate duly completed, the Right Certificate or Right Certificates to be transferred, split up or combined or exchanged at the office of the Rights Agent designated for such purpose accompanied by a signature guarantee (“Signature Guarantee”) from an eligible guarantor institution participating in a signature guarantee program approved by the Securities Transfer Association, and any other reasonable evidence of authority that may be reasonably required by the Rights Agent. Neither the Rights Agent nor the Company shall be obligated to take any action whatsoever with respect to the transfer of any such surrendered Right Certificate or Right Certificates until the registered holder shall have completed and signed the certificate contained in the form of assignment on the reverse side of such Right Certificate or Right Certificates and shall have provided such additional evidence of the identity of the Beneficial Owner (or former Beneficial Owner) or Affiliates or Associates thereof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 The Rights Agent shall not have any duty or obligation to take any action under any section of this Plan that requires the payment of taxes and/or charges unless and until it is satisfied that all such payments have been made.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8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Exercise of Rights; Purchase Price; Expiration Date of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duly executed, to the Rights Agent at the office of the Rights Agent designated for such purpose accompanied by a Signature Guarantee, and any other reasonable evidence of authority that may be reasonably required by the Rights Agent, together with payment of the aggregate Purchase Price for the total number of one one-thousandths of a share of Preferred Stock (or other securities, cash or other assets) as to which the Rights are exercised, at or prior to the time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that is the earliest of (i) the close of business on August 16, 2027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xml:space="preserve">”), (ii) the time at which the Rights are redeemed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(iii) the time at which the Rights are exchanged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(iv) the closing of any merger or other acquisition transaction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pursuant to an agreement of the type described in the penultimate paragraph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(v) the close of business on the effective date of the repeal of Section 382 of the Code if the Board determines that this Plan is no longer necessary or desirable for the preservation of the Tax Attributes and</w:t>
      </w:r>
    </w:p>
    <w:p>
      <w:pPr>
        <w:spacing w:after="0" w:line="5" w:lineRule="exact"/>
        <w:rPr>
          <w:sz w:val="20"/>
          <w:szCs w:val="20"/>
          <w:color w:val="auto"/>
        </w:rPr>
      </w:pPr>
    </w:p>
    <w:p>
      <w:pPr>
        <w:ind w:firstLine="8"/>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first day of a taxable year of the Company following a Board determination that no Tax Attributes may be carried forward or otherwise utilized.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The Purchase Price for each one one-thousandth of a share of Preferred Stock pursuant to the exercise of a Right shall initially be $7.50, shall be subject to adjustment from time to time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shall be payable in lawful money of the United States of America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 xml:space="preserve">. Upon receipt of a Right Certificate representing exercisable Rights, with the form of election to purchase and certification duly executed, accompanied by payment of the aggregate Purchase Price for the total number of one one-thousandths of a share of Preferred Stock to be purchased and an amount equal to any applicable transfer tax required to be paid by the holder of such Right Certificate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cash or by certified or cashier’s check or money order payable to the order of the Company, the Rights Agent shall thereupon promptly (i)(A) requisition from any transfer agent of the Preferred Stock (or make available, if the Rights Agent is the transfer agent) certificates for the number of shares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depository agent, requisition from the depositary agent depositary receipts representing interests in such number of one one-thousandths of a share of Preferred Stock as are to be purchased (in which case certificates for the Preferred Stock represented by such receipts shall be deposited by the transfer agent with the depositary agent) and the Company hereby directs the depositary agent to comply with all such requests, (ii) when appropriate,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otherwise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3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the Company will make all arrangements necessary so that such other securities, cash and/or other property are available for distribution by the Rights Agent, if and when appropriate.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Full Information Concerning Ownership</w:t>
      </w:r>
      <w:r>
        <w:rPr>
          <w:rFonts w:ascii="Times New Roman" w:cs="Times New Roman" w:eastAsia="Times New Roman" w:hAnsi="Times New Roman"/>
          <w:sz w:val="18"/>
          <w:szCs w:val="18"/>
          <w:color w:val="auto"/>
        </w:rPr>
        <w:t xml:space="preserve">. Notwithstanding anything in this Plan to the contrary, neither the Rights Agent nor the Company shall be obligated to undertake any action with respect to a registered holder of Rights upon the occurrence of any purported exercise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certificate contained in the form of election to purchase set forth on the reverse side of the Right Certificate surrendered for such exercise shall have been duly completed and executed by the registered holder thereof and the Company shall have been provided with such additional evidence of the identity of the Beneficial Owner (or former Beneficial Owner) or Affiliates or Associates thereof as the Company shall reasonably request.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Plan.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and expense of the Company, destroy such canceled Right Certificates, and in such case shall deliver a certificate of destruction thereof to the Company.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 The Company covenants and agrees that, from and after the Distribution Date, it will cause to be reserved and kept available out of its authorized and unissued Preferred Stock (and, following the occurrence of a Trigger Event, out of its authorized and unissued Common Stock, other securities, other asset(s) or out of its shares held in its treasury) the number of shares of Preferred Stock (and, following the occurrence of a Trigger Event, Common Stock, other securities and/or other asset(s)) that will be sufficient to permit the exercise in full of all outstanding Rights.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So long as the Preferred Stock (and, following the occurrence of a Trigger Event, Common Stock and/or other securities) issuable upon the exercise of Rights may be listed on any national securities exchange or traded in the over-the-counter market, the Company shall use its best efforts to cause, from and after such time as the Rights become exercisable, all shares reserved for such issuance to be listed or admitted to trading on such exchange or market upon official notice of issuance upon such exercise.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Stock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From and after such time as the Rights become exercisable, the Company shall use its best efforts, if then necessary to permit the issuance of Preferred Stock upon the exercise of Rights, to register and qualify such Preferred Stock under the Securities Act and any applicable state securities or “</w:t>
      </w:r>
      <w:r>
        <w:rPr>
          <w:rFonts w:ascii="Times New Roman" w:cs="Times New Roman" w:eastAsia="Times New Roman" w:hAnsi="Times New Roman"/>
          <w:sz w:val="18"/>
          <w:szCs w:val="18"/>
          <w:i w:val="1"/>
          <w:iCs w:val="1"/>
          <w:color w:val="auto"/>
        </w:rPr>
        <w:t>Blue Sky</w:t>
      </w:r>
      <w:r>
        <w:rPr>
          <w:rFonts w:ascii="Times New Roman" w:cs="Times New Roman" w:eastAsia="Times New Roman" w:hAnsi="Times New Roman"/>
          <w:sz w:val="18"/>
          <w:szCs w:val="18"/>
          <w:color w:val="auto"/>
        </w:rPr>
        <w:t xml:space="preserve">”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for a period of time not to exceed one hundred twenty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Plan to the contrary, the Rights shall not be exercisable in any jurisdiction unless the requisite qualification in such jurisdiction shall have been obtained and until a registration statement under the Securities Act (if required) shall have been declared effective. The Company shall promptly notify the Rights Agent in writing whenever it makes a public announcement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give the Rights Agent a copy of such announcement.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Stock (or Common Stock and/or other securities, as the case may be) upon the exercise of Rights. The Company shall not, however, be required to pay any transfer tax which may be payable in respect of any transfer or delivery of Right Certificates to a person other than, or the issuance or delivery of certificates for the Preferred Stock (or Common Stock and/or other securities, as the case may be) in a name other than that of, the registered holder of the Right Certificate evidencing Rights surrendered for exercise or to issue or deliver any certificates for Preferred Stock (or Common Stock and/or other securities, as the case may be) in a name other than that of the registered holder upon the exercise of any Rights until any such tax shall have been paid (any such tax being payable by the registered holder of such Right Certificate at the time of surrender) or until it has been established to the Company’s and the Rights Agent’s satisfaction that no such tax is due.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Preferred Stock Record Date</w:t>
      </w:r>
      <w:r>
        <w:rPr>
          <w:rFonts w:ascii="Times New Roman" w:cs="Times New Roman" w:eastAsia="Times New Roman" w:hAnsi="Times New Roman"/>
          <w:sz w:val="18"/>
          <w:szCs w:val="18"/>
          <w:color w:val="auto"/>
        </w:rPr>
        <w:t xml:space="preserve">. Each person in whose name any certificate for Preferred Stock (or Common Stock and/or other securities, as the case may be) is issued upon the exercise of Rights shall for all purposes be deemed to have become the holder of record of the Preferred Stock (or Common Stock and/or other securities, as the case may be) represented thereby on, and such certificate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date of such surrender and payment is a date upon which the Preferred Stock (or Common Stock and/or other securities,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 Certificate shall not be entitled to any rights of a holder of Preferred Stock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Purchase Price, Number of Shares or Number of Rights</w:t>
      </w:r>
      <w:r>
        <w:rPr>
          <w:rFonts w:ascii="Times New Roman" w:cs="Times New Roman" w:eastAsia="Times New Roman" w:hAnsi="Times New Roman"/>
          <w:sz w:val="18"/>
          <w:szCs w:val="18"/>
          <w:color w:val="auto"/>
        </w:rPr>
        <w:t xml:space="preserve">. The Purchase Price, the number of shares of Preferred Stock or other securities or property purchasable upon exercise of each Right and the number of Rights outstanding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Post-Execution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Corporate Dividends, Reclassifications, Etc</w:t>
      </w:r>
      <w:r>
        <w:rPr>
          <w:rFonts w:ascii="Times New Roman" w:cs="Times New Roman" w:eastAsia="Times New Roman" w:hAnsi="Times New Roman"/>
          <w:sz w:val="18"/>
          <w:szCs w:val="18"/>
          <w:color w:val="auto"/>
        </w:rPr>
        <w:t>. In the event the Company shall, at any time after the date of this Plan,</w:t>
      </w:r>
    </w:p>
    <w:p>
      <w:pPr>
        <w:spacing w:after="0" w:line="27" w:lineRule="exact"/>
        <w:rPr>
          <w:sz w:val="20"/>
          <w:szCs w:val="20"/>
          <w:color w:val="auto"/>
        </w:rPr>
      </w:pPr>
    </w:p>
    <w:p>
      <w:pPr>
        <w:jc w:val="both"/>
        <w:ind w:firstLine="8"/>
        <w:spacing w:after="0" w:line="251"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Preferred Stock payable in Preferred Stock, (B) subdivide the outstanding Preferred Stock, (C) combine the outstanding Preferred Stock into a smaller number of shares of Preferred Stock or (D) issue any shares of its capital stock in a reclassification of the Preferred Stock (including any such reclassification in connection with a consolidation or merger in which the Company is the continuing or surviving corporation), except as otherwise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event shall the consideration to be paid upon the exercise of one Right be less than the aggregate par value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stock of the Company issuable upon exercise of one Right. If an event occurs which would require an adjustment under both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be in addition to, and shall be made prior to, the adjustment required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Acquiring Person Events; Triggering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event that a Trigger Event occurs, then, from and after the first occurrence of such event upon expiration of the Redemption Period, each holder of a Right, except as provided below, shall thereafter have a right to receive, upon exercise thereof at a price per Right equal to the then-current Purchase Price multiplied by the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accordance with the terms of this Plan and in lieu of Preferred Stock, such number of shares of Common Stock as shall equal the result obtained by (x) multiplying the then-current Purchase Price by the then-current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(y) dividing that product by 50% of the current per share market price of the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the first of the date of the occurrence of, or the date of the first public announcement of, a Trigger Event (the “</w:t>
      </w:r>
      <w:r>
        <w:rPr>
          <w:rFonts w:ascii="Times New Roman" w:cs="Times New Roman" w:eastAsia="Times New Roman" w:hAnsi="Times New Roman"/>
          <w:sz w:val="18"/>
          <w:szCs w:val="18"/>
          <w:i w:val="1"/>
          <w:iCs w:val="1"/>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and the number of Adjustment Shares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Notwithstanding the foregoing, upon the occurrence of a Trigger Event, any Rights that are or were acquired or Beneficially Owned by (1) any Acquiring Person or any Associate or Affiliate thereof, (2) a transferee of any Acquiring Person (or of any such Associate or Affiliate) who becomes a transferee after the Acquiring Person becomes such, or (3) a transferee of any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subsequent transferees, shall become void without any further action, and any holder (whether or not such holder is an Acquiring Person or an Associate or Affiliate of an Acquiring Person) of such Rights shall thereafter have no right to exercise such Rights under any provision of this Plan or otherwise. From and after the Trigger Event, no Right Certificate shall be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use all reasonable efforts to ensure that the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are complied with, but shall have no liability to any holder of Right Certificates or any other Person as a result of its failure to make any determinations with respect to any Acquiring Person or its Affiliates, Associates or transferees hereunder.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Common Stock issuable upon the exercise of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 number of shares of Preferred Stock or fraction thereof such that the current per share market price of one share of Preferred Stock multiplied by such number or fraction is equal to the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exercise of the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i w:val="1"/>
          <w:iCs w:val="1"/>
          <w:color w:val="auto"/>
        </w:rPr>
        <w:t>Spread</w:t>
      </w:r>
      <w:r>
        <w:rPr>
          <w:rFonts w:ascii="Times New Roman" w:cs="Times New Roman" w:eastAsia="Times New Roman" w:hAnsi="Times New Roman"/>
          <w:sz w:val="18"/>
          <w:szCs w:val="18"/>
          <w:color w:val="auto"/>
        </w:rPr>
        <w:t xml:space="preserve">”) and (B) with respect to each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make adequate provision to substitute for the Adjustment Shares, upon payment of the applicable Purchase Price, (1) cash, (2) a reduction in the Purchase Price,</w:t>
      </w:r>
    </w:p>
    <w:p>
      <w:pPr>
        <w:spacing w:after="0" w:line="4" w:lineRule="exact"/>
        <w:rPr>
          <w:sz w:val="20"/>
          <w:szCs w:val="20"/>
          <w:color w:val="auto"/>
        </w:rPr>
      </w:pPr>
    </w:p>
    <w:p>
      <w:pPr>
        <w:jc w:val="both"/>
        <w:ind w:firstLine="8"/>
        <w:spacing w:after="0" w:line="250"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 w:cs="Times New Roman" w:eastAsia="Times New Roman" w:hAnsi="Times New Roman"/>
          <w:sz w:val="18"/>
          <w:szCs w:val="18"/>
          <w:i w:val="1"/>
          <w:iCs w:val="1"/>
          <w:color w:val="auto"/>
        </w:rPr>
        <w:t>common stock equivalent</w:t>
      </w:r>
      <w:r>
        <w:rPr>
          <w:rFonts w:ascii="Times New Roman" w:cs="Times New Roman" w:eastAsia="Times New Roman" w:hAnsi="Times New Roman"/>
          <w:sz w:val="18"/>
          <w:szCs w:val="18"/>
          <w:color w:val="auto"/>
        </w:rPr>
        <w:t xml:space="preserve">”), (5) debt securities of the Company, (6) other asset(s) or (7) any combination of the foregoing having an aggregate value equal to the Current Value, where such aggregate value has been determined by the Board based upon the advice of a nationally recognized investment banking firm selected in good faith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shall not have made adequate provision to deliver value pursuant to clause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Preferred Stock (to the extent available) and then, if necessary, cash, which shares and/or cash have an aggregate value equal to the Spread. If the Board shall determine in good faith that it is likely that sufficient additional Common Stock could be authorized for issuance upon exercise in full of the Rights, the thirty (30) day period set forth above may be extended and re-extended to the extent necessary, but not more than ninety (90) days following the occurrence of a Trigger Event, in order that the Company may seek stockholder approval for the authorization of such additional shares (such period as may be extended, the “</w:t>
      </w:r>
      <w:r>
        <w:rPr>
          <w:rFonts w:ascii="Times New Roman" w:cs="Times New Roman" w:eastAsia="Times New Roman" w:hAnsi="Times New Roman"/>
          <w:sz w:val="18"/>
          <w:szCs w:val="18"/>
          <w:i w:val="1"/>
          <w:iCs w:val="1"/>
          <w:color w:val="auto"/>
        </w:rPr>
        <w:t>Substitution Period</w:t>
      </w:r>
      <w:r>
        <w:rPr>
          <w:rFonts w:ascii="Times New Roman" w:cs="Times New Roman" w:eastAsia="Times New Roman" w:hAnsi="Times New Roman"/>
          <w:sz w:val="18"/>
          <w:szCs w:val="18"/>
          <w:color w:val="auto"/>
        </w:rPr>
        <w:t xml:space="preserve">”). To the extent that the Company determines that some actions need to be taken pursuant to the second and/or third sentences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Dilutive Rights Offering</w:t>
      </w:r>
      <w:r>
        <w:rPr>
          <w:rFonts w:ascii="Times New Roman" w:cs="Times New Roman" w:eastAsia="Times New Roman" w:hAnsi="Times New Roman"/>
          <w:sz w:val="18"/>
          <w:szCs w:val="18"/>
          <w:color w:val="auto"/>
        </w:rPr>
        <w:t>. In case the Company shall fix a record date for the issuance of rights, options or warrants to all holders of Preferred Stock entitling them (for a period expiring within forty-five (45) calendar days after such record date) to subscribe for or purchase Preferred Stock (or securities having the same rights, privileges and preferences as the Preferred Stock (“</w:t>
      </w:r>
      <w:r>
        <w:rPr>
          <w:rFonts w:ascii="Times New Roman" w:cs="Times New Roman" w:eastAsia="Times New Roman" w:hAnsi="Times New Roman"/>
          <w:sz w:val="18"/>
          <w:szCs w:val="18"/>
          <w:i w:val="1"/>
          <w:iCs w:val="1"/>
          <w:color w:val="auto"/>
        </w:rPr>
        <w:t>equivalent preferred stock</w:t>
      </w:r>
      <w:r>
        <w:rPr>
          <w:rFonts w:ascii="Times New Roman" w:cs="Times New Roman" w:eastAsia="Times New Roman" w:hAnsi="Times New Roman"/>
          <w:sz w:val="18"/>
          <w:szCs w:val="18"/>
          <w:color w:val="auto"/>
        </w:rPr>
        <w:t xml:space="preserve">”)) or securities convertible into Preferred Stock or equivalent preferred stock at a price per share of Preferred Stock or per share of equivalent preferred stock (or having a conversion or exercise price per share, if a security convertible into or exercisable for Preferred Stock or equivalent preferred stock) less than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the Purchase Price to be in effect after such record date shall be determined by multiplying the Purchase Price in effect immediately prior to such record date by a fraction, the numerator of which shall be the number of shares of Preferred Stock and shares of equivalent preferred stock outstanding on such record date plus the number of shares of Preferred Stock and shares of equivalent preferred stock which the aggregate offering price of the total number of shares of Preferred Stock and/or shares of equivalent preferred stock to be offered (and/or the aggregate initial conversion price of the convertible securities so to be offered) would purchase at such current per share market price and the denominator of which shall be the number of shares of Preferred Stock and shares of equivalent preferred stock outstanding on such record date plus the number of additional Preferred Stock and/or shares of equivalent preferred stock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Preferred Stock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case the Company shall fix a record date for the making of a distribution to all holders of the Preferred Stock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Preferred Stock (which dividend, for purposes of this Plan, shall be subject to the provisions of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xml:space="preserve">)) or convertible securities, or subscription rights or warrants (excluding those referred to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such record date by a fraction, the numerator of which shall be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less the fair market value (as determined in good faith by the Board, whose determination shall be described in a statement filed with the Rights Agent) of the portion of the cash, assets, securities or evidences of indebtedness so to be distributed or of such subscription rights or warrants applicable to one share of Preferred Stock and the denominator of which shall be such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96"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Current Per Share Market Value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For the purpose of any computation hereunder, the “</w:t>
      </w:r>
      <w:r>
        <w:rPr>
          <w:rFonts w:ascii="Times New Roman" w:cs="Times New Roman" w:eastAsia="Times New Roman" w:hAnsi="Times New Roman"/>
          <w:sz w:val="18"/>
          <w:szCs w:val="18"/>
          <w:i w:val="1"/>
          <w:i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on any date shall be deemed to be the average of the daily closing prices per share of such Security for the thirty (30) consecutive Trading Days (as such term is hereinafter defined) immediately prior to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for the purpose of any computation hereunder, the “current per share market price” of the Preferred Stock shall be determined in the same manner as set forth above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(other than the last sentence thereof). If the current per share market price of the Preferred Stock cannot be determined in the manner described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the “current per share market price” of the Preferred Stock shall be conclusively deemed to be an amount equal to 1,000 (as such number may be appropriately adjusted for such events as stock splits, stock dividends and recapitalizations with respect to the Common Stock occurring after the date of this Plan) multiplied by the current per share market price of the Common Stock (as determined pursuant to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If neither the Common Stock nor the Preferred Stock are publicly held or so listed or traded, or if on any such date neither the Common Stock nor the Preferred Stock are so quoted and no such market maker is making a market in either the Common Stock or the Preferred Stock, “current per share market price” of the Preferred Stock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Plan, the “current per share market price” of one one-thousandth of a share of Preferred Stock shall be equal to the “current per share market price” of one share of Preferred Stock divided by 1,000.</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Insignificant Changes</w:t>
      </w:r>
      <w:r>
        <w:rPr>
          <w:rFonts w:ascii="Times New Roman" w:cs="Times New Roman" w:eastAsia="Times New Roman" w:hAnsi="Times New Roman"/>
          <w:sz w:val="18"/>
          <w:szCs w:val="18"/>
          <w:color w:val="auto"/>
        </w:rPr>
        <w:t xml:space="preserve">. No adjustment in the Purchase Price shall be required unless such adjustment would require an increase or decrease of at least 1% in the Purchase Price. Any adjustments which by reason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one one-thousandth of a share of Preferred Stock or the nearest one-thousandth of a share of Common Stock or other share or security,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Shares Other Than Preferred Stock</w:t>
      </w:r>
      <w:r>
        <w:rPr>
          <w:rFonts w:ascii="Times New Roman" w:cs="Times New Roman" w:eastAsia="Times New Roman" w:hAnsi="Times New Roman"/>
          <w:sz w:val="18"/>
          <w:szCs w:val="18"/>
          <w:color w:val="auto"/>
        </w:rPr>
        <w:t xml:space="preserve">. If as a result of an adjustment made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with respect to the Preferred Stock shall apply on like terms to any such other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Rights Issued Prior to Adjustment</w:t>
      </w:r>
      <w:r>
        <w:rPr>
          <w:rFonts w:ascii="Times New Roman" w:cs="Times New Roman" w:eastAsia="Times New Roman" w:hAnsi="Times New Roman"/>
          <w:sz w:val="18"/>
          <w:szCs w:val="18"/>
          <w:color w:val="auto"/>
        </w:rPr>
        <w:t>. 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Effect of Adjustments</w:t>
      </w:r>
      <w:r>
        <w:rPr>
          <w:rFonts w:ascii="Times New Roman" w:cs="Times New Roman" w:eastAsia="Times New Roman" w:hAnsi="Times New Roman"/>
          <w:sz w:val="18"/>
          <w:szCs w:val="18"/>
          <w:color w:val="auto"/>
        </w:rPr>
        <w:t xml:space="preserve">. Unless the Company shall have exercised its election as provided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one one-thousandths of a share of Preferred Stock (calculated to the nearest one one-thousandth of a share of Preferred Stock) obtained by (i) multiplying (x) the number of one one-thousandths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Adjustment in Number of Rights</w:t>
      </w:r>
      <w:r>
        <w:rPr>
          <w:rFonts w:ascii="Times New Roman" w:cs="Times New Roman" w:eastAsia="Times New Roman" w:hAnsi="Times New Roman"/>
          <w:sz w:val="18"/>
          <w:szCs w:val="18"/>
          <w:color w:val="auto"/>
        </w:rPr>
        <w:t xml:space="preserve">. The Company may elect on or after the date of any adjustment of the Purchase Price to adjust the number of Rights, in substitution for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Company may, as promptly as practicable, cause to be distributed to holders of record of Right Certificates on such record date Right Certificates evidencing,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Certificates Unchanged</w:t>
      </w:r>
      <w:r>
        <w:rPr>
          <w:rFonts w:ascii="Times New Roman" w:cs="Times New Roman" w:eastAsia="Times New Roman" w:hAnsi="Times New Roman"/>
          <w:sz w:val="18"/>
          <w:szCs w:val="18"/>
          <w:color w:val="auto"/>
        </w:rPr>
        <w:t>. Irrespective of any adjustment or change in the Purchase Price or the number of one one-thousandths of a share of Preferred Stock issuable upon the exercise of the Rights, the Right Certificates theretofore and thereafter issued may continue to express the Purchase Price per share and the number of one one-thousandths of a share of Preferred Stock which were expressed in the initial Right Certificates issued 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Par Value Limitations</w:t>
      </w:r>
      <w:r>
        <w:rPr>
          <w:rFonts w:ascii="Times New Roman" w:cs="Times New Roman" w:eastAsia="Times New Roman" w:hAnsi="Times New Roman"/>
          <w:sz w:val="18"/>
          <w:szCs w:val="18"/>
          <w:color w:val="auto"/>
        </w:rPr>
        <w:t>. Before taking any action that would cause an adjustment reducing the Purchase Price below one one-thousandth of the then-current par value, if any, of the Preferred Stock or other shares of capital stock issuable upon exercise of the Rights, the Company shall take any corporate action which may, in the opinion of its counsel, be necessary in order that the Company may validly and legally issue fully paid and nonassessable Preferred Stock or other such shares at such adjusted Purchase Price.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Deferred Issuance</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Preferred Stock and shares of other capital stock or securities of the Company, if any, issuable upon such exercise over and above the Preferred Stock and shares of other capital stock or other securities, assets or cash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Reduction in Purchase Price</w:t>
      </w:r>
      <w:r>
        <w:rPr>
          <w:rFonts w:ascii="Times New Roman" w:cs="Times New Roman" w:eastAsia="Times New Roman" w:hAnsi="Times New Roman"/>
          <w:sz w:val="18"/>
          <w:szCs w:val="18"/>
          <w:color w:val="auto"/>
        </w:rPr>
        <w:t xml:space="preserve">. Anything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and to the extent that it in its sole discretion shall determine to be advisable in order that any consolidation or subdivision of the Preferred Stock, issuance wholly for cash of any of the Preferred Stock at less than the current market price, issuance wholly for cash of Preferred Stock or securities which by their terms are convertible into or exchangeable for Preferred Stock, dividends on Preferred Stock payable in Preferred Stock or issuance of rights, options or warrants referred to hereinabove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hereafter made by the Company to holders of its Preferred Stock shall not be taxable to such stockholders.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Company Not to Diminish Benefits of Rights</w:t>
      </w:r>
      <w:r>
        <w:rPr>
          <w:rFonts w:ascii="Times New Roman" w:cs="Times New Roman" w:eastAsia="Times New Roman" w:hAnsi="Times New Roman"/>
          <w:sz w:val="18"/>
          <w:szCs w:val="18"/>
          <w:color w:val="auto"/>
        </w:rPr>
        <w:t xml:space="preserve">. The Company covenants and agrees that after the earlier of the Stock Acquisition Date or Distribution Date it will not, except as permitted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Adjustment of Rights Associated with Common Stock</w:t>
      </w:r>
      <w:r>
        <w:rPr>
          <w:rFonts w:ascii="Times New Roman" w:cs="Times New Roman" w:eastAsia="Times New Roman" w:hAnsi="Times New Roman"/>
          <w:sz w:val="18"/>
          <w:szCs w:val="18"/>
          <w:color w:val="auto"/>
        </w:rPr>
        <w:t xml:space="preserve">. Notwithstanding anything contained in this Plan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be made successively whenever such a dividend is declared or paid or such a subdivision, combination or consolidation is effected.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(a) promptly prepare a certificate setting forth such adjustment, and a brief, reasonably detailed statement of the facts accounting for such adjustment, (b) promptly file with the Rights Agent and with each transfer agent for the Common Stock or the Preferred Stock a copy of such certificate and (c) mail a brief summary thereof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Rights Agent shall be fully protected in relying on any such certificate and on any adjustment therein contained and shall not have any duty or liability with respect thereto and shall not be deemed to have knowledge of any such adjustment unless and until it shall have received such certificate.</w:t>
      </w:r>
    </w:p>
    <w:p>
      <w:pPr>
        <w:spacing w:after="0" w:line="18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Cash in Lieu of Fractional Rights</w:t>
      </w:r>
      <w:r>
        <w:rPr>
          <w:rFonts w:ascii="Times New Roman" w:cs="Times New Roman" w:eastAsia="Times New Roman" w:hAnsi="Times New Roman"/>
          <w:sz w:val="18"/>
          <w:szCs w:val="18"/>
          <w:color w:val="auto"/>
        </w:rPr>
        <w:t xml:space="preserve">. The Company shall not be required to issue fractions of Rights or to distribute Right Certificates which evidence fractional Rights (except prior to the Distribution Date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such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Cash in Lieu of Fractional Shares of Preferred Stock</w:t>
      </w:r>
      <w:r>
        <w:rPr>
          <w:rFonts w:ascii="Times New Roman" w:cs="Times New Roman" w:eastAsia="Times New Roman" w:hAnsi="Times New Roman"/>
          <w:sz w:val="18"/>
          <w:szCs w:val="18"/>
          <w:color w:val="auto"/>
        </w:rPr>
        <w:t xml:space="preserve">. The Company shall not be required to issue fractions of shares of Preferred Stock (other than fractions which are integral multiples of one one-thousandth of a share of Preferred Stock) upon exercise or exchange of the Rights or to distribute certificates which evidence fractional shares of Preferred Stock (other than fractions which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shall pay to the registered holders of Right Certificates at the time such Rights are exercised or exchanged as herein provided an amount in cash equal to the same fraction of the current per share market price of one share of Preferred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Cash in Lieu of Fractional Shares of Common Stock</w:t>
      </w:r>
      <w:r>
        <w:rPr>
          <w:rFonts w:ascii="Times New Roman" w:cs="Times New Roman" w:eastAsia="Times New Roman" w:hAnsi="Times New Roman"/>
          <w:sz w:val="18"/>
          <w:szCs w:val="18"/>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Waiver of Right to Receive Fractional Rights or Shares</w:t>
      </w:r>
      <w:r>
        <w:rPr>
          <w:rFonts w:ascii="Times New Roman" w:cs="Times New Roman" w:eastAsia="Times New Roman" w:hAnsi="Times New Roman"/>
          <w:sz w:val="18"/>
          <w:szCs w:val="18"/>
          <w:color w:val="auto"/>
        </w:rPr>
        <w:t xml:space="preserve">. The holder of a Right by the acceptance of the Rights expressly waives his right to receive any fractional Rights or any fractional shares upon exercise or exchange of a Right, except as permitted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Reliance by Rights Agent</w:t>
      </w:r>
      <w:r>
        <w:rPr>
          <w:rFonts w:ascii="Times New Roman" w:cs="Times New Roman" w:eastAsia="Times New Roman" w:hAnsi="Times New Roman"/>
          <w:sz w:val="18"/>
          <w:szCs w:val="18"/>
          <w:color w:val="auto"/>
        </w:rPr>
        <w:t>. Whenever a payment for fractional Rights or fractional shares is to be made by the Rights Agent under any section of this Plan,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Plan relating to the payment of fractional Rights or fractional shares unless and until the Rights Agent shall have received such a certificate and sufficient monies.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Plan, except the rights of action given to the Rights Agent under this Plan,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Plan, and may institute and maintain any suit, action or proceeding against the Company to enforce this Plan, or otherwise enforce or act in respect of his right to exercise the Rights evidenced by such Right Certificate (or, prior to the Distribution Date, such Common Stock) in the manner provided in such Right Certificate and in this Plan. Without limiting the foregoing or any remedies available to the holders of Rights, it is specifically acknowledged that the holders of Rights would not have an adequate remedy at law for any breach of this Plan by the Company and shall be entitled to specific performance of the obligations under, and injunctive relief against actual or threatened violations by the Company of its obligations under this Plan.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162" w:lineRule="exact"/>
        <w:rPr>
          <w:sz w:val="20"/>
          <w:szCs w:val="20"/>
          <w:color w:val="auto"/>
        </w:rPr>
      </w:pPr>
    </w:p>
    <w:p>
      <w:pPr>
        <w:ind w:left="2860" w:hanging="908"/>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left="660" w:firstLine="1292"/>
        <w:spacing w:after="0" w:line="261" w:lineRule="auto"/>
        <w:tabs>
          <w:tab w:leader="none" w:pos="2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Distribution Date, the Right Certificates are transferable only on the registry books of the Rights Agent if surrendered at the office of the Rights Agent designated for such purpose accompanied by a Signature Guarantee and any other reasonable evidence of authority that may be reasonably required by the Rights Agent, duly endorsed or accompanied by a proper instrument of transfer with all required certifications completed;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 Certificate Holder Not Deemed a Stockholder</w:t>
      </w:r>
      <w:r>
        <w:rPr>
          <w:rFonts w:ascii="Times New Roman" w:cs="Times New Roman" w:eastAsia="Times New Roman" w:hAnsi="Times New Roman"/>
          <w:sz w:val="18"/>
          <w:szCs w:val="18"/>
          <w:color w:val="auto"/>
        </w:rPr>
        <w:t xml:space="preserve">. No holder, as such, of any Right Certificate shall be entitled to vote, receive dividends or be deemed for any purpose the holder of the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or to receive dividends or subscription rights, or otherwise, until the Right or Rights evidenced by such Right Certificate shall have been exercised in accordance with the provisions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 xml:space="preserve">. The Company agrees to pay to the Rights Agent reasonable compensation for all services rendered by it hereunder in accordance with a mutually agreed upon fee schedule and, from time to time, on demand of the Rights Agent, its reasonable expenses and counsel fees and other disbursements incurred in the preparation, delivery, negotiation, amendment, administration and execution of this Plan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Plan, including the costs and expenses of defending against any claim of liability arising therefrom, directly or indirectly, or enforcing its rights hereunder. The provisions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below shall survive the expiration of the Rights and the termination of this Plan and the resignation, replacement or removal of the Rights Agent. The costs and expenses incurred in enforcing this right of indemnification shall be paid by the Company.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Plan in reliance upon any Right Certificate or certificate for the Preferred Stock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 xml:space="preserve">. Any corporation, limited liability company or other entity into which the Rights Agent or any successor Rights Agent may be merged, converted or with which it may be consolidated, or any corporation, limited liability company or other entity resulting from any merger, conversion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Plan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limited liability company or other entity would be eligible for appointment as a successor Rights Agent under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In case at the time such successor Rights Agent shall succeed to the agency created by this Plan,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Plan.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the duties and obligations imposed by this Plan upon the following express terms and conditions, by all of which the Company and the holders of Right Certificates, by their acceptance thereof, shall be bound: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Rights Agent may consult with legal counsel selected by it (who may be legal counsel for the Company), and the opinion or advice of such counsel shall be full and complete authorization and protection to the Rights Agent as to any action taken or omitted by it in the absence of bad faith and in accordance with such opinion.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Certificates as to Facts or Matters</w:t>
      </w:r>
      <w:r>
        <w:rPr>
          <w:rFonts w:ascii="Times New Roman" w:cs="Times New Roman" w:eastAsia="Times New Roman" w:hAnsi="Times New Roman"/>
          <w:sz w:val="18"/>
          <w:szCs w:val="18"/>
          <w:color w:val="auto"/>
        </w:rPr>
        <w:t>. Whenever in the performance of its duties under this Plan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Plan in reliance upon such certificate.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Rights Agent shall be liable hereunder only for its own gross negligence, bad faith or willful misconduct (which gross negligence, bad faith or willful misconduct must be determined by a final, non-appealable judgment of a court of competent jurisdiction). Notwithstanding anything in this Plan to the contrary, any liability of the Rights Agent under this Plan will be limited to the amount of annual fees (not including reimbursed expenses and charges) paid by the Company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Reliance on Agreement and Right Certificates</w:t>
      </w:r>
      <w:r>
        <w:rPr>
          <w:rFonts w:ascii="Times New Roman" w:cs="Times New Roman" w:eastAsia="Times New Roman" w:hAnsi="Times New Roman"/>
          <w:sz w:val="18"/>
          <w:szCs w:val="18"/>
          <w:color w:val="auto"/>
        </w:rPr>
        <w:t>. The Rights Agent shall not be liable for or by reason of any of the statements of fact or recitals contained in this Plan or in the Right Certificates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No Responsibility as to Certain Matters</w:t>
      </w:r>
      <w:r>
        <w:rPr>
          <w:rFonts w:ascii="Times New Roman" w:cs="Times New Roman" w:eastAsia="Times New Roman" w:hAnsi="Times New Roman"/>
          <w:sz w:val="18"/>
          <w:szCs w:val="18"/>
          <w:color w:val="auto"/>
        </w:rPr>
        <w:t xml:space="preserve">. The Rights Agent shall not be under any responsibility in respect of the validity of this Plan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Plan or in any Right Certificate; nor shall it be responsible for any change in the exercisability of the Rights (including the Rights becoming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any adjustment required under the provisions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Preferred Stock or other securities to be issued pursuant to this Plan or any Right Certificate or as to whether any Preferred Stock will, when so issued, be validly authorized and issued, fully paid and nonassessable.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Plan.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Authorized Company Officers</w:t>
      </w:r>
      <w:r>
        <w:rPr>
          <w:rFonts w:ascii="Times New Roman" w:cs="Times New Roman" w:eastAsia="Times New Roman" w:hAnsi="Times New Roman"/>
          <w:sz w:val="18"/>
          <w:szCs w:val="18"/>
          <w:color w:val="auto"/>
        </w:rPr>
        <w:t>. The Rights Agent is hereby authorized and directed to accept instructions with respect to the performance of its duties hereunder from any one of the Chief Executive Officer, the Chief Financial Officer, the President, the Chief Operating Officer, any Vice President, the Treasurer, any Assistant Treasurer, the Secretary or any Assistant Secretary of the Company, and to apply to such officers for advice or instructions in connection with its duties under this Plan,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Plan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Rights Agent and any stockholder, director, officer or employee of the Rights Agent may buy, sell or deal in any of the Rights or other securities of the Company or obtain a pecuniary interest in any transaction in which the Company may be interested, or contract with or lend money to the Company or otherwise act as fully and freely as though it were not Rights Agent under this Plan. Nothing herein shall preclude the Rights Agent from acting in any other capacity for the Company or for any other legal entity.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Incomplete Certificate</w:t>
      </w:r>
      <w:r>
        <w:rPr>
          <w:rFonts w:ascii="Times New Roman" w:cs="Times New Roman" w:eastAsia="Times New Roman" w:hAnsi="Times New Roman"/>
          <w:sz w:val="18"/>
          <w:szCs w:val="18"/>
          <w:color w:val="auto"/>
        </w:rPr>
        <w:t xml:space="preserve">.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an Affiliate or Associate thereof), the Rights Agent shall not take any further action with respect to such requested exercise or transfer without first consulting with the Company; provided, however that Rights Agent shall not be liable for any delays arising from the duties under this </w:t>
      </w:r>
      <w:r>
        <w:rPr>
          <w:rFonts w:ascii="Times New Roman" w:cs="Times New Roman" w:eastAsia="Times New Roman" w:hAnsi="Times New Roman"/>
          <w:sz w:val="18"/>
          <w:szCs w:val="18"/>
          <w:u w:val="single" w:color="auto"/>
          <w:color w:val="auto"/>
        </w:rPr>
        <w:t>Section 19.10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Rights Holders List</w:t>
      </w:r>
      <w:r>
        <w:rPr>
          <w:rFonts w:ascii="Times New Roman" w:cs="Times New Roman" w:eastAsia="Times New Roman" w:hAnsi="Times New Roman"/>
          <w:sz w:val="18"/>
          <w:szCs w:val="18"/>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Plan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The Rights Agent shall have no responsibility to the Company, any holders of Rights, any holders of shares of Common Stock or any other Person for interest or earnings on any moneys held by the Rights Agent pursuant to this Plan.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xml:space="preserve">.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in the absence of such notice so delivered, the Rights Agent may conclusively assume no such event or condition exists.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19.15.</w:t>
      </w:r>
      <w:r>
        <w:rPr>
          <w:sz w:val="20"/>
          <w:szCs w:val="20"/>
          <w:color w:val="auto"/>
        </w:rPr>
        <w:tab/>
      </w:r>
      <w:r>
        <w:rPr>
          <w:rFonts w:ascii="Times New Roman" w:cs="Times New Roman" w:eastAsia="Times New Roman" w:hAnsi="Times New Roman"/>
          <w:sz w:val="17"/>
          <w:szCs w:val="17"/>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19.15.1. In the event the Rights Agent believes any ambiguity or uncertainty exists hereunder or in any notice, instruction, direction, request or other communication, paper or document received by the Rights Agent hereunder, the Rights Agent, may, in its sole discretion, refrain from taking any action, and shall be fully protected and shall not be liable in any way to Company, the holder of any Rights Certificate or Book-Entry Shares or any other Person for refraining from taking such action, unless the Rights Agent receives written instructions signed by the Company which eliminates such ambiguity or uncertainty to the satisfaction of Rights Agent.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19.15.2. The Rights Agent shall not be liable or responsible for any failure of the Company to comply with any of its obligations relating to any registration statement filed with the Securities and Exchange Commission or this Plan, including without limitation obligations under applicable regulation or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19.15.3. The Rights Agent shall act hereunder solely as agent for the Company. The Rights Agent shall not assume any obligations or relationship of agency or trust with any of the owners or holders of the Rights or Common Stock.</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19.15.4.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 even though such law, act, or regulation may thereafter have been altered, changed, amended or repealed.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19.15.5.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xml:space="preserve">. The Rights Agent or any successor Rights Agent may resign and be discharged from its duties under this Plan upon thirty (30) days’ notice in writing mailed to the Company and (of then known to the Rights Agent) to each transfer agent of the Common Stock and/or Preferred Stock, as applicable, by registered or certified mail. Following the Distribution Date, the Company shall promptly notify the holders of the Right Certificates by first-class mail of any such resignation. In the event the transfer agency relationship in effect between the Company and the Rights Agent terminates, the Rights Agent will be deemed to have resigned automatically and be discharged from its duties under this Plan as of the effective date of such termination, and the Company shall be responsible for sending any required notice. The Company may remove the Rights Agent or any successor Rights Agent upon thirty (30) days’ notice in writing, mailed to the Rights Agent or successor Rights Agent, as the case may be, and to each transfer agent of the Common Stock and/or Preferred Stock, as 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an unnatural Person organized and doing business under the laws of the United States,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and/or Preferred Stock, as applicable, and, following the Distribution Date, mail a notice thereof in writing to the registered holders of the Right Certificates. Failure to give any notice provided for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xml:space="preserve">. Notwithstanding any of the provisions of this Plan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Plan.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hereinafter issued by the Company, in each case existing prior to the Distribution Date,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 no such Right Certificate shall be issued if, and to the extent that, the Company shall be advised by counsel that such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a significant risk of material adverse tax consequences to the Company or the Person to whom such Right Certificate would be issued and</w:t>
      </w:r>
    </w:p>
    <w:p>
      <w:pPr>
        <w:spacing w:after="0" w:line="6" w:lineRule="exact"/>
        <w:rPr>
          <w:sz w:val="20"/>
          <w:szCs w:val="20"/>
          <w:color w:val="auto"/>
        </w:rPr>
      </w:pPr>
    </w:p>
    <w:p>
      <w:pPr>
        <w:ind w:left="280" w:hanging="272"/>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Right Certificate shall be issued if, and to the extent that, appropriate adjustment shall otherwise have been made in lieu of the issuance thereof.</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At any time prior to the earlier of (i) the tenth (10th) Business Day after the Stock Acquisition Date and</w:t>
      </w:r>
    </w:p>
    <w:p>
      <w:pPr>
        <w:spacing w:after="0" w:line="27" w:lineRule="exact"/>
        <w:rPr>
          <w:sz w:val="20"/>
          <w:szCs w:val="20"/>
          <w:color w:val="auto"/>
        </w:rPr>
      </w:pPr>
    </w:p>
    <w:p>
      <w:pPr>
        <w:jc w:val="both"/>
        <w:ind w:firstLine="8"/>
        <w:spacing w:after="0" w:line="252" w:lineRule="auto"/>
        <w:tabs>
          <w:tab w:leader="none" w:pos="2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(the earlier of (i) and (ii) being herein referred to as the “</w:t>
      </w:r>
      <w:r>
        <w:rPr>
          <w:rFonts w:ascii="Times New Roman" w:cs="Times New Roman" w:eastAsia="Times New Roman" w:hAnsi="Times New Roman"/>
          <w:sz w:val="18"/>
          <w:szCs w:val="18"/>
          <w:i w:val="1"/>
          <w:iCs w:val="1"/>
          <w:color w:val="auto"/>
        </w:rPr>
        <w:t>Redemption Period</w:t>
      </w:r>
      <w:r>
        <w:rPr>
          <w:rFonts w:ascii="Times New Roman" w:cs="Times New Roman" w:eastAsia="Times New Roman" w:hAnsi="Times New Roman"/>
          <w:sz w:val="18"/>
          <w:szCs w:val="18"/>
          <w:color w:val="auto"/>
        </w:rPr>
        <w:t>”), the Board may, at its option, redeem all, but not less than all, of the then-outstanding Rights at a redemption price of $0.001 per Right, appropriately adjusted to reflect any stock split, stock dividend, recapitalization or similar transaction occurring after the date hereof (such redemption price being hereinafter referred to as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and the Company may, at its option, pay the Redemption Price in Common Stock (based on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Redemption Procedures</w:t>
      </w:r>
      <w:r>
        <w:rPr>
          <w:rFonts w:ascii="Times New Roman" w:cs="Times New Roman" w:eastAsia="Times New Roman" w:hAnsi="Times New Roman"/>
          <w:sz w:val="18"/>
          <w:szCs w:val="18"/>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The Company shall promptly give, or cause the Rights Agent to give, notice of such redemption to the holders of the then-outstanding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Neither the Company nor any of its Affiliates or Associates may redeem, acquire or purchase for value any Rights at any time in any manner other than that specifically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other than in connection with the purchase, acquisition or redemption of Common Stock prior to the Distribution Date.</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In case the Company shall propose at any time after the earlier of the Stock Acquisition Date and the Distribution Date (a) to pay any dividend payable in stock of any class to the holders of Preferred Stock or to make any other distribution to the holders of Preferred Stock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Preferred Stock rights or warrants to subscribe for or to purchase any additional Preferred Stock or shares of stock of any class or any other securities, rights or options, or (c) to effect any reclassification of its Preferred Stock (other than a reclassification involving only the subdivision of outstanding Preferred Stock),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Preferred Stock and/or Common Stock, if any such date is to be fixed, and such notice shall be so given in the case of any action covered by clause (a) or</w:t>
      </w:r>
    </w:p>
    <w:p>
      <w:pPr>
        <w:spacing w:after="0" w:line="10" w:lineRule="exact"/>
        <w:rPr>
          <w:sz w:val="20"/>
          <w:szCs w:val="20"/>
          <w:color w:val="auto"/>
        </w:rPr>
      </w:pPr>
    </w:p>
    <w:p>
      <w:pPr>
        <w:jc w:val="both"/>
        <w:ind w:firstLine="8"/>
        <w:spacing w:after="0" w:line="255"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least ten (10) days prior to the record date for determining holders of the Preferred Stock for purposes of such action, and in the case of any such other action, at least ten (10) days prior to the date of the taking of such proposed action or the date of participation therein by the holders of the Preferred Stock and/or Common Stock, whichever shall be the earlier.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case any event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occur, then, in any such case, (i) the Company shall as soon as practicable thereafter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notice of the occurrence of such event, which notice shall describe the event and the consequences of the event to holders of Rights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(ii) all references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Preferred Stock shall be deemed thereafter to refer to Common Stock and/or, if appropriate, other securities.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notice or demand authorized by this Plan to be given or made by the Company or by the holder of any Right Certificate to or on the Rights Agent shall be sufficiently given or made if sent by first-class mail, postage prepaid, or overnight courier delivery addressed (until another address is filed in writing with the Company)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Equiniti Trust Company, LLC</w:t>
      </w:r>
    </w:p>
    <w:p>
      <w:pPr>
        <w:ind w:left="2600"/>
        <w:spacing w:after="0" w:line="205" w:lineRule="auto"/>
        <w:rPr>
          <w:sz w:val="20"/>
          <w:szCs w:val="20"/>
          <w:color w:val="auto"/>
        </w:rPr>
      </w:pPr>
      <w:r>
        <w:rPr>
          <w:rFonts w:ascii="Times New Roman" w:cs="Times New Roman" w:eastAsia="Times New Roman" w:hAnsi="Times New Roman"/>
          <w:sz w:val="18"/>
          <w:szCs w:val="18"/>
          <w:color w:val="auto"/>
        </w:rPr>
        <w:t>48 Wall Street,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Relationship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 of any Right Certificate (or, prior to the Distribution Date, to the holder of any certificate representing Common Stock) shall be sufficiently given or made if sent by first-class mail, postage prepaid, addressed to such holder at the address of such holder as shown on the registry books of the Company; provided that prior to the Distribution Date a filing by the Company with the Securities and Exchange Commission shall constitute sufficient notice to the holders of securities of the Company, including the Rights, for purposes of this Plan and no other notice need be given.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xml:space="preserve">. For so long as the Rights are then redeemable, the Company,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may in its sole and absolute discretion, and the Rights Agent shall, if the Company so directs, supplement or amend any provision of this Plan in any respect without the approval of any holders of Rights or Common Stock. From and after the time that the Rights are no longer redeemable, the Company may, and the Rights Agent shall, if the Company so directs, from time to time supplement or amend this Plan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 or amendment shall adversely affect the interests of the holders of Rights as such (other than an Acquiring Person or an Affiliate or Associate of an Acquiring Person), and no such supplement or amendment may cause the Rights again to become redeemable or cause this Plan again to become amendable as to an Acquiring Person or an Affiliate or Associate of an Acquiring Person other than in accordance with this sentence;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of the Board to extend the Distribution Date shall not require any amendment or supplement hereunder. Upon the delivery of a certificate from the Company’s Chief Executive Officer, Chief Financial Officer, treasurer, assistant treasurer, secretary or assistant secretary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Rights Agent shall execute such supplement or amendment. Notwithstanding anything in this Plan to the contrary, the Rights Agent shall not be required to execute any supplement or amendment to this Plan that it has determined would adversely affect its own rights, duties, obligations or immunities under this Plan. No supplement or amendment to this Plan shall be effective unless duly executed by the Rights Agent.</w:t>
      </w:r>
    </w:p>
    <w:p>
      <w:pPr>
        <w:spacing w:after="0" w:line="195"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Exchange of Common Stock for Rights</w:t>
      </w:r>
      <w:r>
        <w:rPr>
          <w:rFonts w:ascii="Times New Roman" w:cs="Times New Roman" w:eastAsia="Times New Roman" w:hAnsi="Times New Roman"/>
          <w:sz w:val="18"/>
          <w:szCs w:val="18"/>
          <w:color w:val="auto"/>
        </w:rPr>
        <w:t xml:space="preserve">. At any time after the occurrence of a Trigger Event, the Board may, at its option, exchange Common Stock for all or part of the then-outstanding and exercisable Rights (which shall not include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Notwithstanding the foregoing, the Board shall not be empowered to effect such exchange at any time after any Acquiring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become the Beneficial Owner of 50% or more of the Common Stock then outstanding.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Board may direct the Company to enter into a Trust Agreement in such form and with such terms as the Board shall then approve (the “</w:t>
      </w:r>
      <w:r>
        <w:rPr>
          <w:rFonts w:ascii="Times New Roman" w:cs="Times New Roman" w:eastAsia="Times New Roman" w:hAnsi="Times New Roman"/>
          <w:sz w:val="18"/>
          <w:szCs w:val="18"/>
          <w:i w:val="1"/>
          <w:iCs w:val="1"/>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all of the shares of Common Stock issuable pursuant to the exchange (or any portion thereof that have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shares of Common Stock issued at the direction of the Board in connection herewith shall be validly issued, fully paid and nonassessable shares of Common Stock, and the Company shall be deemed to have received as consideration for such issuance a benefit having a value that is at least equal to the aggregate par value of the shares so issued.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Immediately upon the action of the Board ordering the exchange for any Rights pursuant to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held by each holder of Rights.</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In the event that there shall not be sufficient Common Stock issued but not outstanding, authorized but unissued, or held by the Company as treasury shares, to permit an exchange of Rights for Common Stock, as contemplated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exchange of the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determines that it is unable to cause the authorization of a sufficient number of additional shares of Common Stock, then,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Rights are to be exchanged, the Company, with respect to each Right and to the extent necessary and permitted by applicable law and any agreements or instruments in effect on the date hereof to which it is a party, may, at its option, make adequate provision to ensure and provide that each Right shall thereafter constitute the right to receive (1) cash, (2) a number of shares of Preferred Stock or fraction thereof (or equivalent preferred stock, as such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such that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one share of Preferred Stock (or equivalent preferred stock) multiplied by such number or fraction is equal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(3) other equity securities of the Company (including, without limitation, a common stock equivalent as defined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(4) debt securities of the Company, (5) other asset(s) or (6) any combination of the foregoing having an aggregate value substantially comparable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where such aggregate value has been determined by the Board in good faith. If the Board shall determine in good faith that it is likely that sufficient additional Common Stock could be authorized for issuance upon exchange of the Rights, the Company may seek stockholder approval for the authorization of such additional shares. To the extent that the Company determines that some actions need to be taken pursuant to the second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exchange of the Rights in order to seek any authorization of additional shares and/or to decide the appropriate form of distribution to be made pursuant to such first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and to determine the value thereof. For purposes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exchange of the Rights among holders of Rights pursuant to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In the case of a substitution described in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references to “Common Stock” shall be replaced with “cash,” “Preferred Stock,” such equity security, such debt security and/or such other asset(s) where applicable throughout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Plan and any other provisions where appropriate to effect and properly reflect this substitution.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Process to Seek Exemption</w:t>
      </w:r>
      <w:r>
        <w:rPr>
          <w:rFonts w:ascii="Times New Roman" w:cs="Times New Roman" w:eastAsia="Times New Roman" w:hAnsi="Times New Roman"/>
          <w:sz w:val="18"/>
          <w:szCs w:val="18"/>
          <w:color w:val="auto"/>
        </w:rPr>
        <w:t>. Any Person who desires to effect any acquisition of Common Stock that might, if consummated, result in such Person (together with its Affiliates and Associates) Beneficially Owning 4.99% or more of the then-outstanding Common Stock (or, in the case of an Existing Holder, one or more additional shares of Common Stock) (a “</w:t>
      </w:r>
      <w:r>
        <w:rPr>
          <w:rFonts w:ascii="Times New Roman" w:cs="Times New Roman" w:eastAsia="Times New Roman" w:hAnsi="Times New Roman"/>
          <w:sz w:val="18"/>
          <w:szCs w:val="18"/>
          <w:i w:val="1"/>
          <w:iCs w:val="1"/>
          <w:color w:val="auto"/>
        </w:rPr>
        <w:t>Requesting Person</w:t>
      </w:r>
      <w:r>
        <w:rPr>
          <w:rFonts w:ascii="Times New Roman" w:cs="Times New Roman" w:eastAsia="Times New Roman" w:hAnsi="Times New Roman"/>
          <w:sz w:val="18"/>
          <w:szCs w:val="18"/>
          <w:color w:val="auto"/>
        </w:rPr>
        <w:t xml:space="preserve">”) may, prior to the Stock Acquisition Date and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request that the Board grant an exemption with respect to such acquisition under this Plan so that such Person would be deemed to be an “Exempt Person” under clause (ii)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for purposes of this Plan (an “</w:t>
      </w:r>
      <w:r>
        <w:rPr>
          <w:rFonts w:ascii="Times New Roman" w:cs="Times New Roman" w:eastAsia="Times New Roman" w:hAnsi="Times New Roman"/>
          <w:sz w:val="18"/>
          <w:szCs w:val="18"/>
          <w:i w:val="1"/>
          <w:iCs w:val="1"/>
          <w:color w:val="auto"/>
        </w:rPr>
        <w:t>Exemption Request</w:t>
      </w:r>
      <w:r>
        <w:rPr>
          <w:rFonts w:ascii="Times New Roman" w:cs="Times New Roman" w:eastAsia="Times New Roman" w:hAnsi="Times New Roman"/>
          <w:sz w:val="18"/>
          <w:szCs w:val="18"/>
          <w:color w:val="auto"/>
        </w:rPr>
        <w:t>”). An Exemption Request shall be in proper form and shall be delivered by registered mail, return receipt requested, to the Secretary of the Company at the principal executive office of the Company. The Exemption Request shall be deemed made upon receipt by the Corporate Secretary of the Company. To be in proper form, an Exemption Request shall set forth (i) the name and address of the Requesting Person, (ii) the number and percentage of shares of Common Stock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Stock aggregating 4.99% or more of the then-outstanding Common Stock (or, in the case of an Existing Holder, one or more additional shares of Common Stock) and the maximum number and percentage of shares of Common Stock that the Requesting Person proposes to acquire. The Board shall endeavor to respond whether to grant an exemption in response to an Exemption Request as promptly as practicable (and, in any event, within twenty (20) Business Days) after receipt thereof; provided, that the failure of the Board to respond within such period shall be deemed to constitute the denial by the Board of the Exemption Request. The Requesting Person shall respond promptly to reasonable and appropriate requests for additional information from the Company or the Board and its advisors to assist the Board in making its determination. The Board shall grant an exemption in response to an Exemption Request only if the Board determines in its sole discretion that the acquisition of Beneficial Ownership of Common Stock by the Requesting Person (i) will not jeopardize or endanger the value or availability to the Company of the Tax Attributes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the Board shall determine necessary or desirable to provide for the protection of the Company’s Tax Attributes.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determination of the Board with respect thereto otherwise becomes publicly available or is required to be disclosed by applicable law or regulation.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shall bind and inure to the benefit of their respective successors and assigns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Plan</w:t>
      </w:r>
      <w:r>
        <w:rPr>
          <w:rFonts w:ascii="Times New Roman" w:cs="Times New Roman" w:eastAsia="Times New Roman" w:hAnsi="Times New Roman"/>
          <w:sz w:val="18"/>
          <w:szCs w:val="18"/>
          <w:color w:val="auto"/>
        </w:rPr>
        <w:t>. Nothing in this Plan shall be construed to give to any Person or corporation other than the Company, the Rights Agent and the registered holders of the Right Certificates (and, prior to the Distribution Date, the Common Stock) any legal or equitable right, remedy or claim under this Plan; but this Plan shall be for the sole and exclusive benefit of the Company, the Rights Agent and the registered holders of the Right Certificates (and, prior to the Distribution Date, the Common Stock).</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 and Actions by the Board</w:t>
      </w:r>
      <w:r>
        <w:rPr>
          <w:rFonts w:ascii="Times New Roman" w:cs="Times New Roman" w:eastAsia="Times New Roman" w:hAnsi="Times New Roman"/>
          <w:sz w:val="18"/>
          <w:szCs w:val="18"/>
          <w:color w:val="auto"/>
        </w:rPr>
        <w:t>. Without limiting any of the rights and immunities of the Rights Agent, the Board shall have the power and authority to administer this Plan and to exercise the rights and powers specifically granted to the Board or to the Company, or as may be necessary or advisable, as determined by the Board, in the administration of this Plan. The Rights Agent is entitled to assume the Board acted in good faith and shall be fully protected and incur no liability in reliance thereon.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 remainder of the terms, provisions, covenants and restrictions of this Plan shall remain in full force and effect and shall in no way be affected, impaired or invalidated; provided, however, that if such excluded provision shall affect the rights, immunities, liabilities, duties or obligations of the Rights Agent, the Rights Agent shall be entitled to resign immediately upon written notice to the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Plan may be executed in any number of counterparts and each of such counterparts shall for all purposes be deemed to be an original, and all such counterparts shall together constitute but one and the same instrument. A signature to this Plan transmitted electronically shall have the same authority, effect and enforceability as an original signature.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Plan are inserted for convenience only and shall not control or affect the meaning or construction of any of the provisions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Rights Agent shall not be liable for any delays or failures in performance resulting from acts beyond its reasonable control including, without limitation, acts of God (including, but not limited to, natural disasters, catastrophic events, epidemics and pandemics), terrorist acts, shortage of supply, breakdowns or malfunctions, interruptions or malfunctions of any utilities, communications, or computer facilities, or loss of data due to power failures or mechanical difficulties with information storage or retrieval systems, labor difficulties, war or civil unrest.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Plan to be duly executed, as of the day and year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Scott Milford</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Sharon Best-Jhagroo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Sharon Best-Jhagroo</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S.V.P. - Relationship Director</w:t>
      </w: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TAX BENEFITS PRESERVATION PLAN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40"/>
          </w:cols>
          <w:pgMar w:left="1440" w:top="904" w:right="9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ind w:firstLine="8"/>
        <w:spacing w:after="0" w:line="258" w:lineRule="auto"/>
        <w:tabs>
          <w:tab w:leader="none" w:pos="7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Designation and Amount. </w:t>
      </w:r>
      <w:r>
        <w:rPr>
          <w:rFonts w:ascii="Times New Roman" w:cs="Times New Roman" w:eastAsia="Times New Roman" w:hAnsi="Times New Roman"/>
          <w:sz w:val="18"/>
          <w:szCs w:val="18"/>
          <w:color w:val="auto"/>
        </w:rPr>
        <w:t>There shall be a series of Preferred Stock that shall be designated as “Series A Junior Participating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80" w:hanging="672"/>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ind w:left="1500" w:hanging="844"/>
        <w:spacing w:after="0"/>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Junior Participating Preferred Stock as provided in paragraph</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immediately after it declares a dividend or distribution on the Common Stock (other than a dividend payable in shares of Common Stock).</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ind w:left="672" w:hanging="672"/>
        <w:spacing w:after="0"/>
        <w:tabs>
          <w:tab w:leader="none" w:pos="6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Series A Junior Participating Preferred Stock shall have the following voting rights:</w:t>
      </w:r>
    </w:p>
    <w:p>
      <w:pPr>
        <w:spacing w:after="0" w:line="227" w:lineRule="exact"/>
        <w:rPr>
          <w:rFonts w:ascii="Times New Roman" w:cs="Times New Roman" w:eastAsia="Times New Roman" w:hAnsi="Times New Roman"/>
          <w:sz w:val="18"/>
          <w:szCs w:val="18"/>
          <w:color w:val="auto"/>
        </w:rPr>
      </w:pPr>
    </w:p>
    <w:p>
      <w:pPr>
        <w:ind w:left="-8" w:firstLine="656"/>
        <w:spacing w:after="0" w:line="282" w:lineRule="auto"/>
        <w:tabs>
          <w:tab w:leader="none" w:pos="14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61" w:lineRule="exact"/>
        <w:rPr>
          <w:rFonts w:ascii="Times New Roman" w:cs="Times New Roman" w:eastAsia="Times New Roman" w:hAnsi="Times New Roman"/>
          <w:sz w:val="18"/>
          <w:szCs w:val="18"/>
          <w:color w:val="auto"/>
        </w:rPr>
      </w:pPr>
    </w:p>
    <w:p>
      <w:pPr>
        <w:jc w:val="both"/>
        <w:ind w:left="-8" w:right="20" w:firstLine="656"/>
        <w:spacing w:after="0" w:line="266" w:lineRule="auto"/>
        <w:tabs>
          <w:tab w:leader="none" w:pos="16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14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7" w:name="page88"/>
    <w:bookmarkEnd w:id="87"/>
    <w:p>
      <w:pPr>
        <w:ind w:left="672" w:hanging="672"/>
        <w:spacing w:after="0"/>
        <w:tabs>
          <w:tab w:leader="none" w:pos="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65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02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4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16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5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8" w:name="page89"/>
    <w:bookmarkEnd w:id="88"/>
    <w:p>
      <w:pPr>
        <w:jc w:val="both"/>
        <w:ind w:left="-8" w:firstLine="8"/>
        <w:spacing w:after="0" w:line="261" w:lineRule="auto"/>
        <w:tabs>
          <w:tab w:leader="none" w:pos="8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Reacquired Shares. </w:t>
      </w:r>
      <w:r>
        <w:rPr>
          <w:rFonts w:ascii="Times New Roman" w:cs="Times New Roman" w:eastAsia="Times New Roman" w:hAnsi="Times New Roman"/>
          <w:sz w:val="18"/>
          <w:szCs w:val="18"/>
          <w:color w:val="auto"/>
        </w:rPr>
        <w:t>Any shares of Series A Junior Participating Preferred Stock purchased or otherwise acquired by the Corporation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79"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3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44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151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59"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8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Merger, Etc. </w:t>
      </w:r>
      <w:r>
        <w:rPr>
          <w:rFonts w:ascii="Times New Roman" w:cs="Times New Roman" w:eastAsia="Times New Roman" w:hAnsi="Times New Roman"/>
          <w:sz w:val="18"/>
          <w:szCs w:val="18"/>
          <w:color w:val="auto"/>
        </w:rPr>
        <w:t>In case the Corporation shall enter into any consolidation, merger, combination or other transaction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Redemption. </w:t>
      </w:r>
      <w:r>
        <w:rPr>
          <w:rFonts w:ascii="Times New Roman" w:cs="Times New Roman" w:eastAsia="Times New Roman" w:hAnsi="Times New Roman"/>
          <w:sz w:val="18"/>
          <w:szCs w:val="18"/>
          <w:color w:val="auto"/>
        </w:rPr>
        <w:t>Shares of Series A Junior Participating Preferred Stock shall not be subject to redemption by the Corporation.</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Series A Junior Participating Preferred Stock shall rank junior to all other series of Preferred Stock as to the payment of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to the distribution of assets upon liquidation, dissolution or winding up, unless the terms of any such series shall provide otherwise, and shall rank senior to the Common Stock as to such matters.</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9" w:name="page90"/>
    <w:bookmarkEnd w:id="89"/>
    <w:p>
      <w:pPr>
        <w:jc w:val="both"/>
        <w:ind w:left="-8" w:firstLine="8"/>
        <w:spacing w:after="0" w:line="261" w:lineRule="auto"/>
        <w:tabs>
          <w:tab w:leader="none" w:pos="8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At any time that any shares of Series A Junior Participating Preferred Stock are outstanding, the Certificate of Incorporation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Series A Junior Participating Preferred Stock may be issued in fractions of a share that shall entitle the holder,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fractional shares, to exercise voting rights, receive dividends, participate in distributions and to have the benefit of all other rights of holders of Series A Junior Participating Preferred Stock.</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90" w:name="page91"/>
    <w:bookmarkEnd w:id="90"/>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25"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_______ Rights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 EXERCISABLE AFTER AUGUST 16, 2027 OR EARLIER IF UPON AN EXPIRATION DATE, INCLUDING IF NOTICE OF REDEMPTION OR EXCHANGE IS GIVEN. THE RIGHTS ARE SUBJECT TO REDEMPTION AT $0.001 PER RIGHT AND TO EXCHANGE ON THE TERMS SET FORTH IN THE PLAN. </w:t>
      </w:r>
      <w:r>
        <w:rPr>
          <w:rFonts w:ascii="Times New Roman" w:cs="Times New Roman" w:eastAsia="Times New Roman" w:hAnsi="Times New Roman"/>
          <w:sz w:val="18"/>
          <w:szCs w:val="18"/>
          <w:u w:val="single" w:color="auto"/>
          <w:color w:val="auto"/>
        </w:rPr>
        <w:t>UNDER CERTAIN CIRCUMSTANCES (SPECIFIED IN SECTION 11.1.2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PLAN), RIGHTS BENEFICIALLY OWNED BY OR TRANSFERRED TO AN ACQUIRING PERSON (AS DEFINED IN THE PLAN), OR ANY SUBSEQUENT HOLDER OF SUCH RIGHTS WILL BECOME NULL AND VOID AND WILL NO LONGER BE TRANSFERABLE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certifies that ________________, or registered assigns, is the registered owner of the number of Rights set forth above, each of</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entitles the owner thereof, subject to the terms, provisions and conditions of the Tax Benefits Preservation Plan, dated as of August 16, 2024,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 to purchase from the Company at any time after the Distribution Date and prior to 5:00 P.M. (New York time) on August 16, 2027 at the offices of the Rights Agent, or its successors as Rights Agent, designated for such purpose, one one-thousandth of a fully paid, nonassessable share of Series A Junior Participating Preferred Stock, par value $0.01 per share (the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Company, at a purchase price of $7.50 per one one-thousandth of a share of Preferred Stock, subject to adjustment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presentation and surrender of this Right Certificate with the Form of Election to Purchase and certification duly executed. The number of Rights evidenced by this Right Certificate (and the number of one one-thousandths of a share of Preferred Stock which may be purchased upon exercise thereof) set forth above, and the Purchase Price set forth above, are the number and Purchase Price as of August 16, 2024 based on the Preferred Stock as constituted at such date. Capitalized terms used in this Right Certificate without definition shall have the meanings ascribed to them in the Plan. As provided in the Plan, the Purchase Price and the number of shares of Preferred Stock which may be purchased upon the exercise of the Rights evidenced by this Right Certificate are subject to modification and adjustment upon the happening of certain events.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 Certificates. Copies of the Plan are on file at the principal offices of the Company and the Rights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 one-thousandths of a share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Plan, the Board may, at its option, (i) redeem the Rights evidenced by this Right Certificate at a redemption price of $0.001 per Right or (ii) exchange Common Stock for the Rights evidenced by this Certificate, in whole or in part.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fractional Preferred Stock will be issued upon the exercise of any Right or Rights evidenced hereby (other than fractions of Preferred Stock which are integral multiples of one one-thousandth of a share of Preferred Stock, which may, at the election of the Company, be evidenced by depository receipts), but in lieu thereof a cash payment will be made, as provided in the Plan.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Preferred Stock or of any other securities of the Company which may at any time be issuable on the exercise hereof, nor shall anything contained in the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Plan), or to receive dividends or subscription rights, or otherwise, until the Right or Rights evidenced by this Right Certificate shall have been exercised as provided in the Plan.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any term, provision, covenant or restriction of the Plan is held by a court of competent jurisdiction or other authority to be invalid, void or unenforceable, the remainder of the terms, provisions, covenants and restrictions of the Plan shall remain in full force and effect and shall in no way be affected, impaired or invalidated.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Right Certificate shall not be valid or binding for any purpose until it shall have been countersigned by the Rights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9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__________, 2024.</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desires to transfer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sells, assigns and transfers unto_________________________________________________________________________________________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transferee)</w:t>
      </w:r>
    </w:p>
    <w:p>
      <w:pPr>
        <w:spacing w:after="0" w:line="207" w:lineRule="exact"/>
        <w:rPr>
          <w:sz w:val="20"/>
          <w:szCs w:val="20"/>
          <w:color w:val="auto"/>
        </w:rPr>
      </w:pPr>
    </w:p>
    <w:p>
      <w:pPr>
        <w:ind w:left="240" w:right="680" w:hanging="224"/>
        <w:spacing w:after="0" w:line="282" w:lineRule="auto"/>
        <w:rPr>
          <w:sz w:val="20"/>
          <w:szCs w:val="20"/>
          <w:color w:val="auto"/>
        </w:rPr>
      </w:pPr>
      <w:r>
        <w:rPr>
          <w:rFonts w:ascii="Times New Roman" w:cs="Times New Roman" w:eastAsia="Times New Roman" w:hAnsi="Times New Roman"/>
          <w:sz w:val="18"/>
          <w:szCs w:val="18"/>
          <w:color w:val="auto"/>
        </w:rPr>
        <w:t>Rights evidenced by 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6911340</wp:posOffset>
            </wp:positionH>
            <wp:positionV relativeFrom="paragraph">
              <wp:posOffset>-185420</wp:posOffset>
            </wp:positionV>
            <wp:extent cx="2228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428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29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firstLine="1304"/>
        <w:spacing w:after="0" w:line="282" w:lineRule="auto"/>
        <w:tabs>
          <w:tab w:leader="none" w:pos="22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XWELL,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 Rights represented by this Right Certificate to purchase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Preferred Stock issuable upon the exercise of such Rights (or such other securities or property of the Company or of any other Person which may be issuable upon the exercise of the Rights) and requests that certificates for such stock be issued in the name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firstLine="1304"/>
        <w:spacing w:after="0" w:line="282" w:lineRule="auto"/>
        <w:tabs>
          <w:tab w:leader="none" w:pos="22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Form of Election to Purchase is not completed, the Company will deem the Beneficial Owner of the Rights evidenced by this Right Certificate to be an Acquiring Person or an Affiliate or Associate hereof and such Assignment or Election to Purchase will not be honored.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755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6755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381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7381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lowerRoman"/>
      <w:start w:val="2"/>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lvl w:ilvl="1">
      <w:lvlJc w:val="left"/>
      <w:lvlText w:val="o"/>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o"/>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upperLetter"/>
      <w:start w:val="2"/>
    </w:lvl>
  </w:abstractNum>
  <w:abstractNum w:abstractNumId="28">
    <w:nsid w:val="51EAD36B"/>
    <w:multiLevelType w:val="hybridMultilevel"/>
    <w:lvl w:ilvl="0">
      <w:lvlJc w:val="left"/>
      <w:lvlText w:val="(%1)"/>
      <w:numFmt w:val="upperLetter"/>
      <w:start w:val="1"/>
    </w:lvl>
  </w:abstractNum>
  <w:abstractNum w:abstractNumId="29">
    <w:nsid w:val="2D517796"/>
    <w:multiLevelType w:val="hybridMultilevel"/>
    <w:lvl w:ilvl="0">
      <w:lvlJc w:val="left"/>
      <w:lvlText w:val="(%1)"/>
      <w:numFmt w:val="lowerRoman"/>
      <w:start w:val="10"/>
    </w:lvl>
  </w:abstractNum>
  <w:abstractNum w:abstractNumId="30">
    <w:nsid w:val="580BD78F"/>
    <w:multiLevelType w:val="hybridMultilevel"/>
    <w:lvl w:ilvl="0">
      <w:lvlJc w:val="left"/>
      <w:lvlText w:val="(%1)"/>
      <w:numFmt w:val="lowerRoman"/>
      <w:start w:val="10"/>
    </w:lvl>
  </w:abstractNum>
  <w:abstractNum w:abstractNumId="31">
    <w:nsid w:val="153EA438"/>
    <w:multiLevelType w:val="hybridMultilevel"/>
    <w:lvl w:ilvl="0">
      <w:lvlJc w:val="left"/>
      <w:lvlText w:val="(%1)"/>
      <w:numFmt w:val="lowerRoman"/>
      <w:start w:val="6"/>
    </w:lvl>
  </w:abstractNum>
  <w:abstractNum w:abstractNumId="32">
    <w:nsid w:val="3855585C"/>
    <w:multiLevelType w:val="hybridMultilevel"/>
    <w:lvl w:ilvl="0">
      <w:lvlJc w:val="left"/>
      <w:lvlText w:val="(%1)"/>
      <w:numFmt w:val="lowerRoman"/>
      <w:start w:val="3"/>
    </w:lvl>
  </w:abstractNum>
  <w:abstractNum w:abstractNumId="33">
    <w:nsid w:val="70A64E2A"/>
    <w:multiLevelType w:val="hybridMultilevel"/>
    <w:lvl w:ilvl="0">
      <w:lvlJc w:val="left"/>
      <w:lvlText w:val="(%1)"/>
      <w:numFmt w:val="upperLetter"/>
      <w:start w:val="1"/>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Roman"/>
      <w:start w:val="2"/>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2"/>
    </w:lvl>
    <w:lvl w:ilvl="1">
      <w:lvlJc w:val="left"/>
      <w:lvlText w:val="(%2)"/>
      <w:numFmt w:val="upperLetter"/>
      <w:start w:val="1"/>
    </w:lvl>
  </w:abstractNum>
  <w:abstractNum w:abstractNumId="42">
    <w:nsid w:val="542289EC"/>
    <w:multiLevelType w:val="hybridMultilevel"/>
    <w:lvl w:ilvl="0">
      <w:lvlJc w:val="left"/>
      <w:lvlText w:val="%1"/>
      <w:numFmt w:val="upperLetter"/>
      <w:start w:val="1"/>
    </w:lvl>
    <w:lvl w:ilvl="1">
      <w:lvlJc w:val="left"/>
      <w:lvlText w:val="(%2)"/>
      <w:numFmt w:val="upperLetter"/>
      <w:start w:val="2"/>
    </w:lvl>
  </w:abstractNum>
  <w:abstractNum w:abstractNumId="43">
    <w:nsid w:val="6DE91B18"/>
    <w:multiLevelType w:val="hybridMultilevel"/>
    <w:lvl w:ilvl="0">
      <w:lvlJc w:val="left"/>
      <w:lvlText w:val="(%1)"/>
      <w:numFmt w:val="upperLetter"/>
      <w:start w:val="1"/>
    </w:lvl>
    <w:lvl w:ilvl="1">
      <w:lvlJc w:val="left"/>
      <w:lvlText w:val="(%2)"/>
      <w:numFmt w:val="upperLetter"/>
      <w:start w:val="3"/>
    </w:lvl>
  </w:abstractNum>
  <w:abstractNum w:abstractNumId="44">
    <w:nsid w:val="38437FDB"/>
    <w:multiLevelType w:val="hybridMultilevel"/>
    <w:lvl w:ilvl="0">
      <w:lvlJc w:val="left"/>
      <w:lvlText w:val="%1."/>
      <w:numFmt w:val="decimal"/>
      <w:start w:val="3"/>
    </w:lvl>
    <w:lvl w:ilvl="1">
      <w:lvlJc w:val="left"/>
      <w:lvlText w:val="(%2)"/>
      <w:numFmt w:val="upperLetter"/>
      <w:start w:val="1"/>
    </w:lvl>
  </w:abstractNum>
  <w:abstractNum w:abstractNumId="45">
    <w:nsid w:val="7644A45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6">
    <w:nsid w:val="32FFF902"/>
    <w:multiLevelType w:val="hybridMultilevel"/>
    <w:lvl w:ilvl="0">
      <w:lvlJc w:val="left"/>
      <w:lvlText w:val="%1."/>
      <w:numFmt w:val="decimal"/>
      <w:start w:val="5"/>
    </w:lvl>
    <w:lvl w:ilvl="1">
      <w:lvlJc w:val="left"/>
      <w:lvlText w:val="(%2)"/>
      <w:numFmt w:val="upperLetter"/>
      <w:start w:val="1"/>
    </w:lvl>
  </w:abstractNum>
  <w:abstractNum w:abstractNumId="47">
    <w:nsid w:val="684A481A"/>
    <w:multiLevelType w:val="hybridMultilevel"/>
    <w:lvl w:ilvl="0">
      <w:lvlJc w:val="left"/>
      <w:lvlText w:val="%1."/>
      <w:numFmt w:val="decimal"/>
      <w:start w:val="10"/>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2024-08-21T16:03:02Z</dcterms:created>
  <dcterms:modified xsi:type="dcterms:W3CDTF">2024-08-21T16:03:02Z</dcterms:modified>
</cp:coreProperties>
</file>