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Stout Donald E.</w:t>
              </w:r>
            </w:hyperlink>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120" w:type="dxa"/>
            <w:vAlign w:val="bottom"/>
          </w:tcPr>
          <w:p>
            <w:pPr>
              <w:ind w:left="560"/>
              <w:spacing w:after="0"/>
              <w:rPr>
                <w:sz w:val="20"/>
                <w:szCs w:val="20"/>
                <w:color w:val="auto"/>
              </w:rPr>
            </w:pPr>
            <w:r>
              <w:rPr>
                <w:rFonts w:ascii="Arial" w:cs="Arial" w:eastAsia="Arial" w:hAnsi="Arial"/>
                <w:sz w:val="14"/>
                <w:szCs w:val="14"/>
                <w:color w:val="auto"/>
              </w:rPr>
              <w:t>(Middle)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8"/>
                <w:szCs w:val="18"/>
                <w:color w:val="0000FF"/>
              </w:rPr>
              <w:t>C/O VRINGO, INC.,</w:t>
            </w:r>
          </w:p>
        </w:tc>
        <w:tc>
          <w:tcPr>
            <w:tcW w:w="1120" w:type="dxa"/>
            <w:vAlign w:val="bottom"/>
          </w:tcPr>
          <w:p>
            <w:pPr>
              <w:spacing w:after="0"/>
              <w:rPr>
                <w:sz w:val="19"/>
                <w:szCs w:val="19"/>
                <w:color w:val="auto"/>
              </w:rPr>
            </w:pPr>
          </w:p>
        </w:tc>
        <w:tc>
          <w:tcPr>
            <w:tcW w:w="1780" w:type="dxa"/>
            <w:vAlign w:val="bottom"/>
            <w:gridSpan w:val="5"/>
          </w:tcPr>
          <w:p>
            <w:pPr>
              <w:ind w:left="860"/>
              <w:spacing w:after="0"/>
              <w:rPr>
                <w:sz w:val="20"/>
                <w:szCs w:val="20"/>
                <w:color w:val="auto"/>
              </w:rPr>
            </w:pPr>
            <w:r>
              <w:rPr>
                <w:rFonts w:ascii="Arial" w:cs="Arial" w:eastAsia="Arial" w:hAnsi="Arial"/>
                <w:sz w:val="18"/>
                <w:szCs w:val="18"/>
                <w:color w:val="0000FF"/>
                <w:w w:val="99"/>
              </w:rPr>
              <w:t>09/30/2014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4"/>
            <w:vMerge w:val="restart"/>
          </w:tcPr>
          <w:p>
            <w:pPr>
              <w:spacing w:after="0"/>
              <w:rPr>
                <w:sz w:val="20"/>
                <w:szCs w:val="20"/>
                <w:color w:val="auto"/>
              </w:rPr>
            </w:pPr>
            <w:r>
              <w:rPr>
                <w:rFonts w:ascii="Arial" w:cs="Arial" w:eastAsia="Arial" w:hAnsi="Arial"/>
                <w:sz w:val="18"/>
                <w:szCs w:val="18"/>
                <w:color w:val="0000FF"/>
              </w:rPr>
              <w:t>780 THIRD AVENUE, 12TH FLOOR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continue"/>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rPr>
              <w:t>NY</w:t>
            </w:r>
          </w:p>
        </w:tc>
        <w:tc>
          <w:tcPr>
            <w:tcW w:w="1120" w:type="dxa"/>
            <w:vAlign w:val="bottom"/>
          </w:tcPr>
          <w:p>
            <w:pPr>
              <w:ind w:left="560"/>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ind w:left="14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120" w:type="dxa"/>
            <w:vAlign w:val="bottom"/>
          </w:tcPr>
          <w:p>
            <w:pPr>
              <w:ind w:left="560"/>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40" w:type="dxa"/>
            <w:vAlign w:val="bottom"/>
            <w:tcBorders>
              <w:bottom w:val="single" w:sz="8" w:color="2C2C2C"/>
            </w:tcBorders>
            <w:gridSpan w:val="4"/>
          </w:tcPr>
          <w:p>
            <w:pPr>
              <w:jc w:val="right"/>
              <w:ind w:right="115"/>
              <w:spacing w:after="0"/>
              <w:rPr>
                <w:sz w:val="20"/>
                <w:szCs w:val="20"/>
                <w:color w:val="auto"/>
              </w:rPr>
            </w:pPr>
            <w:r>
              <w:rPr>
                <w:rFonts w:ascii="Arial" w:cs="Arial" w:eastAsia="Arial" w:hAnsi="Arial"/>
                <w:sz w:val="18"/>
                <w:szCs w:val="18"/>
                <w:color w:val="0000FF"/>
              </w:rPr>
              <w:t>09/30/2014</w:t>
            </w:r>
          </w:p>
        </w:tc>
        <w:tc>
          <w:tcPr>
            <w:tcW w:w="6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9,375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0.9627</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center"/>
              <w:ind w:right="133"/>
              <w:spacing w:after="0"/>
              <w:rPr>
                <w:sz w:val="20"/>
                <w:szCs w:val="20"/>
                <w:color w:val="auto"/>
              </w:rPr>
            </w:pPr>
            <w:r>
              <w:rPr>
                <w:rFonts w:ascii="Arial" w:cs="Arial" w:eastAsia="Arial" w:hAnsi="Arial"/>
                <w:sz w:val="18"/>
                <w:szCs w:val="18"/>
                <w:color w:val="0000FF"/>
              </w:rPr>
              <w:t>150,000</w:t>
            </w:r>
            <w:r>
              <w:rPr>
                <w:rFonts w:ascii="Arial" w:cs="Arial" w:eastAsia="Arial" w:hAnsi="Arial"/>
                <w:sz w:val="22"/>
                <w:szCs w:val="22"/>
                <w:color w:val="008000"/>
                <w:vertAlign w:val="superscript"/>
              </w:rPr>
              <w:t>(2)</w:t>
            </w:r>
          </w:p>
        </w:tc>
        <w:tc>
          <w:tcPr>
            <w:tcW w:w="10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Donald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8"/>
                <w:szCs w:val="18"/>
                <w:color w:val="0000FF"/>
              </w:rPr>
              <w:t>733,815</w:t>
            </w:r>
          </w:p>
        </w:tc>
        <w:tc>
          <w:tcPr>
            <w:tcW w:w="102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Mary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Stout</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75,000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28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366,178 vested and unvested options and 75,000 vested and unvested restricted stock units. In addition, the reporting person owns (either directly or indirectly) 808,815 shares of common stock and 302,203 warrants. The total number of securities listed is 1,552,196.</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Donald E. Stout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0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2019-12-17T07:25:30Z</dcterms:created>
  <dcterms:modified xsi:type="dcterms:W3CDTF">2019-12-17T07:25:30Z</dcterms:modified>
</cp:coreProperties>
</file>