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142875</wp:posOffset>
            </wp:positionH>
            <wp:positionV relativeFrom="page">
              <wp:posOffset>142875</wp:posOffset>
            </wp:positionV>
            <wp:extent cx="7275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5195" cy="6985"/>
                    </a:xfrm>
                    <a:prstGeom prst="rect">
                      <a:avLst/>
                    </a:prstGeom>
                    <a:noFill/>
                  </pic:spPr>
                </pic:pic>
              </a:graphicData>
            </a:graphic>
          </wp:anchor>
        </w:drawing>
        <w:drawing>
          <wp:anchor simplePos="0" relativeHeight="251657728" behindDoc="1" locked="0" layoutInCell="0" allowOverlap="1">
            <wp:simplePos x="0" y="0"/>
            <wp:positionH relativeFrom="page">
              <wp:posOffset>142875</wp:posOffset>
            </wp:positionH>
            <wp:positionV relativeFrom="page">
              <wp:posOffset>163195</wp:posOffset>
            </wp:positionV>
            <wp:extent cx="7275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5195" cy="6985"/>
                    </a:xfrm>
                    <a:prstGeom prst="rect">
                      <a:avLst/>
                    </a:prstGeom>
                    <a:noFill/>
                  </pic:spPr>
                </pic:pic>
              </a:graphicData>
            </a:graphic>
          </wp:anchor>
        </w:drawing>
        <w:t>UNITED STATES</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2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87630</wp:posOffset>
            </wp:positionV>
            <wp:extent cx="1530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985" cy="6985"/>
                    </a:xfrm>
                    <a:prstGeom prst="rect">
                      <a:avLst/>
                    </a:prstGeom>
                    <a:noFill/>
                  </pic:spPr>
                </pic:pic>
              </a:graphicData>
            </a:graphic>
          </wp:anchor>
        </w:drawing>
      </w:r>
    </w:p>
    <w:p>
      <w:pPr>
        <w:spacing w:after="0" w:line="161" w:lineRule="exact"/>
        <w:rPr>
          <w:sz w:val="24"/>
          <w:szCs w:val="24"/>
          <w:color w:val="auto"/>
        </w:rPr>
      </w:pPr>
    </w:p>
    <w:p>
      <w:pPr>
        <w:jc w:val="center"/>
        <w:ind w:right="-1220"/>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94615</wp:posOffset>
            </wp:positionV>
            <wp:extent cx="15309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985" cy="6985"/>
                    </a:xfrm>
                    <a:prstGeom prst="rect">
                      <a:avLst/>
                    </a:prstGeom>
                    <a:noFill/>
                  </pic:spPr>
                </pic:pic>
              </a:graphicData>
            </a:graphic>
          </wp:anchor>
        </w:drawing>
      </w:r>
    </w:p>
    <w:p>
      <w:pPr>
        <w:spacing w:after="0" w:line="181" w:lineRule="exact"/>
        <w:rPr>
          <w:sz w:val="24"/>
          <w:szCs w:val="24"/>
          <w:color w:val="auto"/>
        </w:rPr>
      </w:pPr>
    </w:p>
    <w:p>
      <w:pPr>
        <w:jc w:val="center"/>
        <w:ind w:right="-1220"/>
        <w:spacing w:after="0"/>
        <w:rPr>
          <w:sz w:val="20"/>
          <w:szCs w:val="20"/>
          <w:color w:val="auto"/>
        </w:rPr>
      </w:pPr>
      <w:r>
        <w:rPr>
          <w:rFonts w:ascii="Arial" w:cs="Arial" w:eastAsia="Arial" w:hAnsi="Arial"/>
          <w:sz w:val="19"/>
          <w:szCs w:val="19"/>
          <w:b w:val="1"/>
          <w:bCs w:val="1"/>
          <w:color w:val="auto"/>
        </w:rPr>
        <w:t>CURRENT REPORT</w:t>
      </w:r>
    </w:p>
    <w:p>
      <w:pPr>
        <w:spacing w:after="0" w:line="135"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Pursuant to Section 13 or Section 15(d) of the</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Securities Exchange Act of 1934</w:t>
      </w:r>
    </w:p>
    <w:p>
      <w:pPr>
        <w:spacing w:after="0" w:line="107"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Date of Report (Date of earliest event reported): March 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92075</wp:posOffset>
            </wp:positionV>
            <wp:extent cx="1530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985" cy="6985"/>
                    </a:xfrm>
                    <a:prstGeom prst="rect">
                      <a:avLst/>
                    </a:prstGeom>
                    <a:noFill/>
                  </pic:spPr>
                </pic:pic>
              </a:graphicData>
            </a:graphic>
          </wp:anchor>
        </w:drawing>
      </w:r>
    </w:p>
    <w:p>
      <w:pPr>
        <w:spacing w:after="0" w:line="167" w:lineRule="exact"/>
        <w:rPr>
          <w:sz w:val="24"/>
          <w:szCs w:val="24"/>
          <w:color w:val="auto"/>
        </w:rPr>
      </w:pPr>
    </w:p>
    <w:p>
      <w:pPr>
        <w:jc w:val="center"/>
        <w:ind w:right="-1220"/>
        <w:spacing w:after="0"/>
        <w:rPr>
          <w:sz w:val="20"/>
          <w:szCs w:val="20"/>
          <w:color w:val="auto"/>
        </w:rPr>
      </w:pPr>
      <w:r>
        <w:rPr>
          <w:rFonts w:ascii="Arial" w:cs="Arial" w:eastAsia="Arial" w:hAnsi="Arial"/>
          <w:sz w:val="34"/>
          <w:szCs w:val="34"/>
          <w:b w:val="1"/>
          <w:bCs w:val="1"/>
          <w:color w:val="auto"/>
        </w:rPr>
        <w:t>VRINGO, INC.</w:t>
      </w:r>
    </w:p>
    <w:p>
      <w:pPr>
        <w:spacing w:after="0" w:line="41"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91440</wp:posOffset>
            </wp:positionV>
            <wp:extent cx="15309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985" cy="6985"/>
                    </a:xfrm>
                    <a:prstGeom prst="rect">
                      <a:avLst/>
                    </a:prstGeom>
                    <a:noFill/>
                  </pic:spPr>
                </pic:pic>
              </a:graphicData>
            </a:graphic>
          </wp:anchor>
        </w:drawing>
      </w:r>
    </w:p>
    <w:p>
      <w:pPr>
        <w:spacing w:after="0" w:line="208" w:lineRule="exact"/>
        <w:rPr>
          <w:sz w:val="24"/>
          <w:szCs w:val="24"/>
          <w:color w:val="auto"/>
        </w:rPr>
      </w:pPr>
    </w:p>
    <w:tbl>
      <w:tblPr>
        <w:tblLayout w:type="fixed"/>
        <w:tblInd w:w="1340" w:type="dxa"/>
        <w:tblCellMar>
          <w:top w:w="0" w:type="dxa"/>
          <w:left w:w="0" w:type="dxa"/>
          <w:bottom w:w="0" w:type="dxa"/>
          <w:right w:w="0" w:type="dxa"/>
        </w:tblCellMar>
      </w:tblPr>
      <w:tr>
        <w:trPr>
          <w:trHeight w:val="171"/>
        </w:trPr>
        <w:tc>
          <w:tcPr>
            <w:tcW w:w="142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Delaware</w:t>
            </w:r>
          </w:p>
        </w:tc>
        <w:tc>
          <w:tcPr>
            <w:tcW w:w="5720" w:type="dxa"/>
            <w:vAlign w:val="bottom"/>
          </w:tcPr>
          <w:p>
            <w:pPr>
              <w:jc w:val="center"/>
              <w:ind w:left="438"/>
              <w:spacing w:after="0"/>
              <w:rPr>
                <w:sz w:val="20"/>
                <w:szCs w:val="20"/>
                <w:color w:val="auto"/>
              </w:rPr>
            </w:pPr>
            <w:r>
              <w:rPr>
                <w:rFonts w:ascii="Arial" w:cs="Arial" w:eastAsia="Arial" w:hAnsi="Arial"/>
                <w:sz w:val="14"/>
                <w:szCs w:val="14"/>
                <w:b w:val="1"/>
                <w:bCs w:val="1"/>
                <w:color w:val="auto"/>
                <w:w w:val="89"/>
              </w:rPr>
              <w:t>1-34785</w:t>
            </w:r>
          </w:p>
        </w:tc>
        <w:tc>
          <w:tcPr>
            <w:tcW w:w="1580" w:type="dxa"/>
            <w:vAlign w:val="bottom"/>
          </w:tcPr>
          <w:p>
            <w:pPr>
              <w:jc w:val="right"/>
              <w:ind w:right="40"/>
              <w:spacing w:after="0"/>
              <w:rPr>
                <w:sz w:val="20"/>
                <w:szCs w:val="20"/>
                <w:color w:val="auto"/>
              </w:rPr>
            </w:pPr>
            <w:r>
              <w:rPr>
                <w:rFonts w:ascii="Arial" w:cs="Arial" w:eastAsia="Arial" w:hAnsi="Arial"/>
                <w:sz w:val="14"/>
                <w:szCs w:val="14"/>
                <w:b w:val="1"/>
                <w:bCs w:val="1"/>
                <w:color w:val="auto"/>
              </w:rPr>
              <w:t>20-4988129</w:t>
            </w:r>
          </w:p>
        </w:tc>
      </w:tr>
      <w:tr>
        <w:trPr>
          <w:trHeight w:val="117"/>
        </w:trPr>
        <w:tc>
          <w:tcPr>
            <w:tcW w:w="1420" w:type="dxa"/>
            <w:vAlign w:val="bottom"/>
          </w:tcPr>
          <w:p>
            <w:pPr>
              <w:jc w:val="center"/>
              <w:ind w:right="141"/>
              <w:spacing w:after="0" w:line="117" w:lineRule="exact"/>
              <w:rPr>
                <w:sz w:val="20"/>
                <w:szCs w:val="20"/>
                <w:color w:val="auto"/>
              </w:rPr>
            </w:pPr>
            <w:r>
              <w:rPr>
                <w:rFonts w:ascii="Arial" w:cs="Arial" w:eastAsia="Arial" w:hAnsi="Arial"/>
                <w:sz w:val="11"/>
                <w:szCs w:val="11"/>
                <w:b w:val="1"/>
                <w:bCs w:val="1"/>
                <w:color w:val="auto"/>
                <w:w w:val="88"/>
              </w:rPr>
              <w:t>(State or other jurisdiction</w:t>
            </w:r>
          </w:p>
        </w:tc>
        <w:tc>
          <w:tcPr>
            <w:tcW w:w="5720" w:type="dxa"/>
            <w:vAlign w:val="bottom"/>
          </w:tcPr>
          <w:p>
            <w:pPr>
              <w:jc w:val="center"/>
              <w:ind w:left="418"/>
              <w:spacing w:after="0" w:line="117" w:lineRule="exact"/>
              <w:rPr>
                <w:sz w:val="20"/>
                <w:szCs w:val="20"/>
                <w:color w:val="auto"/>
              </w:rPr>
            </w:pPr>
            <w:r>
              <w:rPr>
                <w:rFonts w:ascii="Arial" w:cs="Arial" w:eastAsia="Arial" w:hAnsi="Arial"/>
                <w:sz w:val="11"/>
                <w:szCs w:val="11"/>
                <w:b w:val="1"/>
                <w:bCs w:val="1"/>
                <w:color w:val="auto"/>
                <w:w w:val="86"/>
              </w:rPr>
              <w:t>(Commission</w:t>
            </w:r>
          </w:p>
        </w:tc>
        <w:tc>
          <w:tcPr>
            <w:tcW w:w="1580" w:type="dxa"/>
            <w:vAlign w:val="bottom"/>
          </w:tcPr>
          <w:p>
            <w:pPr>
              <w:jc w:val="center"/>
              <w:ind w:left="660"/>
              <w:spacing w:after="0" w:line="117" w:lineRule="exact"/>
              <w:rPr>
                <w:sz w:val="20"/>
                <w:szCs w:val="20"/>
                <w:color w:val="auto"/>
              </w:rPr>
            </w:pPr>
            <w:r>
              <w:rPr>
                <w:rFonts w:ascii="Arial" w:cs="Arial" w:eastAsia="Arial" w:hAnsi="Arial"/>
                <w:sz w:val="11"/>
                <w:szCs w:val="11"/>
                <w:b w:val="1"/>
                <w:bCs w:val="1"/>
                <w:color w:val="auto"/>
                <w:w w:val="93"/>
              </w:rPr>
              <w:t>(IRS Employer</w:t>
            </w:r>
          </w:p>
        </w:tc>
      </w:tr>
      <w:tr>
        <w:trPr>
          <w:trHeight w:val="139"/>
        </w:trPr>
        <w:tc>
          <w:tcPr>
            <w:tcW w:w="1420" w:type="dxa"/>
            <w:vAlign w:val="bottom"/>
          </w:tcPr>
          <w:p>
            <w:pPr>
              <w:jc w:val="center"/>
              <w:ind w:right="141"/>
              <w:spacing w:after="0"/>
              <w:rPr>
                <w:sz w:val="20"/>
                <w:szCs w:val="20"/>
                <w:color w:val="auto"/>
              </w:rPr>
            </w:pPr>
            <w:r>
              <w:rPr>
                <w:rFonts w:ascii="Arial" w:cs="Arial" w:eastAsia="Arial" w:hAnsi="Arial"/>
                <w:sz w:val="11"/>
                <w:szCs w:val="11"/>
                <w:b w:val="1"/>
                <w:bCs w:val="1"/>
                <w:color w:val="auto"/>
                <w:w w:val="88"/>
              </w:rPr>
              <w:t>of incorporation)</w:t>
            </w:r>
          </w:p>
        </w:tc>
        <w:tc>
          <w:tcPr>
            <w:tcW w:w="5720" w:type="dxa"/>
            <w:vAlign w:val="bottom"/>
          </w:tcPr>
          <w:p>
            <w:pPr>
              <w:jc w:val="center"/>
              <w:ind w:left="418"/>
              <w:spacing w:after="0"/>
              <w:rPr>
                <w:sz w:val="20"/>
                <w:szCs w:val="20"/>
                <w:color w:val="auto"/>
              </w:rPr>
            </w:pPr>
            <w:r>
              <w:rPr>
                <w:rFonts w:ascii="Arial" w:cs="Arial" w:eastAsia="Arial" w:hAnsi="Arial"/>
                <w:sz w:val="11"/>
                <w:szCs w:val="11"/>
                <w:b w:val="1"/>
                <w:bCs w:val="1"/>
                <w:color w:val="auto"/>
                <w:w w:val="89"/>
              </w:rPr>
              <w:t>File Number)</w:t>
            </w:r>
          </w:p>
        </w:tc>
        <w:tc>
          <w:tcPr>
            <w:tcW w:w="1580" w:type="dxa"/>
            <w:vAlign w:val="bottom"/>
          </w:tcPr>
          <w:p>
            <w:pPr>
              <w:jc w:val="center"/>
              <w:ind w:left="680"/>
              <w:spacing w:after="0"/>
              <w:rPr>
                <w:sz w:val="20"/>
                <w:szCs w:val="20"/>
                <w:color w:val="auto"/>
              </w:rPr>
            </w:pPr>
            <w:r>
              <w:rPr>
                <w:rFonts w:ascii="Arial" w:cs="Arial" w:eastAsia="Arial" w:hAnsi="Arial"/>
                <w:sz w:val="11"/>
                <w:szCs w:val="11"/>
                <w:b w:val="1"/>
                <w:bCs w:val="1"/>
                <w:color w:val="auto"/>
                <w:w w:val="90"/>
              </w:rPr>
              <w:t>Identification No.)</w:t>
            </w:r>
          </w:p>
        </w:tc>
      </w:tr>
      <w:tr>
        <w:trPr>
          <w:trHeight w:val="330"/>
        </w:trPr>
        <w:tc>
          <w:tcPr>
            <w:tcW w:w="1420" w:type="dxa"/>
            <w:vAlign w:val="bottom"/>
          </w:tcPr>
          <w:p>
            <w:pPr>
              <w:spacing w:after="0"/>
              <w:rPr>
                <w:sz w:val="24"/>
                <w:szCs w:val="24"/>
                <w:color w:val="auto"/>
              </w:rPr>
            </w:pPr>
          </w:p>
        </w:tc>
        <w:tc>
          <w:tcPr>
            <w:tcW w:w="5720" w:type="dxa"/>
            <w:vAlign w:val="bottom"/>
          </w:tcPr>
          <w:p>
            <w:pPr>
              <w:jc w:val="center"/>
              <w:ind w:right="3478"/>
              <w:spacing w:after="0"/>
              <w:rPr>
                <w:sz w:val="20"/>
                <w:szCs w:val="20"/>
                <w:color w:val="auto"/>
              </w:rPr>
            </w:pPr>
            <w:r>
              <w:rPr>
                <w:rFonts w:ascii="Arial" w:cs="Arial" w:eastAsia="Arial" w:hAnsi="Arial"/>
                <w:sz w:val="14"/>
                <w:szCs w:val="14"/>
                <w:b w:val="1"/>
                <w:bCs w:val="1"/>
                <w:color w:val="auto"/>
                <w:w w:val="90"/>
              </w:rPr>
              <w:t>18 East 16th Street, 7th Floor</w:t>
            </w:r>
          </w:p>
        </w:tc>
        <w:tc>
          <w:tcPr>
            <w:tcW w:w="1580" w:type="dxa"/>
            <w:vAlign w:val="bottom"/>
          </w:tcPr>
          <w:p>
            <w:pPr>
              <w:spacing w:after="0"/>
              <w:rPr>
                <w:sz w:val="24"/>
                <w:szCs w:val="24"/>
                <w:color w:val="auto"/>
              </w:rPr>
            </w:pPr>
          </w:p>
        </w:tc>
      </w:tr>
      <w:tr>
        <w:trPr>
          <w:trHeight w:val="182"/>
        </w:trPr>
        <w:tc>
          <w:tcPr>
            <w:tcW w:w="1420" w:type="dxa"/>
            <w:vAlign w:val="bottom"/>
          </w:tcPr>
          <w:p>
            <w:pPr>
              <w:spacing w:after="0"/>
              <w:rPr>
                <w:sz w:val="15"/>
                <w:szCs w:val="15"/>
                <w:color w:val="auto"/>
              </w:rPr>
            </w:pPr>
          </w:p>
        </w:tc>
        <w:tc>
          <w:tcPr>
            <w:tcW w:w="5720" w:type="dxa"/>
            <w:vAlign w:val="bottom"/>
          </w:tcPr>
          <w:p>
            <w:pPr>
              <w:jc w:val="center"/>
              <w:ind w:right="3478"/>
              <w:spacing w:after="0"/>
              <w:rPr>
                <w:sz w:val="20"/>
                <w:szCs w:val="20"/>
                <w:color w:val="auto"/>
              </w:rPr>
            </w:pPr>
            <w:r>
              <w:rPr>
                <w:rFonts w:ascii="Arial" w:cs="Arial" w:eastAsia="Arial" w:hAnsi="Arial"/>
                <w:sz w:val="14"/>
                <w:szCs w:val="14"/>
                <w:b w:val="1"/>
                <w:bCs w:val="1"/>
                <w:color w:val="auto"/>
                <w:w w:val="93"/>
              </w:rPr>
              <w:t>New York, New York</w:t>
            </w:r>
          </w:p>
        </w:tc>
        <w:tc>
          <w:tcPr>
            <w:tcW w:w="1580" w:type="dxa"/>
            <w:vAlign w:val="bottom"/>
          </w:tcPr>
          <w:p>
            <w:pPr>
              <w:jc w:val="right"/>
              <w:ind w:right="200"/>
              <w:spacing w:after="0"/>
              <w:rPr>
                <w:sz w:val="20"/>
                <w:szCs w:val="20"/>
                <w:color w:val="auto"/>
              </w:rPr>
            </w:pPr>
            <w:r>
              <w:rPr>
                <w:rFonts w:ascii="Arial" w:cs="Arial" w:eastAsia="Arial" w:hAnsi="Arial"/>
                <w:sz w:val="14"/>
                <w:szCs w:val="14"/>
                <w:b w:val="1"/>
                <w:bCs w:val="1"/>
                <w:color w:val="auto"/>
              </w:rPr>
              <w:t>10003</w:t>
            </w:r>
          </w:p>
        </w:tc>
      </w:tr>
      <w:tr>
        <w:trPr>
          <w:trHeight w:val="139"/>
        </w:trPr>
        <w:tc>
          <w:tcPr>
            <w:tcW w:w="1420" w:type="dxa"/>
            <w:vAlign w:val="bottom"/>
          </w:tcPr>
          <w:p>
            <w:pPr>
              <w:spacing w:after="0"/>
              <w:rPr>
                <w:sz w:val="12"/>
                <w:szCs w:val="12"/>
                <w:color w:val="auto"/>
              </w:rPr>
            </w:pPr>
          </w:p>
        </w:tc>
        <w:tc>
          <w:tcPr>
            <w:tcW w:w="5720" w:type="dxa"/>
            <w:vAlign w:val="bottom"/>
          </w:tcPr>
          <w:p>
            <w:pPr>
              <w:jc w:val="center"/>
              <w:ind w:right="3478"/>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1580" w:type="dxa"/>
            <w:vAlign w:val="bottom"/>
          </w:tcPr>
          <w:p>
            <w:pPr>
              <w:jc w:val="center"/>
              <w:ind w:left="660"/>
              <w:spacing w:after="0"/>
              <w:rPr>
                <w:sz w:val="20"/>
                <w:szCs w:val="20"/>
                <w:color w:val="auto"/>
              </w:rPr>
            </w:pPr>
            <w:r>
              <w:rPr>
                <w:rFonts w:ascii="Arial" w:cs="Arial" w:eastAsia="Arial" w:hAnsi="Arial"/>
                <w:sz w:val="11"/>
                <w:szCs w:val="11"/>
                <w:b w:val="1"/>
                <w:bCs w:val="1"/>
                <w:color w:val="auto"/>
                <w:w w:val="91"/>
              </w:rPr>
              <w:t>(Zip Code)</w:t>
            </w:r>
          </w:p>
        </w:tc>
      </w:tr>
      <w:tr>
        <w:trPr>
          <w:trHeight w:val="285"/>
        </w:trPr>
        <w:tc>
          <w:tcPr>
            <w:tcW w:w="1420" w:type="dxa"/>
            <w:vAlign w:val="bottom"/>
          </w:tcPr>
          <w:p>
            <w:pPr>
              <w:spacing w:after="0"/>
              <w:rPr>
                <w:sz w:val="24"/>
                <w:szCs w:val="24"/>
                <w:color w:val="auto"/>
              </w:rPr>
            </w:pPr>
          </w:p>
        </w:tc>
        <w:tc>
          <w:tcPr>
            <w:tcW w:w="5720" w:type="dxa"/>
            <w:vAlign w:val="bottom"/>
          </w:tcPr>
          <w:p>
            <w:pPr>
              <w:ind w:left="980"/>
              <w:spacing w:after="0"/>
              <w:rPr>
                <w:sz w:val="20"/>
                <w:szCs w:val="20"/>
                <w:color w:val="auto"/>
              </w:rPr>
            </w:pPr>
            <w:r>
              <w:rPr>
                <w:rFonts w:ascii="Arial" w:cs="Arial" w:eastAsia="Arial" w:hAnsi="Arial"/>
                <w:sz w:val="14"/>
                <w:szCs w:val="14"/>
                <w:b w:val="1"/>
                <w:bCs w:val="1"/>
                <w:color w:val="auto"/>
              </w:rPr>
              <w:t>Registrant’s telephone number, including area code: (646) 525-4319</w:t>
            </w:r>
          </w:p>
        </w:tc>
        <w:tc>
          <w:tcPr>
            <w:tcW w:w="1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83185</wp:posOffset>
            </wp:positionV>
            <wp:extent cx="15309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985" cy="698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to the registrant under any of the following provisions:</w:t>
      </w:r>
    </w:p>
    <w:p>
      <w:pPr>
        <w:spacing w:after="0" w:line="85"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73" w:lineRule="exact"/>
        <w:rPr>
          <w:rFonts w:ascii="MS PGothic" w:cs="MS PGothic" w:eastAsia="MS PGothic" w:hAnsi="MS PGothic"/>
          <w:sz w:val="14"/>
          <w:szCs w:val="14"/>
          <w:color w:val="auto"/>
        </w:rPr>
      </w:pPr>
    </w:p>
    <w:p>
      <w:pPr>
        <w:ind w:left="460" w:hanging="455"/>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73" w:lineRule="exact"/>
        <w:rPr>
          <w:rFonts w:ascii="MS PGothic" w:cs="MS PGothic" w:eastAsia="MS PGothic" w:hAnsi="MS PGothic"/>
          <w:sz w:val="14"/>
          <w:szCs w:val="14"/>
          <w:color w:val="auto"/>
        </w:rPr>
      </w:pPr>
    </w:p>
    <w:p>
      <w:pPr>
        <w:ind w:left="460" w:hanging="455"/>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73" w:lineRule="exact"/>
        <w:rPr>
          <w:rFonts w:ascii="MS PGothic" w:cs="MS PGothic" w:eastAsia="MS PGothic" w:hAnsi="MS PGothic"/>
          <w:sz w:val="14"/>
          <w:szCs w:val="14"/>
          <w:color w:val="auto"/>
        </w:rPr>
      </w:pPr>
    </w:p>
    <w:p>
      <w:pPr>
        <w:ind w:left="460" w:hanging="455"/>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75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92075</wp:posOffset>
            </wp:positionV>
            <wp:extent cx="72751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6985"/>
                    </a:xfrm>
                    <a:prstGeom prst="rect">
                      <a:avLst/>
                    </a:prstGeom>
                    <a:noFill/>
                  </pic:spPr>
                </pic:pic>
              </a:graphicData>
            </a:graphic>
          </wp:anchor>
        </w:drawing>
      </w:r>
    </w:p>
    <w:p>
      <w:pPr>
        <w:sectPr>
          <w:pgSz w:w="11900" w:h="16838" w:orient="portrait"/>
          <w:cols w:equalWidth="0" w:num="1">
            <w:col w:w="10239"/>
          </w:cols>
          <w:pgMar w:left="220" w:top="278"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4565" cy="33020"/>
                    </a:xfrm>
                    <a:prstGeom prst="rect">
                      <a:avLst/>
                    </a:prstGeom>
                    <a:noFill/>
                  </pic:spPr>
                </pic:pic>
              </a:graphicData>
            </a:graphic>
          </wp:anchor>
        </w:drawing>
        <w:t>Item 7.01 Regulation FD Disclosure.</w:t>
      </w:r>
    </w:p>
    <w:p>
      <w:pPr>
        <w:spacing w:after="0" w:line="78" w:lineRule="exact"/>
        <w:rPr>
          <w:sz w:val="20"/>
          <w:szCs w:val="20"/>
          <w:color w:val="auto"/>
        </w:rPr>
      </w:pPr>
    </w:p>
    <w:p>
      <w:pPr>
        <w:ind w:firstLine="458"/>
        <w:spacing w:after="0" w:line="276" w:lineRule="auto"/>
        <w:rPr>
          <w:sz w:val="20"/>
          <w:szCs w:val="20"/>
          <w:color w:val="auto"/>
        </w:rPr>
      </w:pPr>
      <w:r>
        <w:rPr>
          <w:rFonts w:ascii="Arial" w:cs="Arial" w:eastAsia="Arial" w:hAnsi="Arial"/>
          <w:sz w:val="14"/>
          <w:szCs w:val="14"/>
          <w:color w:val="auto"/>
        </w:rPr>
        <w:t>On March 9, 2011, senior management of Vringo, Inc. (the “Company”) delivered a presentation at the Wedbush Securities 2011 Technology, Media &amp; Telecommunications Conference. A copy of the presentation materials used at the conference is furnished herewith as Exhibit 99.1.</w:t>
      </w:r>
    </w:p>
    <w:p>
      <w:pPr>
        <w:spacing w:after="0" w:line="99"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color w:val="auto"/>
        </w:rPr>
        <w:t>The information contained in this Current Report on Form 8-K, including Exhibit 99.1, shall not be deemed “filed” for purposes of Section 18 of the Securities Exchange Act of 1934, as amended (the “Exchange Act”), and shall not be deemed to be incorporated by reference into any filings under the Securities Act of 1933, as amended, or the Exchange Act, except to the extent the Company specifically incorporates the information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2"/>
          <w:szCs w:val="12"/>
          <w:color w:val="auto"/>
        </w:rPr>
        <w:t>Presentation Materials for the Wedbush Securities 2011 Technology, Media &amp; Telecommunications Conference</w:t>
      </w:r>
    </w:p>
    <w:p>
      <w:pPr>
        <w:sectPr>
          <w:pgSz w:w="11900" w:h="16838" w:orient="portrait"/>
          <w:cols w:equalWidth="0" w:num="1">
            <w:col w:w="11340"/>
          </w:cols>
          <w:pgMar w:left="220" w:top="245" w:right="339" w:bottom="1440" w:gutter="0" w:footer="0" w:header="0"/>
        </w:sectPr>
      </w:pPr>
    </w:p>
    <w:bookmarkStart w:id="2" w:name="page3"/>
    <w:bookmarkEnd w:id="2"/>
    <w:p>
      <w:pPr>
        <w:jc w:val="center"/>
        <w:ind w:right="-9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4565" cy="33020"/>
                    </a:xfrm>
                    <a:prstGeom prst="rect">
                      <a:avLst/>
                    </a:prstGeom>
                    <a:noFill/>
                  </pic:spPr>
                </pic:pic>
              </a:graphicData>
            </a:graphic>
          </wp:anchor>
        </w:drawing>
        <w:t>SIGNATURE</w:t>
      </w:r>
    </w:p>
    <w:p>
      <w:pPr>
        <w:spacing w:after="0" w:line="142"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Dated: March 9, 2011</w:t>
      </w:r>
      <w:r>
        <w:rPr>
          <w:sz w:val="20"/>
          <w:szCs w:val="20"/>
          <w:color w:val="auto"/>
        </w:rPr>
        <w:tab/>
      </w:r>
      <w:r>
        <w:rPr>
          <w:rFonts w:ascii="Arial" w:cs="Arial" w:eastAsia="Arial" w:hAnsi="Arial"/>
          <w:sz w:val="14"/>
          <w:szCs w:val="14"/>
          <w:b w:val="1"/>
          <w:bCs w:val="1"/>
          <w:color w:val="auto"/>
        </w:rPr>
        <w:t>VRINGO, INC.</w:t>
      </w:r>
    </w:p>
    <w:p>
      <w:pPr>
        <w:spacing w:after="0" w:line="184" w:lineRule="exact"/>
        <w:rPr>
          <w:sz w:val="20"/>
          <w:szCs w:val="20"/>
          <w:color w:val="auto"/>
        </w:rPr>
      </w:pPr>
    </w:p>
    <w:p>
      <w:pPr>
        <w:ind w:left="5400"/>
        <w:spacing w:after="0"/>
        <w:tabs>
          <w:tab w:leader="none" w:pos="5740" w:val="left"/>
        </w:tabs>
        <w:rPr>
          <w:sz w:val="20"/>
          <w:szCs w:val="20"/>
          <w:color w:val="auto"/>
        </w:rPr>
      </w:pPr>
      <w:r>
        <w:rPr>
          <w:rFonts w:ascii="Arial" w:cs="Arial" w:eastAsia="Arial" w:hAnsi="Arial"/>
          <w:sz w:val="14"/>
          <w:szCs w:val="14"/>
          <w:color w:val="auto"/>
        </w:rPr>
        <w:t>By:</w:t>
        <w:tab/>
        <w:t>/s/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10795</wp:posOffset>
            </wp:positionV>
            <wp:extent cx="36239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3945" cy="6985"/>
                    </a:xfrm>
                    <a:prstGeom prst="rect">
                      <a:avLst/>
                    </a:prstGeom>
                    <a:noFill/>
                  </pic:spPr>
                </pic:pic>
              </a:graphicData>
            </a:graphic>
          </wp:anchor>
        </w:drawing>
      </w:r>
    </w:p>
    <w:p>
      <w:pPr>
        <w:spacing w:after="0" w:line="11" w:lineRule="exact"/>
        <w:rPr>
          <w:sz w:val="20"/>
          <w:szCs w:val="20"/>
          <w:color w:val="auto"/>
        </w:rPr>
      </w:pPr>
    </w:p>
    <w:p>
      <w:pPr>
        <w:ind w:left="5760"/>
        <w:spacing w:after="0"/>
        <w:tabs>
          <w:tab w:leader="none" w:pos="6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Andrew Perlman</w:t>
      </w:r>
    </w:p>
    <w:p>
      <w:pPr>
        <w:spacing w:after="0" w:line="15" w:lineRule="exact"/>
        <w:rPr>
          <w:sz w:val="20"/>
          <w:szCs w:val="20"/>
          <w:color w:val="auto"/>
        </w:rPr>
      </w:pPr>
    </w:p>
    <w:p>
      <w:pPr>
        <w:ind w:left="5760"/>
        <w:spacing w:after="0"/>
        <w:tabs>
          <w:tab w:leader="none" w:pos="6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President</w:t>
      </w:r>
    </w:p>
    <w:p>
      <w:pPr>
        <w:sectPr>
          <w:pgSz w:w="11900" w:h="16838" w:orient="portrait"/>
          <w:cols w:equalWidth="0" w:num="1">
            <w:col w:w="10560"/>
          </w:cols>
          <w:pgMar w:left="220" w:top="245" w:right="1119" w:bottom="1440" w:gutter="0" w:footer="0" w:header="0"/>
        </w:sectPr>
      </w:pPr>
    </w:p>
    <w:bookmarkStart w:id="3" w:name="page4"/>
    <w:bookmarkEnd w:id="3"/>
    <w:p>
      <w:pPr>
        <w:ind w:left="806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210820</wp:posOffset>
            </wp:positionH>
            <wp:positionV relativeFrom="page">
              <wp:posOffset>156845</wp:posOffset>
            </wp:positionV>
            <wp:extent cx="6510020" cy="4884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510020" cy="4884420"/>
                    </a:xfrm>
                    <a:prstGeom prst="rect">
                      <a:avLst/>
                    </a:prstGeom>
                    <a:noFill/>
                  </pic:spPr>
                </pic:pic>
              </a:graphicData>
            </a:graphic>
          </wp:anchor>
        </w:drawing>
        <w:t>Exhibit 99.1</w:t>
      </w:r>
    </w:p>
    <w:p>
      <w:pPr>
        <w:ind w:left="4720"/>
        <w:spacing w:after="0"/>
        <w:rPr>
          <w:sz w:val="20"/>
          <w:szCs w:val="20"/>
          <w:color w:val="auto"/>
        </w:rPr>
      </w:pPr>
      <w:r>
        <w:rPr>
          <w:rFonts w:ascii="Arial" w:cs="Arial" w:eastAsia="Arial" w:hAnsi="Arial"/>
          <w:sz w:val="39"/>
          <w:szCs w:val="39"/>
          <w:b w:val="1"/>
          <w:bCs w:val="1"/>
          <w:color w:val="FFFFFF"/>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920"/>
        <w:spacing w:after="0"/>
        <w:rPr>
          <w:sz w:val="20"/>
          <w:szCs w:val="20"/>
          <w:color w:val="auto"/>
        </w:rPr>
      </w:pPr>
      <w:r>
        <w:rPr>
          <w:rFonts w:ascii="Arial" w:cs="Arial" w:eastAsia="Arial" w:hAnsi="Arial"/>
          <w:sz w:val="34"/>
          <w:szCs w:val="34"/>
          <w:b w:val="1"/>
          <w:bCs w:val="1"/>
          <w:color w:val="FFFFFF"/>
        </w:rPr>
        <w:t>March 9, 2011</w:t>
      </w:r>
    </w:p>
    <w:p>
      <w:pPr>
        <w:spacing w:after="0" w:line="62" w:lineRule="exact"/>
        <w:rPr>
          <w:sz w:val="20"/>
          <w:szCs w:val="20"/>
          <w:color w:val="auto"/>
        </w:rPr>
      </w:pPr>
    </w:p>
    <w:p>
      <w:pPr>
        <w:ind w:left="4200"/>
        <w:spacing w:after="0"/>
        <w:rPr>
          <w:sz w:val="20"/>
          <w:szCs w:val="20"/>
          <w:color w:val="auto"/>
        </w:rPr>
      </w:pPr>
      <w:r>
        <w:rPr>
          <w:rFonts w:ascii="Arial" w:cs="Arial" w:eastAsia="Arial" w:hAnsi="Arial"/>
          <w:sz w:val="34"/>
          <w:szCs w:val="34"/>
          <w:b w:val="1"/>
          <w:bCs w:val="1"/>
          <w:color w:val="FFFFFF"/>
        </w:rPr>
        <w:t>Wedbush Investment Conference</w:t>
      </w:r>
    </w:p>
    <w:p>
      <w:pPr>
        <w:sectPr>
          <w:pgSz w:w="11900" w:h="16838" w:orient="portrait"/>
          <w:cols w:equalWidth="0" w:num="1">
            <w:col w:w="9600"/>
          </w:cols>
          <w:pgMar w:left="1440" w:top="280" w:right="859" w:bottom="1440" w:gutter="0" w:footer="0" w:header="0"/>
        </w:sectPr>
      </w:pPr>
    </w:p>
    <w:bookmarkStart w:id="4" w:name="page5"/>
    <w:bookmarkEnd w:id="4"/>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Safe Harbor Statement</w:t>
      </w:r>
    </w:p>
    <w:p>
      <w:pPr>
        <w:spacing w:after="0" w:line="338" w:lineRule="exact"/>
        <w:rPr>
          <w:sz w:val="20"/>
          <w:szCs w:val="20"/>
          <w:color w:val="auto"/>
        </w:rPr>
      </w:pPr>
    </w:p>
    <w:p>
      <w:pPr>
        <w:ind w:left="20" w:right="320"/>
        <w:spacing w:after="0" w:line="251" w:lineRule="auto"/>
        <w:rPr>
          <w:sz w:val="20"/>
          <w:szCs w:val="20"/>
          <w:color w:val="auto"/>
        </w:rPr>
      </w:pPr>
      <w:r>
        <w:rPr>
          <w:rFonts w:ascii="Arial" w:cs="Arial" w:eastAsia="Arial" w:hAnsi="Arial"/>
          <w:sz w:val="26"/>
          <w:szCs w:val="26"/>
          <w:color w:val="auto"/>
        </w:rPr>
        <w:t>This presentation contains certain statements that may be deemedto be “forward-looking statements”within the meaning of Section 27A of the Securities Act of 1933, as amended, and Section 21E of the Securities Exchange Act of 1934, as amended.</w:t>
      </w:r>
    </w:p>
    <w:p>
      <w:pPr>
        <w:spacing w:after="0" w:line="161" w:lineRule="exact"/>
        <w:rPr>
          <w:sz w:val="20"/>
          <w:szCs w:val="20"/>
          <w:color w:val="auto"/>
        </w:rPr>
      </w:pPr>
    </w:p>
    <w:p>
      <w:pPr>
        <w:ind w:left="20" w:right="80"/>
        <w:spacing w:after="0" w:line="247" w:lineRule="auto"/>
        <w:rPr>
          <w:sz w:val="20"/>
          <w:szCs w:val="20"/>
          <w:color w:val="auto"/>
        </w:rPr>
      </w:pPr>
      <w:r>
        <w:rPr>
          <w:rFonts w:ascii="Arial" w:cs="Arial" w:eastAsia="Arial" w:hAnsi="Arial"/>
          <w:sz w:val="26"/>
          <w:szCs w:val="26"/>
          <w:color w:val="auto"/>
        </w:rPr>
        <w:t>All statements, other than statements of historical facts, that address activities, events or developments that the Company expects, projects, believes or anticipates will or may occur in the future, including, without limitation, the outlook for general industry conditions, future operating results, capital expenditures, expansion and growth opportunities, financing activities and other such matters, are forward-looking statements.</w:t>
      </w:r>
    </w:p>
    <w:p>
      <w:pPr>
        <w:spacing w:after="0" w:line="168" w:lineRule="exact"/>
        <w:rPr>
          <w:sz w:val="20"/>
          <w:szCs w:val="20"/>
          <w:color w:val="auto"/>
        </w:rPr>
      </w:pPr>
    </w:p>
    <w:p>
      <w:pPr>
        <w:ind w:left="20"/>
        <w:spacing w:after="0" w:line="247" w:lineRule="auto"/>
        <w:rPr>
          <w:sz w:val="20"/>
          <w:szCs w:val="20"/>
          <w:color w:val="auto"/>
        </w:rPr>
      </w:pPr>
      <w:r>
        <w:rPr>
          <w:rFonts w:ascii="Arial" w:cs="Arial" w:eastAsia="Arial" w:hAnsi="Arial"/>
          <w:sz w:val="26"/>
          <w:szCs w:val="26"/>
          <w:color w:val="auto"/>
        </w:rPr>
        <w:t>Although the Company believes that its expectations stated in this presentation are based on reasonable assumptions, actual results may differ from those projected in the forward-looking statements. For a more detailed discussion of risk factors, please refer to the Company’s Registration Statement on Form S-1 and its periodic reports filed with the United States Securities and Exchange Commission (“SEC”).</w:t>
      </w:r>
    </w:p>
    <w:p>
      <w:pPr>
        <w:spacing w:after="0" w:line="168" w:lineRule="exact"/>
        <w:rPr>
          <w:sz w:val="20"/>
          <w:szCs w:val="20"/>
          <w:color w:val="auto"/>
        </w:rPr>
      </w:pPr>
    </w:p>
    <w:p>
      <w:pPr>
        <w:ind w:left="20" w:right="240"/>
        <w:spacing w:after="0" w:line="250" w:lineRule="auto"/>
        <w:rPr>
          <w:sz w:val="20"/>
          <w:szCs w:val="20"/>
          <w:color w:val="auto"/>
        </w:rPr>
      </w:pPr>
      <w:r>
        <w:rPr>
          <w:rFonts w:ascii="Arial" w:cs="Arial" w:eastAsia="Arial" w:hAnsi="Arial"/>
          <w:sz w:val="26"/>
          <w:szCs w:val="26"/>
          <w:color w:val="auto"/>
        </w:rPr>
        <w:t>Vringo expressly disclaims any obligations or undertaking to update or revise any forward-looking statements contained herein to reflect any change in Vringo’s expectations with respect thereto or any change in events, conditions or circumstances on which any statement is based.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20"/>
        <w:spacing w:after="0"/>
        <w:rPr>
          <w:sz w:val="20"/>
          <w:szCs w:val="20"/>
          <w:color w:val="auto"/>
        </w:rPr>
      </w:pPr>
      <w:r>
        <w:rPr>
          <w:rFonts w:ascii="Arial" w:cs="Arial" w:eastAsia="Arial" w:hAnsi="Arial"/>
          <w:sz w:val="13"/>
          <w:szCs w:val="13"/>
          <w:color w:val="FFFFFF"/>
        </w:rPr>
        <w:t>- Page 2 -</w:t>
      </w:r>
    </w:p>
    <w:p>
      <w:pPr>
        <w:sectPr>
          <w:pgSz w:w="11900" w:h="16838" w:orient="portrait"/>
          <w:cols w:equalWidth="0" w:num="1">
            <w:col w:w="10440"/>
          </w:cols>
          <w:pgMar w:left="580" w:top="486" w:right="879" w:bottom="1440" w:gutter="0" w:footer="0" w:header="0"/>
        </w:sectPr>
      </w:pPr>
    </w:p>
    <w:bookmarkStart w:id="5" w:name="page6"/>
    <w:bookmarkEnd w:id="5"/>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Vringo: The Name for Video Ringtones</w:t>
      </w:r>
    </w:p>
    <w:p>
      <w:pPr>
        <w:spacing w:after="0" w:line="242" w:lineRule="exact"/>
        <w:rPr>
          <w:sz w:val="20"/>
          <w:szCs w:val="20"/>
          <w:color w:val="auto"/>
        </w:rPr>
      </w:pPr>
    </w:p>
    <w:p>
      <w:pPr>
        <w:ind w:left="320" w:hanging="260"/>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6"/>
          <w:szCs w:val="26"/>
          <w:b w:val="1"/>
          <w:bCs w:val="1"/>
          <w:color w:val="auto"/>
        </w:rPr>
        <w:t>We provide a comprehensive platform of video ringtones for mobile phones</w:t>
      </w:r>
    </w:p>
    <w:p>
      <w:pPr>
        <w:spacing w:after="0" w:line="42"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19"/>
          <w:szCs w:val="19"/>
          <w:color w:val="auto"/>
        </w:rPr>
      </w:pPr>
      <w:r>
        <w:rPr>
          <w:rFonts w:ascii="Arial" w:cs="Arial" w:eastAsia="Arial" w:hAnsi="Arial"/>
          <w:sz w:val="25"/>
          <w:szCs w:val="25"/>
          <w:color w:val="auto"/>
        </w:rPr>
        <w:t>Software allows users to create, download and share mobile entertainment content</w:t>
      </w:r>
    </w:p>
    <w:p>
      <w:pPr>
        <w:spacing w:after="0" w:line="21" w:lineRule="exact"/>
        <w:rPr>
          <w:rFonts w:ascii="Arial" w:cs="Arial" w:eastAsia="Arial" w:hAnsi="Arial"/>
          <w:sz w:val="19"/>
          <w:szCs w:val="19"/>
          <w:color w:val="auto"/>
        </w:rPr>
      </w:pPr>
    </w:p>
    <w:p>
      <w:pPr>
        <w:ind w:left="700" w:hanging="256"/>
        <w:spacing w:after="0"/>
        <w:tabs>
          <w:tab w:leader="none" w:pos="700" w:val="left"/>
        </w:tabs>
        <w:numPr>
          <w:ilvl w:val="1"/>
          <w:numId w:val="2"/>
        </w:numPr>
        <w:rPr>
          <w:rFonts w:ascii="Arial" w:cs="Arial" w:eastAsia="Arial" w:hAnsi="Arial"/>
          <w:sz w:val="19"/>
          <w:szCs w:val="19"/>
          <w:color w:val="auto"/>
        </w:rPr>
      </w:pPr>
      <w:r>
        <w:rPr>
          <w:rFonts w:ascii="Arial" w:cs="Arial" w:eastAsia="Arial" w:hAnsi="Arial"/>
          <w:sz w:val="25"/>
          <w:szCs w:val="25"/>
          <w:color w:val="auto"/>
        </w:rPr>
        <w:t>WAP and Web sites encompass robust content integration and distribution systems</w:t>
      </w:r>
    </w:p>
    <w:p>
      <w:pPr>
        <w:spacing w:after="0" w:line="21" w:lineRule="exact"/>
        <w:rPr>
          <w:rFonts w:ascii="Arial" w:cs="Arial" w:eastAsia="Arial" w:hAnsi="Arial"/>
          <w:sz w:val="19"/>
          <w:szCs w:val="19"/>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200+ Vringo-enabled handsets (Windows, BlackBerry, Android, Symbian, J2ME)</w:t>
      </w:r>
    </w:p>
    <w:p>
      <w:pPr>
        <w:spacing w:after="0" w:line="10"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Library of over 5,000 video ringtones; over 40 content partners</w:t>
      </w:r>
    </w:p>
    <w:p>
      <w:pPr>
        <w:ind w:left="700" w:hanging="256"/>
        <w:spacing w:after="0"/>
        <w:tabs>
          <w:tab w:leader="none" w:pos="700" w:val="left"/>
        </w:tabs>
        <w:numPr>
          <w:ilvl w:val="1"/>
          <w:numId w:val="2"/>
        </w:numPr>
        <w:rPr>
          <w:rFonts w:ascii="Arial" w:cs="Arial" w:eastAsia="Arial" w:hAnsi="Arial"/>
          <w:sz w:val="19"/>
          <w:szCs w:val="19"/>
          <w:color w:val="auto"/>
        </w:rPr>
      </w:pPr>
      <w:r>
        <w:rPr>
          <w:rFonts w:ascii="Arial" w:cs="Arial" w:eastAsia="Arial" w:hAnsi="Arial"/>
          <w:sz w:val="25"/>
          <w:szCs w:val="25"/>
          <w:color w:val="auto"/>
        </w:rPr>
        <w:t>23 patents pending for software platform and mobile applications(one patent issued)</w:t>
      </w:r>
    </w:p>
    <w:p>
      <w:pPr>
        <w:spacing w:after="0" w:line="21" w:lineRule="exact"/>
        <w:rPr>
          <w:rFonts w:ascii="Arial" w:cs="Arial" w:eastAsia="Arial" w:hAnsi="Arial"/>
          <w:sz w:val="19"/>
          <w:szCs w:val="19"/>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Launched in six territories with carrier and other partners</w:t>
      </w:r>
    </w:p>
    <w:p>
      <w:pPr>
        <w:spacing w:after="0" w:line="10"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240,000 monthly subscribers in these paid launches</w:t>
      </w:r>
    </w:p>
    <w:p>
      <w:pPr>
        <w:spacing w:after="0" w:line="181" w:lineRule="exact"/>
        <w:rPr>
          <w:rFonts w:ascii="Arial" w:cs="Arial" w:eastAsia="Arial" w:hAnsi="Arial"/>
          <w:sz w:val="20"/>
          <w:szCs w:val="20"/>
          <w:color w:val="auto"/>
        </w:rPr>
      </w:pPr>
    </w:p>
    <w:p>
      <w:pPr>
        <w:ind w:left="320" w:hanging="260"/>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6"/>
          <w:szCs w:val="26"/>
          <w:b w:val="1"/>
          <w:bCs w:val="1"/>
          <w:color w:val="auto"/>
        </w:rPr>
        <w:t>Founded in 2006</w:t>
      </w:r>
    </w:p>
    <w:p>
      <w:pPr>
        <w:spacing w:after="0" w:line="42"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30 Employees</w:t>
      </w:r>
    </w:p>
    <w:p>
      <w:pPr>
        <w:spacing w:after="0" w:line="10"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Headquarters located in New York</w:t>
      </w:r>
    </w:p>
    <w:p>
      <w:pPr>
        <w:spacing w:after="0" w:line="10"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R&amp;D based out of Israel</w:t>
      </w:r>
    </w:p>
    <w:p>
      <w:pPr>
        <w:spacing w:after="0" w:line="181" w:lineRule="exact"/>
        <w:rPr>
          <w:rFonts w:ascii="Arial" w:cs="Arial" w:eastAsia="Arial" w:hAnsi="Arial"/>
          <w:sz w:val="20"/>
          <w:szCs w:val="20"/>
          <w:color w:val="auto"/>
        </w:rPr>
      </w:pPr>
    </w:p>
    <w:p>
      <w:pPr>
        <w:ind w:left="320" w:hanging="260"/>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6"/>
          <w:szCs w:val="26"/>
          <w:b w:val="1"/>
          <w:bCs w:val="1"/>
          <w:color w:val="auto"/>
        </w:rPr>
        <w:t>Strong early stage investors</w:t>
      </w:r>
    </w:p>
    <w:p>
      <w:pPr>
        <w:spacing w:after="0" w:line="31"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Angel round of $2.4 M in 2006</w:t>
      </w:r>
    </w:p>
    <w:p>
      <w:pPr>
        <w:spacing w:after="0" w:line="10"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Warburg Pincus invested $12 M in 2007</w:t>
      </w:r>
    </w:p>
    <w:p>
      <w:pPr>
        <w:spacing w:after="0" w:line="10" w:lineRule="exact"/>
        <w:rPr>
          <w:rFonts w:ascii="Arial" w:cs="Arial" w:eastAsia="Arial" w:hAnsi="Arial"/>
          <w:sz w:val="20"/>
          <w:szCs w:val="20"/>
          <w:color w:val="auto"/>
        </w:rPr>
      </w:pPr>
    </w:p>
    <w:p>
      <w:pPr>
        <w:ind w:left="700" w:hanging="256"/>
        <w:spacing w:after="0"/>
        <w:tabs>
          <w:tab w:leader="none" w:pos="700" w:val="left"/>
        </w:tabs>
        <w:numPr>
          <w:ilvl w:val="1"/>
          <w:numId w:val="2"/>
        </w:numPr>
        <w:rPr>
          <w:rFonts w:ascii="Arial" w:cs="Arial" w:eastAsia="Arial" w:hAnsi="Arial"/>
          <w:sz w:val="20"/>
          <w:szCs w:val="20"/>
          <w:color w:val="auto"/>
        </w:rPr>
      </w:pPr>
      <w:r>
        <w:rPr>
          <w:rFonts w:ascii="Arial" w:cs="Arial" w:eastAsia="Arial" w:hAnsi="Arial"/>
          <w:sz w:val="26"/>
          <w:szCs w:val="26"/>
          <w:color w:val="auto"/>
        </w:rPr>
        <w:t>Bridge round of $3.0 M in Dec. 2009</w:t>
      </w:r>
    </w:p>
    <w:p>
      <w:pPr>
        <w:spacing w:after="0" w:line="287" w:lineRule="exact"/>
        <w:rPr>
          <w:rFonts w:ascii="Arial" w:cs="Arial" w:eastAsia="Arial" w:hAnsi="Arial"/>
          <w:sz w:val="20"/>
          <w:szCs w:val="20"/>
          <w:color w:val="auto"/>
        </w:rPr>
      </w:pPr>
    </w:p>
    <w:p>
      <w:pPr>
        <w:ind w:left="320" w:hanging="260"/>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6"/>
          <w:szCs w:val="26"/>
          <w:b w:val="1"/>
          <w:bCs w:val="1"/>
          <w:color w:val="auto"/>
        </w:rPr>
        <w:t>IPO June 2010 raised $11 M with Maxim, Ladenburg, and Chardan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4720" w:hanging="83"/>
        <w:spacing w:after="0"/>
        <w:tabs>
          <w:tab w:leader="none" w:pos="4720" w:val="left"/>
        </w:tabs>
        <w:numPr>
          <w:ilvl w:val="2"/>
          <w:numId w:val="2"/>
        </w:numPr>
        <w:rPr>
          <w:rFonts w:ascii="Arial" w:cs="Arial" w:eastAsia="Arial" w:hAnsi="Arial"/>
          <w:sz w:val="13"/>
          <w:szCs w:val="13"/>
          <w:color w:val="FFFFFF"/>
        </w:rPr>
      </w:pPr>
      <w:r>
        <w:rPr>
          <w:rFonts w:ascii="Arial" w:cs="Arial" w:eastAsia="Arial" w:hAnsi="Arial"/>
          <w:sz w:val="13"/>
          <w:szCs w:val="13"/>
          <w:color w:val="FFFFFF"/>
        </w:rPr>
        <w:t>Page 3 -</w:t>
      </w:r>
    </w:p>
    <w:p>
      <w:pPr>
        <w:sectPr>
          <w:pgSz w:w="11900" w:h="16838" w:orient="portrait"/>
          <w:cols w:equalWidth="0" w:num="1">
            <w:col w:w="10120"/>
          </w:cols>
          <w:pgMar w:left="560" w:top="476" w:right="1219" w:bottom="1440" w:gutter="0" w:footer="0" w:header="0"/>
        </w:sectPr>
      </w:pPr>
    </w:p>
    <w:bookmarkStart w:id="6" w:name="page7"/>
    <w:bookmarkEnd w:id="6"/>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Investment Highlights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99"/>
        </w:trPr>
        <w:tc>
          <w:tcPr>
            <w:tcW w:w="314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0"/>
              <w:spacing w:after="0"/>
              <w:rPr>
                <w:sz w:val="20"/>
                <w:szCs w:val="20"/>
                <w:color w:val="auto"/>
              </w:rPr>
            </w:pPr>
            <w:r>
              <w:rPr>
                <w:rFonts w:ascii="Arial" w:cs="Arial" w:eastAsia="Arial" w:hAnsi="Arial"/>
                <w:sz w:val="26"/>
                <w:szCs w:val="26"/>
                <w:b w:val="1"/>
                <w:bCs w:val="1"/>
                <w:color w:val="auto"/>
              </w:rPr>
              <w:t>Proven technology and products</w:t>
            </w:r>
          </w:p>
        </w:tc>
        <w:tc>
          <w:tcPr>
            <w:tcW w:w="0" w:type="dxa"/>
            <w:vAlign w:val="bottom"/>
          </w:tcPr>
          <w:p>
            <w:pPr>
              <w:spacing w:after="0"/>
              <w:rPr>
                <w:sz w:val="1"/>
                <w:szCs w:val="1"/>
                <w:color w:val="auto"/>
              </w:rPr>
            </w:pPr>
          </w:p>
        </w:tc>
      </w:tr>
      <w:tr>
        <w:trPr>
          <w:trHeight w:val="264"/>
        </w:trPr>
        <w:tc>
          <w:tcPr>
            <w:tcW w:w="314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0"/>
              <w:spacing w:after="0" w:line="263" w:lineRule="exact"/>
              <w:rPr>
                <w:sz w:val="20"/>
                <w:szCs w:val="20"/>
                <w:color w:val="auto"/>
              </w:rPr>
            </w:pPr>
            <w:r>
              <w:rPr>
                <w:rFonts w:ascii="Arial" w:cs="Arial" w:eastAsia="Arial" w:hAnsi="Arial"/>
                <w:sz w:val="26"/>
                <w:szCs w:val="26"/>
                <w:b w:val="1"/>
                <w:bCs w:val="1"/>
                <w:color w:val="auto"/>
              </w:rPr>
              <w:t>Scalable business model</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0"/>
              <w:spacing w:after="0" w:line="256" w:lineRule="exact"/>
              <w:rPr>
                <w:sz w:val="20"/>
                <w:szCs w:val="20"/>
                <w:color w:val="auto"/>
              </w:rPr>
            </w:pPr>
            <w:r>
              <w:rPr>
                <w:rFonts w:ascii="Arial" w:cs="Arial" w:eastAsia="Arial" w:hAnsi="Arial"/>
                <w:sz w:val="26"/>
                <w:szCs w:val="26"/>
                <w:b w:val="1"/>
                <w:bCs w:val="1"/>
                <w:color w:val="auto"/>
              </w:rPr>
              <w:t>Major contracts signed with international mobile carriers</w:t>
            </w:r>
          </w:p>
        </w:tc>
        <w:tc>
          <w:tcPr>
            <w:tcW w:w="0" w:type="dxa"/>
            <w:vAlign w:val="bottom"/>
          </w:tcPr>
          <w:p>
            <w:pPr>
              <w:spacing w:after="0"/>
              <w:rPr>
                <w:sz w:val="1"/>
                <w:szCs w:val="1"/>
                <w:color w:val="auto"/>
              </w:rPr>
            </w:pPr>
          </w:p>
        </w:tc>
      </w:tr>
      <w:tr>
        <w:trPr>
          <w:trHeight w:val="267"/>
        </w:trPr>
        <w:tc>
          <w:tcPr>
            <w:tcW w:w="3380" w:type="dxa"/>
            <w:vAlign w:val="bottom"/>
            <w:gridSpan w:val="2"/>
          </w:tcPr>
          <w:p>
            <w:pPr>
              <w:jc w:val="center"/>
              <w:spacing w:after="0" w:line="267" w:lineRule="exact"/>
              <w:rPr>
                <w:sz w:val="20"/>
                <w:szCs w:val="20"/>
                <w:color w:val="auto"/>
              </w:rPr>
            </w:pPr>
            <w:r>
              <w:rPr>
                <w:rFonts w:ascii="Arial" w:cs="Arial" w:eastAsia="Arial" w:hAnsi="Arial"/>
                <w:sz w:val="26"/>
                <w:szCs w:val="26"/>
                <w:b w:val="1"/>
                <w:bCs w:val="1"/>
                <w:color w:val="FFFFFF"/>
                <w:w w:val="98"/>
              </w:rPr>
              <w:t>Strong Platform for Growth</w:t>
            </w:r>
          </w:p>
        </w:tc>
        <w:tc>
          <w:tcPr>
            <w:tcW w:w="7280" w:type="dxa"/>
            <w:vAlign w:val="bottom"/>
          </w:tcPr>
          <w:p>
            <w:pPr>
              <w:ind w:left="40"/>
              <w:spacing w:after="0" w:line="267" w:lineRule="exact"/>
              <w:rPr>
                <w:sz w:val="20"/>
                <w:szCs w:val="20"/>
                <w:color w:val="auto"/>
              </w:rPr>
            </w:pPr>
            <w:r>
              <w:rPr>
                <w:rFonts w:ascii="Arial" w:cs="Arial" w:eastAsia="Arial" w:hAnsi="Arial"/>
                <w:sz w:val="26"/>
                <w:szCs w:val="26"/>
                <w:b w:val="1"/>
                <w:bCs w:val="1"/>
                <w:color w:val="auto"/>
              </w:rPr>
              <w:t>and content providers</w:t>
            </w:r>
          </w:p>
        </w:tc>
        <w:tc>
          <w:tcPr>
            <w:tcW w:w="0" w:type="dxa"/>
            <w:vAlign w:val="bottom"/>
          </w:tcPr>
          <w:p>
            <w:pPr>
              <w:spacing w:after="0"/>
              <w:rPr>
                <w:sz w:val="1"/>
                <w:szCs w:val="1"/>
                <w:color w:val="auto"/>
              </w:rPr>
            </w:pPr>
          </w:p>
        </w:tc>
      </w:tr>
      <w:tr>
        <w:trPr>
          <w:trHeight w:val="340"/>
        </w:trPr>
        <w:tc>
          <w:tcPr>
            <w:tcW w:w="314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0"/>
              <w:spacing w:after="0"/>
              <w:rPr>
                <w:sz w:val="20"/>
                <w:szCs w:val="20"/>
                <w:color w:val="auto"/>
              </w:rPr>
            </w:pPr>
            <w:r>
              <w:rPr>
                <w:rFonts w:ascii="Arial" w:cs="Arial" w:eastAsia="Arial" w:hAnsi="Arial"/>
                <w:sz w:val="26"/>
                <w:szCs w:val="26"/>
                <w:b w:val="1"/>
                <w:bCs w:val="1"/>
                <w:color w:val="auto"/>
                <w:w w:val="98"/>
              </w:rPr>
              <w:t>Robust Video Ringtone platform ready to deploy as turnkey</w:t>
            </w:r>
          </w:p>
        </w:tc>
        <w:tc>
          <w:tcPr>
            <w:tcW w:w="0" w:type="dxa"/>
            <w:vAlign w:val="bottom"/>
          </w:tcPr>
          <w:p>
            <w:pPr>
              <w:spacing w:after="0"/>
              <w:rPr>
                <w:sz w:val="1"/>
                <w:szCs w:val="1"/>
                <w:color w:val="auto"/>
              </w:rPr>
            </w:pPr>
          </w:p>
        </w:tc>
      </w:tr>
      <w:tr>
        <w:trPr>
          <w:trHeight w:val="482"/>
        </w:trPr>
        <w:tc>
          <w:tcPr>
            <w:tcW w:w="3140" w:type="dxa"/>
            <w:vAlign w:val="bottom"/>
          </w:tcPr>
          <w:p>
            <w:pPr>
              <w:spacing w:after="0"/>
              <w:rPr>
                <w:sz w:val="24"/>
                <w:szCs w:val="24"/>
                <w:color w:val="auto"/>
              </w:rPr>
            </w:pPr>
          </w:p>
        </w:tc>
        <w:tc>
          <w:tcPr>
            <w:tcW w:w="2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3340"/>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78"/>
        </w:trPr>
        <w:tc>
          <w:tcPr>
            <w:tcW w:w="314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FFFFFF"/>
              </w:rPr>
              <w:t>Fast Growing Markets</w:t>
            </w:r>
          </w:p>
        </w:tc>
        <w:tc>
          <w:tcPr>
            <w:tcW w:w="240" w:type="dxa"/>
            <w:vAlign w:val="bottom"/>
            <w:vMerge w:val="continue"/>
          </w:tcPr>
          <w:p>
            <w:pPr>
              <w:spacing w:after="0"/>
              <w:rPr>
                <w:sz w:val="6"/>
                <w:szCs w:val="6"/>
                <w:color w:val="auto"/>
              </w:rPr>
            </w:pPr>
          </w:p>
        </w:tc>
        <w:tc>
          <w:tcPr>
            <w:tcW w:w="7280" w:type="dxa"/>
            <w:vAlign w:val="bottom"/>
          </w:tcPr>
          <w:p>
            <w:pPr>
              <w:ind w:left="40"/>
              <w:spacing w:after="0" w:line="78" w:lineRule="exact"/>
              <w:rPr>
                <w:sz w:val="20"/>
                <w:szCs w:val="20"/>
                <w:color w:val="auto"/>
              </w:rPr>
            </w:pPr>
            <w:r>
              <w:rPr>
                <w:rFonts w:ascii="Arial" w:cs="Arial" w:eastAsia="Arial" w:hAnsi="Arial"/>
                <w:sz w:val="9"/>
                <w:szCs w:val="9"/>
                <w:b w:val="1"/>
                <w:bCs w:val="1"/>
                <w:color w:val="auto"/>
              </w:rPr>
              <w:t>4.6 B global mobile subscribers</w:t>
            </w:r>
          </w:p>
        </w:tc>
        <w:tc>
          <w:tcPr>
            <w:tcW w:w="0" w:type="dxa"/>
            <w:vAlign w:val="bottom"/>
          </w:tcPr>
          <w:p>
            <w:pPr>
              <w:spacing w:after="0"/>
              <w:rPr>
                <w:sz w:val="1"/>
                <w:szCs w:val="1"/>
                <w:color w:val="auto"/>
              </w:rPr>
            </w:pPr>
          </w:p>
        </w:tc>
      </w:tr>
      <w:tr>
        <w:trPr>
          <w:trHeight w:val="35"/>
        </w:trPr>
        <w:tc>
          <w:tcPr>
            <w:tcW w:w="3140" w:type="dxa"/>
            <w:vAlign w:val="bottom"/>
            <w:vMerge w:val="continue"/>
          </w:tcPr>
          <w:p>
            <w:pPr>
              <w:spacing w:after="0"/>
              <w:rPr>
                <w:sz w:val="3"/>
                <w:szCs w:val="3"/>
                <w:color w:val="auto"/>
              </w:rPr>
            </w:pPr>
          </w:p>
        </w:tc>
        <w:tc>
          <w:tcPr>
            <w:tcW w:w="240" w:type="dxa"/>
            <w:vAlign w:val="bottom"/>
          </w:tcPr>
          <w:p>
            <w:pPr>
              <w:ind w:left="80"/>
              <w:spacing w:after="0" w:line="35" w:lineRule="exact"/>
              <w:rPr>
                <w:sz w:val="20"/>
                <w:szCs w:val="20"/>
                <w:color w:val="auto"/>
              </w:rPr>
            </w:pPr>
            <w:r>
              <w:rPr>
                <w:rFonts w:ascii="Arial" w:cs="Arial" w:eastAsia="Arial" w:hAnsi="Arial"/>
                <w:sz w:val="4"/>
                <w:szCs w:val="4"/>
                <w:color w:val="auto"/>
              </w:rPr>
              <w:t>•</w:t>
            </w:r>
          </w:p>
        </w:tc>
        <w:tc>
          <w:tcPr>
            <w:tcW w:w="7280" w:type="dxa"/>
            <w:vAlign w:val="bottom"/>
          </w:tcPr>
          <w:p>
            <w:pPr>
              <w:ind w:left="40"/>
              <w:spacing w:after="0" w:line="35" w:lineRule="exact"/>
              <w:rPr>
                <w:sz w:val="20"/>
                <w:szCs w:val="20"/>
                <w:color w:val="auto"/>
              </w:rPr>
            </w:pPr>
            <w:r>
              <w:rPr>
                <w:rFonts w:ascii="Arial" w:cs="Arial" w:eastAsia="Arial" w:hAnsi="Arial"/>
                <w:sz w:val="4"/>
                <w:szCs w:val="4"/>
                <w:b w:val="1"/>
                <w:bCs w:val="1"/>
                <w:color w:val="auto"/>
              </w:rPr>
              <w:t>534 M global mobile video subscribers by 2014</w:t>
            </w:r>
          </w:p>
        </w:tc>
        <w:tc>
          <w:tcPr>
            <w:tcW w:w="0" w:type="dxa"/>
            <w:vAlign w:val="bottom"/>
          </w:tcPr>
          <w:p>
            <w:pPr>
              <w:spacing w:after="0" w:line="20" w:lineRule="exact"/>
              <w:rPr>
                <w:sz w:val="1"/>
                <w:szCs w:val="1"/>
                <w:color w:val="auto"/>
              </w:rPr>
            </w:pPr>
          </w:p>
        </w:tc>
      </w:tr>
      <w:tr>
        <w:trPr>
          <w:trHeight w:val="221"/>
        </w:trPr>
        <w:tc>
          <w:tcPr>
            <w:tcW w:w="3140" w:type="dxa"/>
            <w:vAlign w:val="bottom"/>
          </w:tcPr>
          <w:p>
            <w:pPr>
              <w:spacing w:after="0"/>
              <w:rPr>
                <w:sz w:val="19"/>
                <w:szCs w:val="19"/>
                <w:color w:val="auto"/>
              </w:rPr>
            </w:pPr>
          </w:p>
        </w:tc>
        <w:tc>
          <w:tcPr>
            <w:tcW w:w="2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5000"/>
              <w:spacing w:after="0"/>
              <w:rPr>
                <w:sz w:val="20"/>
                <w:szCs w:val="20"/>
                <w:color w:val="auto"/>
              </w:rPr>
            </w:pPr>
            <w:r>
              <w:rPr>
                <w:rFonts w:ascii="Arial" w:cs="Arial" w:eastAsia="Arial" w:hAnsi="Arial"/>
                <w:sz w:val="17"/>
                <w:szCs w:val="17"/>
                <w:b w:val="1"/>
                <w:bCs w:val="1"/>
                <w:color w:val="auto"/>
              </w:rPr>
              <w:t>(2)(4)</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7280" w:type="dxa"/>
            <w:vAlign w:val="bottom"/>
          </w:tcPr>
          <w:p>
            <w:pPr>
              <w:ind w:left="40"/>
              <w:spacing w:after="0" w:line="35" w:lineRule="exact"/>
              <w:rPr>
                <w:sz w:val="20"/>
                <w:szCs w:val="20"/>
                <w:color w:val="auto"/>
              </w:rPr>
            </w:pPr>
            <w:r>
              <w:rPr>
                <w:rFonts w:ascii="Arial" w:cs="Arial" w:eastAsia="Arial" w:hAnsi="Arial"/>
                <w:sz w:val="4"/>
                <w:szCs w:val="4"/>
                <w:b w:val="1"/>
                <w:bCs w:val="1"/>
                <w:color w:val="auto"/>
              </w:rPr>
              <w:t>$25 B mobile application market by 2014</w:t>
            </w:r>
          </w:p>
        </w:tc>
        <w:tc>
          <w:tcPr>
            <w:tcW w:w="0" w:type="dxa"/>
            <w:vAlign w:val="bottom"/>
          </w:tcPr>
          <w:p>
            <w:pPr>
              <w:spacing w:after="0" w:line="20" w:lineRule="exact"/>
              <w:rPr>
                <w:sz w:val="1"/>
                <w:szCs w:val="1"/>
                <w:color w:val="auto"/>
              </w:rPr>
            </w:pPr>
          </w:p>
        </w:tc>
      </w:tr>
      <w:tr>
        <w:trPr>
          <w:trHeight w:val="224"/>
        </w:trPr>
        <w:tc>
          <w:tcPr>
            <w:tcW w:w="3140" w:type="dxa"/>
            <w:vAlign w:val="bottom"/>
          </w:tcPr>
          <w:p>
            <w:pPr>
              <w:spacing w:after="0"/>
              <w:rPr>
                <w:sz w:val="19"/>
                <w:szCs w:val="19"/>
                <w:color w:val="auto"/>
              </w:rPr>
            </w:pPr>
          </w:p>
        </w:tc>
        <w:tc>
          <w:tcPr>
            <w:tcW w:w="2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380"/>
              <w:spacing w:after="0"/>
              <w:rPr>
                <w:sz w:val="20"/>
                <w:szCs w:val="20"/>
                <w:color w:val="auto"/>
              </w:rPr>
            </w:pPr>
            <w:r>
              <w:rPr>
                <w:rFonts w:ascii="Arial" w:cs="Arial" w:eastAsia="Arial" w:hAnsi="Arial"/>
                <w:sz w:val="17"/>
                <w:szCs w:val="17"/>
                <w:b w:val="1"/>
                <w:bCs w:val="1"/>
                <w:color w:val="auto"/>
              </w:rPr>
              <w:t>(3)(5)</w:t>
            </w:r>
          </w:p>
        </w:tc>
        <w:tc>
          <w:tcPr>
            <w:tcW w:w="0" w:type="dxa"/>
            <w:vAlign w:val="bottom"/>
          </w:tcPr>
          <w:p>
            <w:pPr>
              <w:spacing w:after="0"/>
              <w:rPr>
                <w:sz w:val="1"/>
                <w:szCs w:val="1"/>
                <w:color w:val="auto"/>
              </w:rPr>
            </w:pPr>
          </w:p>
        </w:tc>
      </w:tr>
      <w:tr>
        <w:trPr>
          <w:trHeight w:val="42"/>
        </w:trPr>
        <w:tc>
          <w:tcPr>
            <w:tcW w:w="31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7280" w:type="dxa"/>
            <w:vAlign w:val="bottom"/>
          </w:tcPr>
          <w:p>
            <w:pPr>
              <w:ind w:left="40"/>
              <w:spacing w:after="0" w:line="43" w:lineRule="exact"/>
              <w:rPr>
                <w:sz w:val="20"/>
                <w:szCs w:val="20"/>
                <w:color w:val="auto"/>
              </w:rPr>
            </w:pPr>
            <w:r>
              <w:rPr>
                <w:rFonts w:ascii="Arial" w:cs="Arial" w:eastAsia="Arial" w:hAnsi="Arial"/>
                <w:sz w:val="4"/>
                <w:szCs w:val="4"/>
                <w:b w:val="1"/>
                <w:bCs w:val="1"/>
                <w:color w:val="auto"/>
              </w:rPr>
              <w:t>$29 B mobile content market by 2012</w:t>
            </w:r>
          </w:p>
        </w:tc>
        <w:tc>
          <w:tcPr>
            <w:tcW w:w="0" w:type="dxa"/>
            <w:vAlign w:val="bottom"/>
          </w:tcPr>
          <w:p>
            <w:pPr>
              <w:spacing w:after="0"/>
              <w:rPr>
                <w:sz w:val="1"/>
                <w:szCs w:val="1"/>
                <w:color w:val="auto"/>
              </w:rPr>
            </w:pPr>
          </w:p>
        </w:tc>
      </w:tr>
      <w:tr>
        <w:trPr>
          <w:trHeight w:val="224"/>
        </w:trPr>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tcPr>
          <w:p>
            <w:pPr>
              <w:ind w:left="4020"/>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669"/>
        </w:trPr>
        <w:tc>
          <w:tcPr>
            <w:tcW w:w="3140" w:type="dxa"/>
            <w:vAlign w:val="bottom"/>
            <w:vMerge w:val="restart"/>
          </w:tcPr>
          <w:p>
            <w:pPr>
              <w:jc w:val="center"/>
              <w:spacing w:after="0"/>
              <w:rPr>
                <w:sz w:val="20"/>
                <w:szCs w:val="20"/>
                <w:color w:val="auto"/>
              </w:rPr>
            </w:pPr>
            <w:r>
              <w:rPr>
                <w:rFonts w:ascii="Arial" w:cs="Arial" w:eastAsia="Arial" w:hAnsi="Arial"/>
                <w:sz w:val="26"/>
                <w:szCs w:val="26"/>
                <w:b w:val="1"/>
                <w:bCs w:val="1"/>
                <w:color w:val="FFFFFF"/>
                <w:w w:val="98"/>
              </w:rPr>
              <w:t>Established and Well</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7280" w:type="dxa"/>
            <w:vAlign w:val="bottom"/>
          </w:tcPr>
          <w:p>
            <w:pPr>
              <w:ind w:left="60"/>
              <w:spacing w:after="0"/>
              <w:rPr>
                <w:sz w:val="20"/>
                <w:szCs w:val="20"/>
                <w:color w:val="auto"/>
              </w:rPr>
            </w:pPr>
            <w:r>
              <w:rPr>
                <w:rFonts w:ascii="Arial" w:cs="Arial" w:eastAsia="Arial" w:hAnsi="Arial"/>
                <w:sz w:val="26"/>
                <w:szCs w:val="26"/>
                <w:b w:val="1"/>
                <w:bCs w:val="1"/>
                <w:color w:val="auto"/>
              </w:rPr>
              <w:t>Strong management team and BOD with experience in the</w:t>
            </w:r>
          </w:p>
        </w:tc>
        <w:tc>
          <w:tcPr>
            <w:tcW w:w="0" w:type="dxa"/>
            <w:vAlign w:val="bottom"/>
          </w:tcPr>
          <w:p>
            <w:pPr>
              <w:spacing w:after="0"/>
              <w:rPr>
                <w:sz w:val="1"/>
                <w:szCs w:val="1"/>
                <w:color w:val="auto"/>
              </w:rPr>
            </w:pPr>
          </w:p>
        </w:tc>
      </w:tr>
      <w:tr>
        <w:trPr>
          <w:trHeight w:val="264"/>
        </w:trPr>
        <w:tc>
          <w:tcPr>
            <w:tcW w:w="31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280" w:type="dxa"/>
            <w:vAlign w:val="bottom"/>
          </w:tcPr>
          <w:p>
            <w:pPr>
              <w:ind w:left="60"/>
              <w:spacing w:after="0" w:line="263" w:lineRule="exact"/>
              <w:rPr>
                <w:sz w:val="20"/>
                <w:szCs w:val="20"/>
                <w:color w:val="auto"/>
              </w:rPr>
            </w:pPr>
            <w:r>
              <w:rPr>
                <w:rFonts w:ascii="Arial" w:cs="Arial" w:eastAsia="Arial" w:hAnsi="Arial"/>
                <w:sz w:val="26"/>
                <w:szCs w:val="26"/>
                <w:b w:val="1"/>
                <w:bCs w:val="1"/>
                <w:color w:val="auto"/>
              </w:rPr>
              <w:t>U.S. financial markets</w:t>
            </w:r>
          </w:p>
        </w:tc>
        <w:tc>
          <w:tcPr>
            <w:tcW w:w="0" w:type="dxa"/>
            <w:vAlign w:val="bottom"/>
          </w:tcPr>
          <w:p>
            <w:pPr>
              <w:spacing w:after="0"/>
              <w:rPr>
                <w:sz w:val="1"/>
                <w:szCs w:val="1"/>
                <w:color w:val="auto"/>
              </w:rPr>
            </w:pPr>
          </w:p>
        </w:tc>
      </w:tr>
      <w:tr>
        <w:trPr>
          <w:trHeight w:val="288"/>
        </w:trPr>
        <w:tc>
          <w:tcPr>
            <w:tcW w:w="3140" w:type="dxa"/>
            <w:vAlign w:val="bottom"/>
          </w:tcPr>
          <w:p>
            <w:pPr>
              <w:jc w:val="center"/>
              <w:spacing w:after="0" w:line="288" w:lineRule="exact"/>
              <w:rPr>
                <w:sz w:val="20"/>
                <w:szCs w:val="20"/>
                <w:color w:val="auto"/>
              </w:rPr>
            </w:pPr>
            <w:r>
              <w:rPr>
                <w:rFonts w:ascii="Arial" w:cs="Arial" w:eastAsia="Arial" w:hAnsi="Arial"/>
                <w:sz w:val="26"/>
                <w:szCs w:val="26"/>
                <w:b w:val="1"/>
                <w:bCs w:val="1"/>
                <w:color w:val="FFFFFF"/>
                <w:w w:val="98"/>
              </w:rPr>
              <w:t>Seasoned Management</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7280" w:type="dxa"/>
            <w:vAlign w:val="bottom"/>
          </w:tcPr>
          <w:p>
            <w:pPr>
              <w:ind w:left="60"/>
              <w:spacing w:after="0" w:line="288" w:lineRule="exact"/>
              <w:rPr>
                <w:sz w:val="20"/>
                <w:szCs w:val="20"/>
                <w:color w:val="auto"/>
              </w:rPr>
            </w:pPr>
            <w:r>
              <w:rPr>
                <w:rFonts w:ascii="Arial" w:cs="Arial" w:eastAsia="Arial" w:hAnsi="Arial"/>
                <w:sz w:val="26"/>
                <w:szCs w:val="26"/>
                <w:b w:val="1"/>
                <w:bCs w:val="1"/>
                <w:color w:val="auto"/>
              </w:rPr>
              <w:t>Track record of creating, running, investing and exiting</w:t>
            </w:r>
          </w:p>
        </w:tc>
        <w:tc>
          <w:tcPr>
            <w:tcW w:w="0" w:type="dxa"/>
            <w:vAlign w:val="bottom"/>
          </w:tcPr>
          <w:p>
            <w:pPr>
              <w:spacing w:after="0"/>
              <w:rPr>
                <w:sz w:val="1"/>
                <w:szCs w:val="1"/>
                <w:color w:val="auto"/>
              </w:rPr>
            </w:pPr>
          </w:p>
        </w:tc>
      </w:tr>
      <w:tr>
        <w:trPr>
          <w:trHeight w:val="340"/>
        </w:trPr>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80" w:type="dxa"/>
            <w:vAlign w:val="bottom"/>
          </w:tcPr>
          <w:p>
            <w:pPr>
              <w:ind w:left="60"/>
              <w:spacing w:after="0"/>
              <w:rPr>
                <w:sz w:val="20"/>
                <w:szCs w:val="20"/>
                <w:color w:val="auto"/>
              </w:rPr>
            </w:pPr>
            <w:r>
              <w:rPr>
                <w:rFonts w:ascii="Arial" w:cs="Arial" w:eastAsia="Arial" w:hAnsi="Arial"/>
                <w:sz w:val="26"/>
                <w:szCs w:val="26"/>
                <w:b w:val="1"/>
                <w:bCs w:val="1"/>
                <w:color w:val="auto"/>
              </w:rPr>
              <w:t>successful technology companies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20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26"/>
                <w:szCs w:val="26"/>
                <w:b w:val="1"/>
                <w:bCs w:val="1"/>
                <w:color w:val="FFFFFF"/>
                <w:w w:val="98"/>
              </w:rPr>
              <w:t>Will grow organically and</w:t>
            </w:r>
          </w:p>
        </w:tc>
        <w:tc>
          <w:tcPr>
            <w:tcW w:w="7300" w:type="dxa"/>
            <w:vAlign w:val="bottom"/>
          </w:tcPr>
          <w:p>
            <w:pPr>
              <w:ind w:left="20"/>
              <w:spacing w:after="0"/>
              <w:rPr>
                <w:sz w:val="20"/>
                <w:szCs w:val="20"/>
                <w:color w:val="auto"/>
              </w:rPr>
            </w:pPr>
            <w:r>
              <w:rPr>
                <w:rFonts w:ascii="Arial" w:cs="Arial" w:eastAsia="Arial" w:hAnsi="Arial"/>
                <w:sz w:val="26"/>
                <w:szCs w:val="26"/>
                <w:color w:val="auto"/>
              </w:rPr>
              <w:t xml:space="preserve">• </w:t>
            </w:r>
            <w:r>
              <w:rPr>
                <w:rFonts w:ascii="Arial" w:cs="Arial" w:eastAsia="Arial" w:hAnsi="Arial"/>
                <w:sz w:val="26"/>
                <w:szCs w:val="26"/>
                <w:b w:val="1"/>
                <w:bCs w:val="1"/>
                <w:color w:val="auto"/>
              </w:rPr>
              <w:t>Have announced signing of LOI for m-Wise acquisition</w:t>
            </w:r>
          </w:p>
        </w:tc>
      </w:tr>
      <w:tr>
        <w:trPr>
          <w:trHeight w:val="361"/>
        </w:trPr>
        <w:tc>
          <w:tcPr>
            <w:tcW w:w="200" w:type="dxa"/>
            <w:vAlign w:val="bottom"/>
          </w:tcPr>
          <w:p>
            <w:pPr>
              <w:spacing w:after="0"/>
              <w:rPr>
                <w:sz w:val="24"/>
                <w:szCs w:val="24"/>
                <w:color w:val="auto"/>
              </w:rPr>
            </w:pPr>
          </w:p>
        </w:tc>
        <w:tc>
          <w:tcPr>
            <w:tcW w:w="3140" w:type="dxa"/>
            <w:vAlign w:val="bottom"/>
            <w:gridSpan w:val="3"/>
          </w:tcPr>
          <w:p>
            <w:pPr>
              <w:ind w:left="320"/>
              <w:spacing w:after="0"/>
              <w:rPr>
                <w:sz w:val="20"/>
                <w:szCs w:val="20"/>
                <w:color w:val="auto"/>
              </w:rPr>
            </w:pPr>
            <w:r>
              <w:rPr>
                <w:rFonts w:ascii="Arial" w:cs="Arial" w:eastAsia="Arial" w:hAnsi="Arial"/>
                <w:sz w:val="26"/>
                <w:szCs w:val="26"/>
                <w:b w:val="1"/>
                <w:bCs w:val="1"/>
                <w:color w:val="FFFFFF"/>
              </w:rPr>
              <w:t>through acquisition</w:t>
            </w:r>
          </w:p>
        </w:tc>
        <w:tc>
          <w:tcPr>
            <w:tcW w:w="7300" w:type="dxa"/>
            <w:vAlign w:val="bottom"/>
          </w:tcPr>
          <w:p>
            <w:pPr>
              <w:ind w:left="20"/>
              <w:spacing w:after="0"/>
              <w:rPr>
                <w:sz w:val="20"/>
                <w:szCs w:val="20"/>
                <w:color w:val="auto"/>
              </w:rPr>
            </w:pPr>
            <w:r>
              <w:rPr>
                <w:rFonts w:ascii="Arial" w:cs="Arial" w:eastAsia="Arial" w:hAnsi="Arial"/>
                <w:sz w:val="26"/>
                <w:szCs w:val="26"/>
                <w:color w:val="auto"/>
                <w:w w:val="98"/>
              </w:rPr>
              <w:t xml:space="preserve">• </w:t>
            </w:r>
            <w:r>
              <w:rPr>
                <w:rFonts w:ascii="Arial" w:cs="Arial" w:eastAsia="Arial" w:hAnsi="Arial"/>
                <w:sz w:val="26"/>
                <w:szCs w:val="26"/>
                <w:b w:val="1"/>
                <w:bCs w:val="1"/>
                <w:color w:val="auto"/>
                <w:w w:val="98"/>
              </w:rPr>
              <w:t>Real opportunity for consolidation in mobile service arena</w:t>
            </w:r>
          </w:p>
        </w:tc>
      </w:tr>
      <w:tr>
        <w:trPr>
          <w:trHeight w:val="465"/>
        </w:trPr>
        <w:tc>
          <w:tcPr>
            <w:tcW w:w="200" w:type="dxa"/>
            <w:vAlign w:val="bottom"/>
          </w:tcPr>
          <w:p>
            <w:pPr>
              <w:jc w:val="right"/>
              <w:spacing w:after="0"/>
              <w:rPr>
                <w:sz w:val="20"/>
                <w:szCs w:val="20"/>
                <w:color w:val="auto"/>
              </w:rPr>
            </w:pPr>
            <w:r>
              <w:rPr>
                <w:rFonts w:ascii="Arial" w:cs="Arial" w:eastAsia="Arial" w:hAnsi="Arial"/>
                <w:sz w:val="14"/>
                <w:szCs w:val="14"/>
                <w:color w:val="auto"/>
                <w:w w:val="93"/>
              </w:rPr>
              <w:t>(1)</w:t>
            </w:r>
          </w:p>
        </w:tc>
        <w:tc>
          <w:tcPr>
            <w:tcW w:w="1660" w:type="dxa"/>
            <w:vAlign w:val="bottom"/>
          </w:tcPr>
          <w:p>
            <w:pPr>
              <w:spacing w:after="0"/>
              <w:rPr>
                <w:sz w:val="20"/>
                <w:szCs w:val="20"/>
                <w:color w:val="auto"/>
              </w:rPr>
            </w:pPr>
            <w:r>
              <w:rPr>
                <w:rFonts w:ascii="Arial" w:cs="Arial" w:eastAsia="Arial" w:hAnsi="Arial"/>
                <w:sz w:val="14"/>
                <w:szCs w:val="14"/>
                <w:color w:val="auto"/>
              </w:rPr>
              <w:t>United Nations estimate</w:t>
            </w: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120" w:type="dxa"/>
            <w:vAlign w:val="bottom"/>
          </w:tcPr>
          <w:p>
            <w:pPr>
              <w:ind w:left="20"/>
              <w:spacing w:after="0"/>
              <w:rPr>
                <w:sz w:val="20"/>
                <w:szCs w:val="20"/>
                <w:color w:val="auto"/>
              </w:rPr>
            </w:pPr>
            <w:r>
              <w:rPr>
                <w:rFonts w:ascii="Arial" w:cs="Arial" w:eastAsia="Arial" w:hAnsi="Arial"/>
                <w:sz w:val="14"/>
                <w:szCs w:val="14"/>
                <w:color w:val="auto"/>
                <w:w w:val="98"/>
              </w:rPr>
              <w:t>Juniper Research</w:t>
            </w:r>
          </w:p>
        </w:tc>
        <w:tc>
          <w:tcPr>
            <w:tcW w:w="7300" w:type="dxa"/>
            <w:vAlign w:val="bottom"/>
          </w:tcPr>
          <w:p>
            <w:pPr>
              <w:spacing w:after="0"/>
              <w:rPr>
                <w:sz w:val="24"/>
                <w:szCs w:val="24"/>
                <w:color w:val="auto"/>
              </w:rPr>
            </w:pPr>
          </w:p>
        </w:tc>
      </w:tr>
      <w:tr>
        <w:trPr>
          <w:trHeight w:val="171"/>
        </w:trPr>
        <w:tc>
          <w:tcPr>
            <w:tcW w:w="20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660" w:type="dxa"/>
            <w:vAlign w:val="bottom"/>
          </w:tcPr>
          <w:p>
            <w:pPr>
              <w:spacing w:after="0"/>
              <w:rPr>
                <w:sz w:val="20"/>
                <w:szCs w:val="20"/>
                <w:color w:val="auto"/>
              </w:rPr>
            </w:pPr>
            <w:r>
              <w:rPr>
                <w:rFonts w:ascii="Arial" w:cs="Arial" w:eastAsia="Arial" w:hAnsi="Arial"/>
                <w:sz w:val="14"/>
                <w:szCs w:val="14"/>
                <w:color w:val="auto"/>
              </w:rPr>
              <w:t>Multimedia Intelligence</w:t>
            </w: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8420" w:type="dxa"/>
            <w:vAlign w:val="bottom"/>
            <w:gridSpan w:val="2"/>
          </w:tcPr>
          <w:p>
            <w:pPr>
              <w:ind w:left="20"/>
              <w:spacing w:after="0"/>
              <w:rPr>
                <w:sz w:val="20"/>
                <w:szCs w:val="20"/>
                <w:color w:val="auto"/>
              </w:rPr>
            </w:pPr>
            <w:r>
              <w:rPr>
                <w:rFonts w:ascii="Arial" w:cs="Arial" w:eastAsia="Arial" w:hAnsi="Arial"/>
                <w:sz w:val="14"/>
                <w:szCs w:val="14"/>
                <w:color w:val="auto"/>
              </w:rPr>
              <w:t>Not a projection for Vringo subscribers</w:t>
            </w:r>
          </w:p>
        </w:tc>
      </w:tr>
      <w:tr>
        <w:trPr>
          <w:trHeight w:val="171"/>
        </w:trPr>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8420" w:type="dxa"/>
            <w:vAlign w:val="bottom"/>
            <w:gridSpan w:val="2"/>
          </w:tcPr>
          <w:p>
            <w:pPr>
              <w:ind w:left="20"/>
              <w:spacing w:after="0"/>
              <w:rPr>
                <w:sz w:val="20"/>
                <w:szCs w:val="20"/>
                <w:color w:val="auto"/>
              </w:rPr>
            </w:pPr>
            <w:r>
              <w:rPr>
                <w:rFonts w:ascii="Arial" w:cs="Arial" w:eastAsia="Arial" w:hAnsi="Arial"/>
                <w:sz w:val="14"/>
                <w:szCs w:val="14"/>
                <w:color w:val="auto"/>
              </w:rPr>
              <w:t>Not a projection for Vringo market size</w:t>
            </w:r>
          </w:p>
        </w:tc>
      </w:tr>
    </w:tbl>
    <w:p>
      <w:pPr>
        <w:spacing w:after="0" w:line="346" w:lineRule="exact"/>
        <w:rPr>
          <w:sz w:val="20"/>
          <w:szCs w:val="20"/>
          <w:color w:val="auto"/>
        </w:rPr>
      </w:pPr>
    </w:p>
    <w:p>
      <w:pPr>
        <w:ind w:left="4640"/>
        <w:spacing w:after="0"/>
        <w:rPr>
          <w:sz w:val="20"/>
          <w:szCs w:val="20"/>
          <w:color w:val="auto"/>
        </w:rPr>
      </w:pPr>
      <w:r>
        <w:rPr>
          <w:rFonts w:ascii="Arial" w:cs="Arial" w:eastAsia="Arial" w:hAnsi="Arial"/>
          <w:sz w:val="13"/>
          <w:szCs w:val="13"/>
          <w:color w:val="FFFFFF"/>
        </w:rPr>
        <w:t>- Page 4 -</w:t>
      </w:r>
    </w:p>
    <w:p>
      <w:pPr>
        <w:sectPr>
          <w:pgSz w:w="11900" w:h="16838" w:orient="portrait"/>
          <w:cols w:equalWidth="0" w:num="1">
            <w:col w:w="10780"/>
          </w:cols>
          <w:pgMar w:left="560" w:top="486" w:right="559" w:bottom="1440" w:gutter="0" w:footer="0" w:header="0"/>
        </w:sectPr>
      </w:pPr>
    </w:p>
    <w:bookmarkStart w:id="7" w:name="page8"/>
    <w:bookmarkEnd w:id="7"/>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Consistently Winning Industry Awards</w:t>
      </w:r>
    </w:p>
    <w:p>
      <w:pPr>
        <w:sectPr>
          <w:pgSz w:w="11900" w:h="16838" w:orient="portrait"/>
          <w:cols w:equalWidth="0" w:num="1">
            <w:col w:w="9899"/>
          </w:cols>
          <w:pgMar w:left="56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Best mobile service for social community and user generated content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6A6A6"/>
        </w:rPr>
        <w:t>- October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40"/>
        <w:spacing w:after="0" w:line="259" w:lineRule="auto"/>
        <w:rPr>
          <w:sz w:val="20"/>
          <w:szCs w:val="20"/>
          <w:color w:val="auto"/>
        </w:rPr>
      </w:pPr>
      <w:r>
        <w:rPr>
          <w:rFonts w:ascii="Arial" w:cs="Arial" w:eastAsia="Arial" w:hAnsi="Arial"/>
          <w:sz w:val="17"/>
          <w:szCs w:val="17"/>
          <w:color w:val="auto"/>
        </w:rPr>
        <w:t xml:space="preserve">Best use of phone functionality </w:t>
      </w:r>
      <w:r>
        <w:rPr>
          <w:rFonts w:ascii="Arial" w:cs="Arial" w:eastAsia="Arial" w:hAnsi="Arial"/>
          <w:sz w:val="17"/>
          <w:szCs w:val="17"/>
          <w:color w:val="A6A6A6"/>
        </w:rPr>
        <w:t>- December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80"/>
        <w:spacing w:after="0"/>
        <w:rPr>
          <w:sz w:val="20"/>
          <w:szCs w:val="20"/>
          <w:color w:val="auto"/>
        </w:rPr>
      </w:pPr>
      <w:r>
        <w:rPr>
          <w:rFonts w:ascii="Arial" w:cs="Arial" w:eastAsia="Arial" w:hAnsi="Arial"/>
          <w:sz w:val="12"/>
          <w:szCs w:val="12"/>
          <w:color w:val="auto"/>
        </w:rPr>
        <w:t>nd</w:t>
      </w:r>
    </w:p>
    <w:p>
      <w:pPr>
        <w:spacing w:after="0" w:line="255" w:lineRule="auto"/>
        <w:rPr>
          <w:sz w:val="20"/>
          <w:szCs w:val="20"/>
          <w:color w:val="auto"/>
        </w:rPr>
      </w:pPr>
      <w:r>
        <w:rPr>
          <w:rFonts w:ascii="Arial" w:cs="Arial" w:eastAsia="Arial" w:hAnsi="Arial"/>
          <w:sz w:val="17"/>
          <w:szCs w:val="17"/>
          <w:color w:val="auto"/>
        </w:rPr>
        <w:t>Best mobile social networking service, 2 place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6A6A6"/>
        </w:rPr>
        <w:t>- January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Best mobile community/fan content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6A6A6"/>
        </w:rPr>
        <w:t>- November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Winner Red Herring 100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6A6A6"/>
        </w:rPr>
        <w:t>- April 2009</w:t>
      </w:r>
    </w:p>
    <w:p>
      <w:pPr>
        <w:spacing w:after="0" w:line="223" w:lineRule="exact"/>
        <w:rPr>
          <w:sz w:val="20"/>
          <w:szCs w:val="20"/>
          <w:color w:val="auto"/>
        </w:rPr>
      </w:pPr>
    </w:p>
    <w:p>
      <w:pPr>
        <w:sectPr>
          <w:pgSz w:w="11900" w:h="16838" w:orient="portrait"/>
          <w:cols w:equalWidth="0" w:num="3">
            <w:col w:w="3080" w:space="280"/>
            <w:col w:w="3040" w:space="340"/>
            <w:col w:w="3159"/>
          </w:cols>
          <w:pgMar w:left="560" w:top="4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3340" w:val="left"/>
          <w:tab w:leader="none" w:pos="6720" w:val="left"/>
        </w:tabs>
        <w:rPr>
          <w:sz w:val="20"/>
          <w:szCs w:val="20"/>
          <w:color w:val="auto"/>
        </w:rPr>
      </w:pPr>
      <w:r>
        <w:rPr>
          <w:rFonts w:ascii="Arial" w:cs="Arial" w:eastAsia="Arial" w:hAnsi="Arial"/>
          <w:sz w:val="17"/>
          <w:szCs w:val="17"/>
          <w:color w:val="auto"/>
        </w:rPr>
        <w:t>Always On Top 100 Media winner</w:t>
      </w:r>
      <w:r>
        <w:rPr>
          <w:sz w:val="20"/>
          <w:szCs w:val="20"/>
          <w:color w:val="auto"/>
        </w:rPr>
        <w:tab/>
      </w:r>
      <w:r>
        <w:rPr>
          <w:rFonts w:ascii="Arial" w:cs="Arial" w:eastAsia="Arial" w:hAnsi="Arial"/>
          <w:sz w:val="17"/>
          <w:szCs w:val="17"/>
          <w:color w:val="auto"/>
        </w:rPr>
        <w:t>Finalist</w:t>
      </w:r>
      <w:r>
        <w:rPr>
          <w:sz w:val="20"/>
          <w:szCs w:val="20"/>
          <w:color w:val="auto"/>
        </w:rPr>
        <w:tab/>
      </w:r>
      <w:r>
        <w:rPr>
          <w:rFonts w:ascii="Arial" w:cs="Arial" w:eastAsia="Arial" w:hAnsi="Arial"/>
          <w:sz w:val="16"/>
          <w:szCs w:val="16"/>
          <w:color w:val="auto"/>
        </w:rPr>
        <w:t>Best ringtone innovation</w:t>
      </w:r>
    </w:p>
    <w:p>
      <w:pPr>
        <w:spacing w:after="0" w:line="7" w:lineRule="exact"/>
        <w:rPr>
          <w:sz w:val="20"/>
          <w:szCs w:val="20"/>
          <w:color w:val="auto"/>
        </w:rPr>
      </w:pPr>
    </w:p>
    <w:p>
      <w:pPr>
        <w:spacing w:after="0"/>
        <w:tabs>
          <w:tab w:leader="none" w:pos="3340" w:val="left"/>
          <w:tab w:leader="none" w:pos="6720" w:val="left"/>
        </w:tabs>
        <w:rPr>
          <w:sz w:val="20"/>
          <w:szCs w:val="20"/>
          <w:color w:val="auto"/>
        </w:rPr>
      </w:pPr>
      <w:r>
        <w:rPr>
          <w:rFonts w:ascii="Arial" w:cs="Arial" w:eastAsia="Arial" w:hAnsi="Arial"/>
          <w:sz w:val="17"/>
          <w:szCs w:val="17"/>
          <w:color w:val="A6A6A6"/>
        </w:rPr>
        <w:t>- January 2008</w:t>
      </w:r>
      <w:r>
        <w:rPr>
          <w:sz w:val="20"/>
          <w:szCs w:val="20"/>
          <w:color w:val="auto"/>
        </w:rPr>
        <w:tab/>
      </w:r>
      <w:r>
        <w:rPr>
          <w:rFonts w:ascii="Arial" w:cs="Arial" w:eastAsia="Arial" w:hAnsi="Arial"/>
          <w:sz w:val="17"/>
          <w:szCs w:val="17"/>
          <w:color w:val="A6A6A6"/>
        </w:rPr>
        <w:t>- March 2008</w:t>
      </w:r>
      <w:r>
        <w:rPr>
          <w:sz w:val="20"/>
          <w:szCs w:val="20"/>
          <w:color w:val="auto"/>
        </w:rPr>
        <w:tab/>
      </w:r>
      <w:r>
        <w:rPr>
          <w:rFonts w:ascii="Arial" w:cs="Arial" w:eastAsia="Arial" w:hAnsi="Arial"/>
          <w:sz w:val="17"/>
          <w:szCs w:val="17"/>
          <w:color w:val="A6A6A6"/>
        </w:rPr>
        <w:t>- June 2008</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FFFFFF"/>
        </w:rPr>
        <w:t>- Page 5 -</w:t>
      </w:r>
    </w:p>
    <w:p>
      <w:pPr>
        <w:sectPr>
          <w:pgSz w:w="11900" w:h="16838" w:orient="portrait"/>
          <w:cols w:equalWidth="0" w:num="1">
            <w:col w:w="9899"/>
          </w:cols>
          <w:pgMar w:left="560" w:top="486"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Major Outlet Media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340" w:val="left"/>
        </w:tabs>
        <w:rPr>
          <w:sz w:val="20"/>
          <w:szCs w:val="20"/>
          <w:color w:val="auto"/>
        </w:rPr>
      </w:pPr>
      <w:r>
        <w:rPr>
          <w:rFonts w:ascii="Arial" w:cs="Arial" w:eastAsia="Arial" w:hAnsi="Arial"/>
          <w:sz w:val="17"/>
          <w:szCs w:val="17"/>
          <w:color w:val="auto"/>
        </w:rPr>
        <w:t>“offers an eyeful…has to be seen to be</w:t>
      </w:r>
      <w:r>
        <w:rPr>
          <w:sz w:val="20"/>
          <w:szCs w:val="20"/>
          <w:color w:val="auto"/>
        </w:rPr>
        <w:tab/>
      </w:r>
      <w:r>
        <w:rPr>
          <w:rFonts w:ascii="Arial" w:cs="Arial" w:eastAsia="Arial" w:hAnsi="Arial"/>
          <w:sz w:val="17"/>
          <w:szCs w:val="17"/>
          <w:color w:val="auto"/>
        </w:rPr>
        <w:t>“Vringo has something that others lack…the “the next level ringtone…this company’s fun</w:t>
      </w:r>
    </w:p>
    <w:p>
      <w:pPr>
        <w:spacing w:after="0" w:line="18" w:lineRule="exact"/>
        <w:rPr>
          <w:sz w:val="20"/>
          <w:szCs w:val="20"/>
          <w:color w:val="auto"/>
        </w:rPr>
      </w:pPr>
    </w:p>
    <w:p>
      <w:pPr>
        <w:spacing w:after="0"/>
        <w:tabs>
          <w:tab w:leader="none" w:pos="3340" w:val="left"/>
          <w:tab w:leader="none" w:pos="6720" w:val="left"/>
        </w:tabs>
        <w:rPr>
          <w:sz w:val="20"/>
          <w:szCs w:val="20"/>
          <w:color w:val="auto"/>
        </w:rPr>
      </w:pPr>
      <w:r>
        <w:rPr>
          <w:rFonts w:ascii="Arial" w:cs="Arial" w:eastAsia="Arial" w:hAnsi="Arial"/>
          <w:sz w:val="17"/>
          <w:szCs w:val="17"/>
          <w:color w:val="auto"/>
        </w:rPr>
        <w:t>believed”</w:t>
      </w:r>
      <w:r>
        <w:rPr>
          <w:sz w:val="20"/>
          <w:szCs w:val="20"/>
          <w:color w:val="auto"/>
        </w:rPr>
        <w:tab/>
      </w:r>
      <w:r>
        <w:rPr>
          <w:rFonts w:ascii="Arial" w:cs="Arial" w:eastAsia="Arial" w:hAnsi="Arial"/>
          <w:sz w:val="17"/>
          <w:szCs w:val="17"/>
          <w:color w:val="auto"/>
        </w:rPr>
        <w:t>caller has the power”</w:t>
      </w:r>
      <w:r>
        <w:rPr>
          <w:sz w:val="20"/>
          <w:szCs w:val="20"/>
          <w:color w:val="auto"/>
        </w:rPr>
        <w:tab/>
      </w:r>
      <w:r>
        <w:rPr>
          <w:rFonts w:ascii="Arial" w:cs="Arial" w:eastAsia="Arial" w:hAnsi="Arial"/>
          <w:sz w:val="17"/>
          <w:szCs w:val="17"/>
          <w:color w:val="auto"/>
        </w:rPr>
        <w:t>and unusual product is just getting better</w:t>
      </w:r>
    </w:p>
    <w:p>
      <w:pPr>
        <w:spacing w:after="0" w:line="7" w:lineRule="exact"/>
        <w:rPr>
          <w:sz w:val="20"/>
          <w:szCs w:val="20"/>
          <w:color w:val="auto"/>
        </w:rPr>
      </w:pPr>
    </w:p>
    <w:p>
      <w:pPr>
        <w:jc w:val="right"/>
        <w:ind w:right="2480"/>
        <w:spacing w:after="0"/>
        <w:rPr>
          <w:sz w:val="20"/>
          <w:szCs w:val="20"/>
          <w:color w:val="auto"/>
        </w:rPr>
      </w:pPr>
      <w:r>
        <w:rPr>
          <w:rFonts w:ascii="Arial" w:cs="Arial" w:eastAsia="Arial" w:hAnsi="Arial"/>
          <w:sz w:val="17"/>
          <w:szCs w:val="17"/>
          <w:color w:val="auto"/>
        </w:rPr>
        <w:t>and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“every call thus becomes an opportunity to</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share content and to establish</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identity…Vringo has a head start over</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competitors”</w:t>
      </w:r>
    </w:p>
    <w:p>
      <w:pPr>
        <w:sectPr>
          <w:pgSz w:w="11900" w:h="16838" w:orient="portrait"/>
          <w:cols w:equalWidth="0" w:num="1">
            <w:col w:w="10040"/>
          </w:cols>
          <w:pgMar w:left="560" w:top="486"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service aims to tap consumer’s obsession with creating their own content”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20"/>
                <w:szCs w:val="20"/>
                <w:color w:val="auto"/>
              </w:rPr>
            </w:pPr>
            <w:r>
              <w:rPr>
                <w:rFonts w:ascii="Arial" w:cs="Arial" w:eastAsia="Arial" w:hAnsi="Arial"/>
                <w:sz w:val="17"/>
                <w:szCs w:val="17"/>
                <w:color w:val="auto"/>
              </w:rPr>
              <w:t>“the next big thing in ringtones…soon</w:t>
            </w:r>
          </w:p>
        </w:tc>
        <w:tc>
          <w:tcPr>
            <w:tcW w:w="3020" w:type="dxa"/>
            <w:vAlign w:val="bottom"/>
            <w:vMerge w:val="restart"/>
          </w:tcPr>
          <w:p>
            <w:pPr>
              <w:ind w:left="280"/>
              <w:spacing w:after="0"/>
              <w:rPr>
                <w:sz w:val="20"/>
                <w:szCs w:val="20"/>
                <w:color w:val="auto"/>
              </w:rPr>
            </w:pPr>
            <w:r>
              <w:rPr>
                <w:rFonts w:ascii="Arial" w:cs="Arial" w:eastAsia="Arial" w:hAnsi="Arial"/>
                <w:sz w:val="17"/>
                <w:szCs w:val="17"/>
                <w:color w:val="auto"/>
                <w:w w:val="99"/>
              </w:rPr>
              <w:t>“Next big thing in the ringtone wave”</w:t>
            </w:r>
          </w:p>
        </w:tc>
        <w:tc>
          <w:tcPr>
            <w:tcW w:w="0" w:type="dxa"/>
            <w:vAlign w:val="bottom"/>
          </w:tcPr>
          <w:p>
            <w:pPr>
              <w:spacing w:after="0"/>
              <w:rPr>
                <w:sz w:val="1"/>
                <w:szCs w:val="1"/>
                <w:color w:val="auto"/>
              </w:rPr>
            </w:pPr>
          </w:p>
        </w:tc>
      </w:tr>
      <w:tr>
        <w:trPr>
          <w:trHeight w:val="66"/>
        </w:trPr>
        <w:tc>
          <w:tcPr>
            <w:tcW w:w="3100" w:type="dxa"/>
            <w:vAlign w:val="bottom"/>
            <w:vMerge w:val="restart"/>
          </w:tcPr>
          <w:p>
            <w:pPr>
              <w:spacing w:after="0"/>
              <w:rPr>
                <w:sz w:val="20"/>
                <w:szCs w:val="20"/>
                <w:color w:val="auto"/>
              </w:rPr>
            </w:pPr>
            <w:r>
              <w:rPr>
                <w:rFonts w:ascii="Arial" w:cs="Arial" w:eastAsia="Arial" w:hAnsi="Arial"/>
                <w:sz w:val="17"/>
                <w:szCs w:val="17"/>
                <w:color w:val="auto"/>
              </w:rPr>
              <w:t>everyone could have a Vringo, a</w:t>
            </w: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3100" w:type="dxa"/>
            <w:vAlign w:val="bottom"/>
            <w:vMerge w:val="continue"/>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20"/>
                <w:szCs w:val="20"/>
                <w:color w:val="auto"/>
              </w:rPr>
            </w:pPr>
            <w:r>
              <w:rPr>
                <w:rFonts w:ascii="Arial" w:cs="Arial" w:eastAsia="Arial" w:hAnsi="Arial"/>
                <w:sz w:val="17"/>
                <w:szCs w:val="17"/>
                <w:color w:val="auto"/>
              </w:rPr>
              <w:t>personalized video ringtone”</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180" w:space="180"/>
            <w:col w:w="6680"/>
          </w:cols>
          <w:pgMar w:left="560" w:top="486" w:right="1299" w:bottom="1440" w:gutter="0" w:footer="0" w:header="0"/>
          <w:type w:val="continuous"/>
        </w:sectPr>
      </w:pPr>
    </w:p>
    <w:p>
      <w:pPr>
        <w:spacing w:after="0" w:line="381"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FFFFFF"/>
        </w:rPr>
        <w:t>- Page 6 -</w:t>
      </w:r>
    </w:p>
    <w:p>
      <w:pPr>
        <w:sectPr>
          <w:pgSz w:w="11900" w:h="16838" w:orient="portrait"/>
          <w:cols w:equalWidth="0" w:num="1">
            <w:col w:w="10040"/>
          </w:cols>
          <w:pgMar w:left="560" w:top="486" w:right="1299" w:bottom="1440" w:gutter="0" w:footer="0" w:header="0"/>
          <w:type w:val="continuous"/>
        </w:sectPr>
      </w:pPr>
    </w:p>
    <w:bookmarkStart w:id="9" w:name="page10"/>
    <w:bookmarkEnd w:id="9"/>
    <w:p>
      <w:pPr>
        <w:ind w:left="120"/>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Seasoned Management &amp; Governance</w:t>
      </w:r>
    </w:p>
    <w:p>
      <w:pPr>
        <w:sectPr>
          <w:pgSz w:w="11900" w:h="16838" w:orient="portrait"/>
          <w:cols w:equalWidth="0" w:num="1">
            <w:col w:w="10019"/>
          </w:cols>
          <w:pgMar w:left="440" w:top="486" w:right="1440" w:bottom="1440" w:gutter="0" w:footer="0" w:header="0"/>
        </w:sectPr>
      </w:pPr>
    </w:p>
    <w:p>
      <w:pPr>
        <w:spacing w:after="0" w:line="287"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C70B79"/>
        </w:rPr>
        <w:t>Jon Medved</w:t>
      </w:r>
    </w:p>
    <w:p>
      <w:pPr>
        <w:spacing w:after="0" w:line="41"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Founder &amp; CEO, Board</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member</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“One of Israel’s leading venture capitalists”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(Washington Post)</w:t>
      </w:r>
    </w:p>
    <w:p>
      <w:pPr>
        <w:spacing w:after="0" w:line="85"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Founder of Israel Seed Partners, managing $260 M in 4 funds-exits include:</w:t>
      </w:r>
    </w:p>
    <w:p>
      <w:pPr>
        <w:spacing w:after="0" w:line="1" w:lineRule="exact"/>
        <w:rPr>
          <w:sz w:val="20"/>
          <w:szCs w:val="20"/>
          <w:color w:val="auto"/>
        </w:rPr>
      </w:pPr>
    </w:p>
    <w:p>
      <w:pPr>
        <w:ind w:left="260" w:right="280" w:hanging="123"/>
        <w:spacing w:after="0" w:line="250"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20"/>
          <w:szCs w:val="20"/>
          <w:color w:val="auto"/>
        </w:rPr>
        <w:t>Shopping.com (acquired by eBay Inc.) for $640 M</w:t>
      </w:r>
    </w:p>
    <w:p>
      <w:pPr>
        <w:ind w:left="260" w:hanging="123"/>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20"/>
          <w:szCs w:val="20"/>
          <w:color w:val="auto"/>
        </w:rPr>
        <w:t>Answers Corp. (NasdaqCM: ANSW)</w:t>
      </w:r>
    </w:p>
    <w:p>
      <w:pPr>
        <w:spacing w:after="0" w:line="4" w:lineRule="exact"/>
        <w:rPr>
          <w:rFonts w:ascii="Arial" w:cs="Arial" w:eastAsia="Arial" w:hAnsi="Arial"/>
          <w:sz w:val="16"/>
          <w:szCs w:val="16"/>
          <w:color w:val="auto"/>
        </w:rPr>
      </w:pPr>
    </w:p>
    <w:p>
      <w:pPr>
        <w:ind w:left="260" w:right="700" w:hanging="123"/>
        <w:spacing w:after="0" w:line="250"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20"/>
          <w:szCs w:val="20"/>
          <w:color w:val="auto"/>
        </w:rPr>
        <w:t>Native Networks (acquired by Alcatel (NYSE: ALA))</w:t>
      </w:r>
    </w:p>
    <w:p>
      <w:pPr>
        <w:ind w:left="260" w:hanging="123"/>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20"/>
          <w:szCs w:val="20"/>
          <w:color w:val="auto"/>
        </w:rPr>
        <w:t>Compugen (Nasdaq: CGEN)</w:t>
      </w:r>
    </w:p>
    <w:p>
      <w:pPr>
        <w:spacing w:after="0" w:line="4" w:lineRule="exact"/>
        <w:rPr>
          <w:rFonts w:ascii="Arial" w:cs="Arial" w:eastAsia="Arial" w:hAnsi="Arial"/>
          <w:sz w:val="16"/>
          <w:szCs w:val="16"/>
          <w:color w:val="auto"/>
        </w:rPr>
      </w:pPr>
    </w:p>
    <w:p>
      <w:pPr>
        <w:ind w:left="260" w:right="300" w:hanging="123"/>
        <w:spacing w:after="0" w:line="250"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20"/>
          <w:szCs w:val="20"/>
          <w:color w:val="auto"/>
        </w:rPr>
        <w:t>Xacct Technologies (acquired by Amdocs Ltd. (NYSE: DOX))</w:t>
      </w:r>
    </w:p>
    <w:p>
      <w:pPr>
        <w:ind w:left="260" w:right="580" w:hanging="123"/>
        <w:spacing w:after="0" w:line="244"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20"/>
          <w:szCs w:val="20"/>
          <w:color w:val="auto"/>
        </w:rPr>
        <w:t>Business Layers (acquired by CA, Inc. (NasdaqGS: CA))</w:t>
      </w:r>
    </w:p>
    <w:p>
      <w:pPr>
        <w:spacing w:after="0" w:line="1" w:lineRule="exact"/>
        <w:rPr>
          <w:rFonts w:ascii="Arial" w:cs="Arial" w:eastAsia="Arial" w:hAnsi="Arial"/>
          <w:sz w:val="16"/>
          <w:szCs w:val="16"/>
          <w:color w:val="auto"/>
        </w:rPr>
      </w:pPr>
    </w:p>
    <w:p>
      <w:pPr>
        <w:ind w:left="260" w:hanging="123"/>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20"/>
          <w:szCs w:val="20"/>
          <w:color w:val="auto"/>
        </w:rPr>
        <w:t>Cyota (acquired by RSA/CA NasdaqGS: CA)</w:t>
      </w:r>
    </w:p>
    <w:p>
      <w:pPr>
        <w:spacing w:after="0" w:line="77"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b w:val="1"/>
          <w:bCs w:val="1"/>
          <w:color w:val="auto"/>
        </w:rPr>
        <w:t>Manager of several startups with exits including:</w:t>
      </w:r>
    </w:p>
    <w:p>
      <w:pPr>
        <w:spacing w:after="0" w:line="1" w:lineRule="exact"/>
        <w:rPr>
          <w:sz w:val="20"/>
          <w:szCs w:val="20"/>
          <w:color w:val="auto"/>
        </w:rPr>
      </w:pPr>
    </w:p>
    <w:p>
      <w:pPr>
        <w:ind w:left="260" w:hanging="123"/>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20"/>
          <w:szCs w:val="20"/>
          <w:color w:val="auto"/>
        </w:rPr>
        <w:t>MERET (acquired by Amoco/BP)</w:t>
      </w:r>
    </w:p>
    <w:p>
      <w:pPr>
        <w:spacing w:after="0" w:line="15" w:lineRule="exact"/>
        <w:rPr>
          <w:rFonts w:ascii="Arial" w:cs="Arial" w:eastAsia="Arial" w:hAnsi="Arial"/>
          <w:sz w:val="16"/>
          <w:szCs w:val="16"/>
          <w:color w:val="auto"/>
        </w:rPr>
      </w:pPr>
    </w:p>
    <w:p>
      <w:pPr>
        <w:ind w:left="260" w:hanging="123"/>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20"/>
          <w:szCs w:val="20"/>
          <w:color w:val="auto"/>
        </w:rPr>
        <w:t>Accent (Nasdaq: ACNTF)</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C70B79"/>
        </w:rPr>
        <w:t>Andrew Perlman</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President and Board member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C70B79"/>
        </w:rPr>
        <w:t>Ellen Cohl</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VP Finance &amp; Governance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C70B79"/>
        </w:rPr>
        <w:t>Dov Frohlich</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COO</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C70B79"/>
        </w:rPr>
        <w:t>Josh Wolff</w:t>
      </w:r>
    </w:p>
    <w:p>
      <w:pPr>
        <w:spacing w:after="0" w:line="52"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VP Services &amp;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C70B79"/>
        </w:rPr>
        <w:t>Eshed Doni</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22"/>
          <w:szCs w:val="22"/>
          <w:color w:val="auto"/>
        </w:rPr>
        <w:t>VP Products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right"/>
        <w:ind w:right="119"/>
        <w:spacing w:after="0"/>
        <w:rPr>
          <w:sz w:val="20"/>
          <w:szCs w:val="20"/>
          <w:color w:val="auto"/>
        </w:rPr>
      </w:pPr>
      <w:r>
        <w:rPr>
          <w:rFonts w:ascii="Arial" w:cs="Arial" w:eastAsia="Arial" w:hAnsi="Arial"/>
          <w:sz w:val="20"/>
          <w:szCs w:val="20"/>
          <w:color w:val="A6A6A6"/>
        </w:rPr>
        <w:t>Formerly</w:t>
      </w:r>
    </w:p>
    <w:p>
      <w:pPr>
        <w:spacing w:after="0" w:line="5" w:lineRule="exact"/>
        <w:rPr>
          <w:sz w:val="20"/>
          <w:szCs w:val="20"/>
          <w:color w:val="auto"/>
        </w:rPr>
      </w:pPr>
    </w:p>
    <w:p>
      <w:pPr>
        <w:jc w:val="right"/>
        <w:ind w:right="119"/>
        <w:spacing w:after="0"/>
        <w:rPr>
          <w:sz w:val="20"/>
          <w:szCs w:val="20"/>
          <w:color w:val="auto"/>
        </w:rPr>
      </w:pPr>
      <w:r>
        <w:rPr>
          <w:rFonts w:ascii="Arial" w:cs="Arial" w:eastAsia="Arial" w:hAnsi="Arial"/>
          <w:sz w:val="20"/>
          <w:szCs w:val="20"/>
          <w:b w:val="1"/>
          <w:bCs w:val="1"/>
          <w:color w:val="7F7F7F"/>
        </w:rPr>
        <w:t>EMI Music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20"/>
          <w:szCs w:val="20"/>
          <w:color w:val="A6A6A6"/>
        </w:rPr>
        <w:t>Formerly</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7F7F7F"/>
        </w:rPr>
        <w:t>Arthur Andersen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60"/>
        <w:spacing w:after="0"/>
        <w:rPr>
          <w:sz w:val="20"/>
          <w:szCs w:val="20"/>
          <w:color w:val="auto"/>
        </w:rPr>
      </w:pPr>
      <w:r>
        <w:rPr>
          <w:rFonts w:ascii="Arial" w:cs="Arial" w:eastAsia="Arial" w:hAnsi="Arial"/>
          <w:sz w:val="20"/>
          <w:szCs w:val="20"/>
          <w:color w:val="A6A6A6"/>
        </w:rPr>
        <w:t>Formerly</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7F7F7F"/>
        </w:rPr>
        <w:t>NMS Communications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40"/>
        <w:spacing w:after="0"/>
        <w:rPr>
          <w:sz w:val="20"/>
          <w:szCs w:val="20"/>
          <w:color w:val="auto"/>
        </w:rPr>
      </w:pPr>
      <w:r>
        <w:rPr>
          <w:rFonts w:ascii="Arial" w:cs="Arial" w:eastAsia="Arial" w:hAnsi="Arial"/>
          <w:sz w:val="20"/>
          <w:szCs w:val="20"/>
          <w:color w:val="A6A6A6"/>
        </w:rPr>
        <w:t>Formerly</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7F7F7F"/>
        </w:rPr>
        <w:t>NMS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40"/>
        <w:spacing w:after="0"/>
        <w:rPr>
          <w:sz w:val="20"/>
          <w:szCs w:val="20"/>
          <w:color w:val="auto"/>
        </w:rPr>
      </w:pPr>
      <w:r>
        <w:rPr>
          <w:rFonts w:ascii="Arial" w:cs="Arial" w:eastAsia="Arial" w:hAnsi="Arial"/>
          <w:sz w:val="20"/>
          <w:szCs w:val="20"/>
          <w:color w:val="A6A6A6"/>
        </w:rPr>
        <w:t>Formerly</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7F7F7F"/>
        </w:rPr>
        <w:t>eyeSight Mobile</w:t>
      </w:r>
    </w:p>
    <w:p>
      <w:pPr>
        <w:spacing w:after="0" w:line="267" w:lineRule="exact"/>
        <w:rPr>
          <w:sz w:val="20"/>
          <w:szCs w:val="20"/>
          <w:color w:val="auto"/>
        </w:rPr>
      </w:pPr>
    </w:p>
    <w:p>
      <w:pPr>
        <w:sectPr>
          <w:pgSz w:w="11900" w:h="16838" w:orient="portrait"/>
          <w:cols w:equalWidth="0" w:num="3">
            <w:col w:w="4280" w:space="540"/>
            <w:col w:w="2920" w:space="40"/>
            <w:col w:w="2239"/>
          </w:cols>
          <w:pgMar w:left="440" w:top="486" w:right="1440"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FFFFFF"/>
        </w:rPr>
        <w:t>- Page 7 -</w:t>
      </w:r>
    </w:p>
    <w:p>
      <w:pPr>
        <w:sectPr>
          <w:pgSz w:w="11900" w:h="16838" w:orient="portrait"/>
          <w:cols w:equalWidth="0" w:num="1">
            <w:col w:w="10019"/>
          </w:cols>
          <w:pgMar w:left="440" w:top="486"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Vringo Board of Directors</w:t>
      </w:r>
    </w:p>
    <w:p>
      <w:pPr>
        <w:sectPr>
          <w:pgSz w:w="11900" w:h="16838" w:orient="portrait"/>
          <w:cols w:equalWidth="0" w:num="1">
            <w:col w:w="10220"/>
          </w:cols>
          <w:pgMar w:left="560" w:top="508" w:right="1119" w:bottom="1440" w:gutter="0" w:footer="0" w:header="0"/>
        </w:sectPr>
      </w:pPr>
    </w:p>
    <w:p>
      <w:pPr>
        <w:spacing w:after="0" w:line="277"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C70B79"/>
        </w:rPr>
        <w:t>Seth (“Yossi”) Siegel</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257" w:lineRule="auto"/>
        <w:rPr>
          <w:sz w:val="20"/>
          <w:szCs w:val="20"/>
          <w:color w:val="auto"/>
        </w:rPr>
      </w:pPr>
      <w:r>
        <w:rPr>
          <w:rFonts w:ascii="Arial" w:cs="Arial" w:eastAsia="Arial" w:hAnsi="Arial"/>
          <w:sz w:val="22"/>
          <w:szCs w:val="22"/>
          <w:color w:val="auto"/>
        </w:rPr>
        <w:t>Was Founder, Chairman and CEO of the Beanstalk Group, the world’s largest independent licensing agency, now part of the Omnicom Group. Served leading Brands such as:</w:t>
      </w:r>
    </w:p>
    <w:p>
      <w:pPr>
        <w:spacing w:after="0" w:line="5" w:lineRule="exact"/>
        <w:rPr>
          <w:sz w:val="20"/>
          <w:szCs w:val="20"/>
          <w:color w:val="auto"/>
        </w:rPr>
      </w:pPr>
    </w:p>
    <w:p>
      <w:pPr>
        <w:ind w:left="260" w:hanging="125"/>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20"/>
          <w:szCs w:val="20"/>
          <w:color w:val="auto"/>
        </w:rPr>
        <w:t>AT&amp;T</w:t>
      </w:r>
    </w:p>
    <w:p>
      <w:pPr>
        <w:spacing w:after="0" w:line="15" w:lineRule="exact"/>
        <w:rPr>
          <w:rFonts w:ascii="Arial" w:cs="Arial" w:eastAsia="Arial" w:hAnsi="Arial"/>
          <w:sz w:val="16"/>
          <w:szCs w:val="16"/>
          <w:color w:val="auto"/>
        </w:rPr>
      </w:pPr>
    </w:p>
    <w:p>
      <w:pPr>
        <w:ind w:left="260" w:hanging="125"/>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20"/>
          <w:szCs w:val="20"/>
          <w:color w:val="auto"/>
        </w:rPr>
        <w:t>IBM</w:t>
      </w:r>
    </w:p>
    <w:p>
      <w:pPr>
        <w:spacing w:after="0" w:line="4" w:lineRule="exact"/>
        <w:rPr>
          <w:rFonts w:ascii="Arial" w:cs="Arial" w:eastAsia="Arial" w:hAnsi="Arial"/>
          <w:sz w:val="16"/>
          <w:szCs w:val="16"/>
          <w:color w:val="auto"/>
        </w:rPr>
      </w:pPr>
    </w:p>
    <w:p>
      <w:pPr>
        <w:ind w:left="260" w:hanging="125"/>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20"/>
          <w:szCs w:val="20"/>
          <w:color w:val="auto"/>
        </w:rPr>
        <w:t>Harley Davidson</w:t>
      </w:r>
    </w:p>
    <w:p>
      <w:pPr>
        <w:spacing w:after="0" w:line="4" w:lineRule="exact"/>
        <w:rPr>
          <w:rFonts w:ascii="Arial" w:cs="Arial" w:eastAsia="Arial" w:hAnsi="Arial"/>
          <w:sz w:val="16"/>
          <w:szCs w:val="16"/>
          <w:color w:val="auto"/>
        </w:rPr>
      </w:pPr>
    </w:p>
    <w:p>
      <w:pPr>
        <w:ind w:left="260" w:hanging="125"/>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20"/>
          <w:szCs w:val="20"/>
          <w:color w:val="auto"/>
        </w:rPr>
        <w:t>Unilever</w:t>
      </w:r>
    </w:p>
    <w:p>
      <w:pPr>
        <w:spacing w:after="0" w:line="15" w:lineRule="exact"/>
        <w:rPr>
          <w:rFonts w:ascii="Arial" w:cs="Arial" w:eastAsia="Arial" w:hAnsi="Arial"/>
          <w:sz w:val="16"/>
          <w:szCs w:val="16"/>
          <w:color w:val="auto"/>
        </w:rPr>
      </w:pPr>
    </w:p>
    <w:p>
      <w:pPr>
        <w:ind w:left="260" w:hanging="125"/>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20"/>
          <w:szCs w:val="20"/>
          <w:color w:val="auto"/>
        </w:rPr>
        <w:t>Ford Motor Company</w:t>
      </w:r>
    </w:p>
    <w:p>
      <w:pPr>
        <w:spacing w:after="0" w:line="173" w:lineRule="exact"/>
        <w:rPr>
          <w:sz w:val="20"/>
          <w:szCs w:val="20"/>
          <w:color w:val="auto"/>
        </w:rPr>
      </w:pPr>
    </w:p>
    <w:p>
      <w:pPr>
        <w:ind w:right="540"/>
        <w:spacing w:after="0" w:line="284" w:lineRule="auto"/>
        <w:rPr>
          <w:sz w:val="20"/>
          <w:szCs w:val="20"/>
          <w:color w:val="auto"/>
        </w:rPr>
      </w:pPr>
      <w:r>
        <w:rPr>
          <w:rFonts w:ascii="Arial" w:cs="Arial" w:eastAsia="Arial" w:hAnsi="Arial"/>
          <w:sz w:val="20"/>
          <w:szCs w:val="20"/>
          <w:b w:val="1"/>
          <w:bCs w:val="1"/>
          <w:color w:val="auto"/>
        </w:rPr>
        <w:t>Several time LIMA and Clio award winner</w:t>
      </w:r>
    </w:p>
    <w:p>
      <w:pPr>
        <w:spacing w:after="0" w:line="170" w:lineRule="exact"/>
        <w:rPr>
          <w:sz w:val="20"/>
          <w:szCs w:val="20"/>
          <w:color w:val="auto"/>
        </w:rPr>
      </w:pPr>
    </w:p>
    <w:p>
      <w:pPr>
        <w:ind w:right="160"/>
        <w:spacing w:after="0" w:line="270" w:lineRule="auto"/>
        <w:rPr>
          <w:sz w:val="20"/>
          <w:szCs w:val="20"/>
          <w:color w:val="auto"/>
        </w:rPr>
      </w:pPr>
      <w:r>
        <w:rPr>
          <w:rFonts w:ascii="Arial" w:cs="Arial" w:eastAsia="Arial" w:hAnsi="Arial"/>
          <w:sz w:val="20"/>
          <w:szCs w:val="20"/>
          <w:b w:val="1"/>
          <w:bCs w:val="1"/>
          <w:color w:val="auto"/>
        </w:rPr>
        <w:t>Marketing and brand commentary appears in the NY Times, BrandWeek, Wall Street Journal, etc.</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C70B79"/>
        </w:rPr>
        <w:t>Jon Medved</w:t>
      </w:r>
    </w:p>
    <w:p>
      <w:pPr>
        <w:spacing w:after="0" w:line="39"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CEO and Board member</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70B79"/>
        </w:rPr>
        <w:t>Andrew Perlman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President and Board member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70B79"/>
        </w:rPr>
        <w:t>Edo Segal</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Board Member</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C70B79"/>
        </w:rPr>
        <w:t>Ralph Simon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Board Member</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C70B79"/>
        </w:rPr>
        <w:t>John Engleman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Board Member</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C70B79"/>
        </w:rPr>
        <w:t>Phil Serlin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Board Member</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Chairman, Audit Committee</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 Page 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1500"/>
        <w:spacing w:after="0"/>
        <w:rPr>
          <w:sz w:val="20"/>
          <w:szCs w:val="20"/>
          <w:color w:val="auto"/>
        </w:rPr>
      </w:pPr>
      <w:r>
        <w:rPr>
          <w:rFonts w:ascii="Arial" w:cs="Arial" w:eastAsia="Arial" w:hAnsi="Arial"/>
          <w:sz w:val="20"/>
          <w:szCs w:val="20"/>
          <w:color w:val="7F7F7F"/>
        </w:rPr>
        <w:t>Formerly</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7F7F7F"/>
        </w:rPr>
        <w:t>Founder and GP Israel Seed</w:t>
      </w:r>
    </w:p>
    <w:p>
      <w:pPr>
        <w:spacing w:after="0" w:line="200" w:lineRule="exact"/>
        <w:rPr>
          <w:sz w:val="20"/>
          <w:szCs w:val="20"/>
          <w:color w:val="auto"/>
        </w:rPr>
      </w:pPr>
    </w:p>
    <w:p>
      <w:pPr>
        <w:spacing w:after="0" w:line="381" w:lineRule="exact"/>
        <w:rPr>
          <w:sz w:val="20"/>
          <w:szCs w:val="20"/>
          <w:color w:val="auto"/>
        </w:rPr>
      </w:pPr>
    </w:p>
    <w:p>
      <w:pPr>
        <w:ind w:left="1320"/>
        <w:spacing w:after="0"/>
        <w:rPr>
          <w:sz w:val="20"/>
          <w:szCs w:val="20"/>
          <w:color w:val="auto"/>
        </w:rPr>
      </w:pPr>
      <w:r>
        <w:rPr>
          <w:rFonts w:ascii="Arial" w:cs="Arial" w:eastAsia="Arial" w:hAnsi="Arial"/>
          <w:sz w:val="20"/>
          <w:szCs w:val="20"/>
          <w:color w:val="7F7F7F"/>
        </w:rPr>
        <w:t>Formerly</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20"/>
          <w:szCs w:val="20"/>
          <w:color w:val="7F7F7F"/>
        </w:rPr>
        <w:t>SVP, EMI Music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0" w:right="140" w:firstLine="437"/>
        <w:spacing w:after="0" w:line="258" w:lineRule="auto"/>
        <w:rPr>
          <w:sz w:val="20"/>
          <w:szCs w:val="20"/>
          <w:color w:val="auto"/>
        </w:rPr>
      </w:pPr>
      <w:r>
        <w:rPr>
          <w:rFonts w:ascii="Arial" w:cs="Arial" w:eastAsia="Arial" w:hAnsi="Arial"/>
          <w:sz w:val="20"/>
          <w:szCs w:val="20"/>
          <w:color w:val="7F7F7F"/>
        </w:rPr>
        <w:t>Founder and CEO Relegance, sold to AOL</w:t>
      </w:r>
    </w:p>
    <w:p>
      <w:pPr>
        <w:spacing w:after="0" w:line="200" w:lineRule="exact"/>
        <w:rPr>
          <w:sz w:val="20"/>
          <w:szCs w:val="20"/>
          <w:color w:val="auto"/>
        </w:rPr>
      </w:pPr>
    </w:p>
    <w:p>
      <w:pPr>
        <w:spacing w:after="0" w:line="340" w:lineRule="exact"/>
        <w:rPr>
          <w:sz w:val="20"/>
          <w:szCs w:val="20"/>
          <w:color w:val="auto"/>
        </w:rPr>
      </w:pPr>
    </w:p>
    <w:p>
      <w:pPr>
        <w:ind w:left="160" w:right="260" w:firstLine="427"/>
        <w:spacing w:after="0" w:line="270" w:lineRule="auto"/>
        <w:rPr>
          <w:sz w:val="20"/>
          <w:szCs w:val="20"/>
          <w:color w:val="auto"/>
        </w:rPr>
      </w:pPr>
      <w:r>
        <w:rPr>
          <w:rFonts w:ascii="Arial" w:cs="Arial" w:eastAsia="Arial" w:hAnsi="Arial"/>
          <w:sz w:val="20"/>
          <w:szCs w:val="20"/>
          <w:color w:val="7F7F7F"/>
        </w:rPr>
        <w:t>Chairman Emeritus Founder MEFAmericas-</w:t>
      </w:r>
    </w:p>
    <w:p>
      <w:pPr>
        <w:spacing w:after="0" w:line="200" w:lineRule="exact"/>
        <w:rPr>
          <w:sz w:val="20"/>
          <w:szCs w:val="20"/>
          <w:color w:val="auto"/>
        </w:rPr>
      </w:pPr>
    </w:p>
    <w:p>
      <w:pPr>
        <w:spacing w:after="0" w:line="339" w:lineRule="exact"/>
        <w:rPr>
          <w:sz w:val="20"/>
          <w:szCs w:val="20"/>
          <w:color w:val="auto"/>
        </w:rPr>
      </w:pPr>
    </w:p>
    <w:p>
      <w:pPr>
        <w:jc w:val="right"/>
        <w:ind w:right="280"/>
        <w:spacing w:after="0"/>
        <w:rPr>
          <w:sz w:val="20"/>
          <w:szCs w:val="20"/>
          <w:color w:val="auto"/>
        </w:rPr>
      </w:pPr>
      <w:r>
        <w:rPr>
          <w:rFonts w:ascii="Arial" w:cs="Arial" w:eastAsia="Arial" w:hAnsi="Arial"/>
          <w:sz w:val="20"/>
          <w:szCs w:val="20"/>
          <w:color w:val="7F7F7F"/>
        </w:rPr>
        <w:t>Classic Media</w:t>
      </w:r>
    </w:p>
    <w:p>
      <w:pPr>
        <w:spacing w:after="0" w:line="5" w:lineRule="exact"/>
        <w:rPr>
          <w:sz w:val="20"/>
          <w:szCs w:val="20"/>
          <w:color w:val="auto"/>
        </w:rPr>
      </w:pPr>
    </w:p>
    <w:p>
      <w:pPr>
        <w:jc w:val="right"/>
        <w:ind w:right="320"/>
        <w:spacing w:after="0"/>
        <w:rPr>
          <w:sz w:val="20"/>
          <w:szCs w:val="20"/>
          <w:color w:val="auto"/>
        </w:rPr>
      </w:pPr>
      <w:r>
        <w:rPr>
          <w:rFonts w:ascii="Arial" w:cs="Arial" w:eastAsia="Arial" w:hAnsi="Arial"/>
          <w:sz w:val="20"/>
          <w:szCs w:val="20"/>
          <w:color w:val="7F7F7F"/>
        </w:rPr>
        <w:t>Co-CEO</w:t>
      </w:r>
    </w:p>
    <w:p>
      <w:pPr>
        <w:spacing w:after="0" w:line="200" w:lineRule="exact"/>
        <w:rPr>
          <w:sz w:val="20"/>
          <w:szCs w:val="20"/>
          <w:color w:val="auto"/>
        </w:rPr>
      </w:pPr>
    </w:p>
    <w:p>
      <w:pPr>
        <w:spacing w:after="0" w:line="381" w:lineRule="exact"/>
        <w:rPr>
          <w:sz w:val="20"/>
          <w:szCs w:val="20"/>
          <w:color w:val="auto"/>
        </w:rPr>
      </w:pPr>
    </w:p>
    <w:p>
      <w:pPr>
        <w:ind w:left="300" w:right="140" w:firstLine="693"/>
        <w:spacing w:after="0" w:line="258" w:lineRule="auto"/>
        <w:rPr>
          <w:sz w:val="20"/>
          <w:szCs w:val="20"/>
          <w:color w:val="auto"/>
        </w:rPr>
      </w:pPr>
      <w:r>
        <w:rPr>
          <w:rFonts w:ascii="Arial" w:cs="Arial" w:eastAsia="Arial" w:hAnsi="Arial"/>
          <w:sz w:val="20"/>
          <w:szCs w:val="20"/>
          <w:color w:val="7F7F7F"/>
        </w:rPr>
        <w:t>CFO BiolineRX Formerly Coopers, SEC</w:t>
      </w:r>
    </w:p>
    <w:p>
      <w:pPr>
        <w:sectPr>
          <w:pgSz w:w="11900" w:h="16838" w:orient="portrait"/>
          <w:cols w:equalWidth="0" w:num="3">
            <w:col w:w="3800" w:space="720"/>
            <w:col w:w="2660" w:space="460"/>
            <w:col w:w="2580"/>
          </w:cols>
          <w:pgMar w:left="560" w:top="508" w:right="1119" w:bottom="1440" w:gutter="0" w:footer="0" w:header="0"/>
          <w:type w:val="continuous"/>
        </w:sectPr>
      </w:pPr>
    </w:p>
    <w:bookmarkStart w:id="11" w:name="page12"/>
    <w:bookmarkEnd w:id="11"/>
    <w:p>
      <w:pPr>
        <w:ind w:left="111"/>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Vringo in Middle of Rapidly Growing Markets and Trends</w:t>
      </w:r>
    </w:p>
    <w:p>
      <w:pPr>
        <w:spacing w:after="0" w:line="232" w:lineRule="exact"/>
        <w:rPr>
          <w:sz w:val="20"/>
          <w:szCs w:val="20"/>
          <w:color w:val="auto"/>
        </w:rPr>
      </w:pPr>
    </w:p>
    <w:p>
      <w:pPr>
        <w:ind w:left="491" w:hanging="320"/>
        <w:spacing w:after="0"/>
        <w:tabs>
          <w:tab w:leader="none" w:pos="491" w:val="left"/>
        </w:tabs>
        <w:numPr>
          <w:ilvl w:val="0"/>
          <w:numId w:val="6"/>
        </w:numPr>
        <w:rPr>
          <w:rFonts w:ascii="Arial" w:cs="Arial" w:eastAsia="Arial" w:hAnsi="Arial"/>
          <w:sz w:val="20"/>
          <w:szCs w:val="20"/>
          <w:color w:val="auto"/>
        </w:rPr>
      </w:pPr>
      <w:r>
        <w:rPr>
          <w:rFonts w:ascii="Arial" w:cs="Arial" w:eastAsia="Arial" w:hAnsi="Arial"/>
          <w:sz w:val="26"/>
          <w:szCs w:val="26"/>
          <w:b w:val="1"/>
          <w:bCs w:val="1"/>
          <w:color w:val="auto"/>
        </w:rPr>
        <w:t>Mobile video has arrived</w:t>
      </w:r>
    </w:p>
    <w:p>
      <w:pPr>
        <w:ind w:left="551"/>
        <w:spacing w:after="0" w:line="215" w:lineRule="auto"/>
        <w:tabs>
          <w:tab w:leader="none" w:pos="85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6"/>
          <w:szCs w:val="26"/>
          <w:color w:val="auto"/>
        </w:rPr>
        <w:t>Mobile video data usage is expected to grow at a 131% CAGR from 201409</w:t>
      </w:r>
      <w:r>
        <w:rPr>
          <w:rFonts w:ascii="Arial" w:cs="Arial" w:eastAsia="Arial" w:hAnsi="Arial"/>
          <w:sz w:val="34"/>
          <w:szCs w:val="34"/>
          <w:color w:val="auto"/>
          <w:vertAlign w:val="superscript"/>
        </w:rPr>
        <w:t>(1)</w:t>
      </w:r>
      <w:r>
        <w:rPr>
          <w:rFonts w:ascii="Arial" w:cs="Arial" w:eastAsia="Arial" w:hAnsi="Arial"/>
          <w:sz w:val="26"/>
          <w:szCs w:val="26"/>
          <w:color w:val="auto"/>
        </w:rPr>
        <w:t>-</w:t>
      </w:r>
    </w:p>
    <w:p>
      <w:pPr>
        <w:ind w:left="871" w:hanging="316"/>
        <w:spacing w:after="0" w:line="190" w:lineRule="auto"/>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534 M global mobile video subscribers by 2014</w:t>
      </w:r>
      <w:r>
        <w:rPr>
          <w:rFonts w:ascii="Arial" w:cs="Arial" w:eastAsia="Arial" w:hAnsi="Arial"/>
          <w:sz w:val="34"/>
          <w:szCs w:val="34"/>
          <w:color w:val="auto"/>
          <w:vertAlign w:val="superscript"/>
        </w:rPr>
        <w:t>(2)</w:t>
      </w:r>
    </w:p>
    <w:p>
      <w:pPr>
        <w:spacing w:after="0" w:line="1" w:lineRule="exact"/>
        <w:rPr>
          <w:rFonts w:ascii="Arial" w:cs="Arial" w:eastAsia="Arial" w:hAnsi="Arial"/>
          <w:sz w:val="20"/>
          <w:szCs w:val="20"/>
          <w:color w:val="auto"/>
        </w:rPr>
      </w:pPr>
    </w:p>
    <w:p>
      <w:pPr>
        <w:ind w:left="1251" w:hanging="312"/>
        <w:spacing w:after="0"/>
        <w:tabs>
          <w:tab w:leader="none" w:pos="1251" w:val="left"/>
        </w:tabs>
        <w:numPr>
          <w:ilvl w:val="3"/>
          <w:numId w:val="7"/>
        </w:numPr>
        <w:rPr>
          <w:rFonts w:ascii="Arial" w:cs="Arial" w:eastAsia="Arial" w:hAnsi="Arial"/>
          <w:sz w:val="20"/>
          <w:szCs w:val="20"/>
          <w:color w:val="auto"/>
        </w:rPr>
      </w:pPr>
      <w:r>
        <w:rPr>
          <w:rFonts w:ascii="Arial" w:cs="Arial" w:eastAsia="Arial" w:hAnsi="Arial"/>
          <w:sz w:val="26"/>
          <w:szCs w:val="26"/>
          <w:color w:val="auto"/>
        </w:rPr>
        <w:t>Five-fold increase since 2008</w:t>
      </w:r>
    </w:p>
    <w:p>
      <w:pPr>
        <w:spacing w:after="0" w:line="8" w:lineRule="exact"/>
        <w:rPr>
          <w:rFonts w:ascii="Arial" w:cs="Arial" w:eastAsia="Arial" w:hAnsi="Arial"/>
          <w:sz w:val="20"/>
          <w:szCs w:val="20"/>
          <w:color w:val="auto"/>
        </w:rPr>
      </w:pPr>
    </w:p>
    <w:p>
      <w:pPr>
        <w:ind w:left="1251" w:hanging="312"/>
        <w:spacing w:after="0" w:line="184" w:lineRule="auto"/>
        <w:tabs>
          <w:tab w:leader="none" w:pos="1251" w:val="left"/>
        </w:tabs>
        <w:numPr>
          <w:ilvl w:val="3"/>
          <w:numId w:val="7"/>
        </w:numPr>
        <w:rPr>
          <w:rFonts w:ascii="Arial" w:cs="Arial" w:eastAsia="Arial" w:hAnsi="Arial"/>
          <w:sz w:val="20"/>
          <w:szCs w:val="20"/>
          <w:color w:val="auto"/>
        </w:rPr>
      </w:pPr>
      <w:r>
        <w:rPr>
          <w:rFonts w:ascii="Arial" w:cs="Arial" w:eastAsia="Arial" w:hAnsi="Arial"/>
          <w:sz w:val="26"/>
          <w:szCs w:val="26"/>
          <w:color w:val="auto"/>
        </w:rPr>
        <w:t xml:space="preserve">$16 B in revenues projected in the </w:t>
      </w:r>
      <w:r>
        <w:rPr>
          <w:rFonts w:ascii="Arial" w:cs="Arial" w:eastAsia="Arial" w:hAnsi="Arial"/>
          <w:sz w:val="34"/>
          <w:szCs w:val="34"/>
          <w:color w:val="auto"/>
          <w:vertAlign w:val="superscript"/>
        </w:rPr>
        <w:t>(2)</w:t>
      </w:r>
      <w:r>
        <w:rPr>
          <w:rFonts w:ascii="Arial" w:cs="Arial" w:eastAsia="Arial" w:hAnsi="Arial"/>
          <w:sz w:val="26"/>
          <w:szCs w:val="26"/>
          <w:color w:val="auto"/>
        </w:rPr>
        <w:t>US</w:t>
      </w:r>
    </w:p>
    <w:p>
      <w:pPr>
        <w:ind w:left="491" w:hanging="320"/>
        <w:spacing w:after="0"/>
        <w:tabs>
          <w:tab w:leader="none" w:pos="491" w:val="left"/>
        </w:tabs>
        <w:numPr>
          <w:ilvl w:val="1"/>
          <w:numId w:val="7"/>
        </w:numPr>
        <w:rPr>
          <w:rFonts w:ascii="Arial" w:cs="Arial" w:eastAsia="Arial" w:hAnsi="Arial"/>
          <w:sz w:val="20"/>
          <w:szCs w:val="20"/>
          <w:color w:val="auto"/>
        </w:rPr>
      </w:pPr>
      <w:r>
        <w:rPr>
          <w:rFonts w:ascii="Arial" w:cs="Arial" w:eastAsia="Arial" w:hAnsi="Arial"/>
          <w:sz w:val="26"/>
          <w:szCs w:val="26"/>
          <w:b w:val="1"/>
          <w:bCs w:val="1"/>
          <w:color w:val="auto"/>
        </w:rPr>
        <w:t>Mobile social networking is growing exponentially</w:t>
      </w:r>
    </w:p>
    <w:p>
      <w:pPr>
        <w:spacing w:after="0" w:line="10" w:lineRule="exact"/>
        <w:rPr>
          <w:rFonts w:ascii="Arial" w:cs="Arial" w:eastAsia="Arial" w:hAnsi="Arial"/>
          <w:sz w:val="20"/>
          <w:szCs w:val="20"/>
          <w:color w:val="auto"/>
        </w:rPr>
      </w:pPr>
    </w:p>
    <w:p>
      <w:pPr>
        <w:ind w:left="871" w:hanging="316"/>
        <w:spacing w:after="0"/>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Facebook and Twitter at the forefront of the phenomenon</w:t>
      </w:r>
    </w:p>
    <w:p>
      <w:pPr>
        <w:spacing w:after="0" w:line="10" w:lineRule="exact"/>
        <w:rPr>
          <w:rFonts w:ascii="Arial" w:cs="Arial" w:eastAsia="Arial" w:hAnsi="Arial"/>
          <w:sz w:val="20"/>
          <w:szCs w:val="20"/>
          <w:color w:val="auto"/>
        </w:rPr>
      </w:pPr>
    </w:p>
    <w:p>
      <w:pPr>
        <w:ind w:left="871" w:hanging="316"/>
        <w:spacing w:after="0"/>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Growing mobile social networking and user-generated content revenue</w:t>
      </w:r>
    </w:p>
    <w:p>
      <w:pPr>
        <w:spacing w:after="0" w:line="8" w:lineRule="exact"/>
        <w:rPr>
          <w:rFonts w:ascii="Arial" w:cs="Arial" w:eastAsia="Arial" w:hAnsi="Arial"/>
          <w:sz w:val="20"/>
          <w:szCs w:val="20"/>
          <w:color w:val="auto"/>
        </w:rPr>
      </w:pPr>
    </w:p>
    <w:p>
      <w:pPr>
        <w:ind w:left="871" w:hanging="316"/>
        <w:spacing w:after="0" w:line="190" w:lineRule="auto"/>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$1.8 B in 2008 to $11.8 B in 2013</w:t>
      </w:r>
      <w:r>
        <w:rPr>
          <w:rFonts w:ascii="Arial" w:cs="Arial" w:eastAsia="Arial" w:hAnsi="Arial"/>
          <w:sz w:val="34"/>
          <w:szCs w:val="34"/>
          <w:color w:val="auto"/>
          <w:vertAlign w:val="superscript"/>
        </w:rPr>
        <w:t>(3)</w:t>
      </w:r>
    </w:p>
    <w:p>
      <w:pPr>
        <w:spacing w:after="0" w:line="1" w:lineRule="exact"/>
        <w:rPr>
          <w:rFonts w:ascii="Arial" w:cs="Arial" w:eastAsia="Arial" w:hAnsi="Arial"/>
          <w:sz w:val="20"/>
          <w:szCs w:val="20"/>
          <w:color w:val="auto"/>
        </w:rPr>
      </w:pPr>
    </w:p>
    <w:p>
      <w:pPr>
        <w:ind w:left="871" w:hanging="316"/>
        <w:spacing w:after="0" w:line="201" w:lineRule="auto"/>
        <w:tabs>
          <w:tab w:leader="none" w:pos="871" w:val="left"/>
        </w:tabs>
        <w:numPr>
          <w:ilvl w:val="2"/>
          <w:numId w:val="7"/>
        </w:numPr>
        <w:rPr>
          <w:rFonts w:ascii="Arial" w:cs="Arial" w:eastAsia="Arial" w:hAnsi="Arial"/>
          <w:sz w:val="19"/>
          <w:szCs w:val="19"/>
          <w:color w:val="auto"/>
        </w:rPr>
      </w:pPr>
      <w:r>
        <w:rPr>
          <w:rFonts w:ascii="Arial" w:cs="Arial" w:eastAsia="Arial" w:hAnsi="Arial"/>
          <w:sz w:val="24"/>
          <w:szCs w:val="24"/>
          <w:color w:val="auto"/>
        </w:rPr>
        <w:t>Approximately 1 out of every 8 people world-wide has used a digital social network</w:t>
      </w:r>
      <w:r>
        <w:rPr>
          <w:rFonts w:ascii="Arial" w:cs="Arial" w:eastAsia="Arial" w:hAnsi="Arial"/>
          <w:sz w:val="32"/>
          <w:szCs w:val="32"/>
          <w:color w:val="auto"/>
          <w:vertAlign w:val="superscript"/>
        </w:rPr>
        <w:t>(4)</w:t>
      </w:r>
    </w:p>
    <w:p>
      <w:pPr>
        <w:spacing w:after="0" w:line="1" w:lineRule="exact"/>
        <w:rPr>
          <w:rFonts w:ascii="Arial" w:cs="Arial" w:eastAsia="Arial" w:hAnsi="Arial"/>
          <w:sz w:val="19"/>
          <w:szCs w:val="19"/>
          <w:color w:val="auto"/>
        </w:rPr>
      </w:pPr>
    </w:p>
    <w:p>
      <w:pPr>
        <w:ind w:left="491" w:hanging="320"/>
        <w:spacing w:after="0"/>
        <w:tabs>
          <w:tab w:leader="none" w:pos="491" w:val="left"/>
        </w:tabs>
        <w:numPr>
          <w:ilvl w:val="1"/>
          <w:numId w:val="7"/>
        </w:numPr>
        <w:rPr>
          <w:rFonts w:ascii="Arial" w:cs="Arial" w:eastAsia="Arial" w:hAnsi="Arial"/>
          <w:sz w:val="20"/>
          <w:szCs w:val="20"/>
          <w:color w:val="auto"/>
        </w:rPr>
      </w:pPr>
      <w:r>
        <w:rPr>
          <w:rFonts w:ascii="Arial" w:cs="Arial" w:eastAsia="Arial" w:hAnsi="Arial"/>
          <w:sz w:val="26"/>
          <w:szCs w:val="26"/>
          <w:b w:val="1"/>
          <w:bCs w:val="1"/>
          <w:color w:val="auto"/>
        </w:rPr>
        <w:t>User generated content continues to grow</w:t>
      </w:r>
    </w:p>
    <w:p>
      <w:pPr>
        <w:ind w:left="871" w:hanging="316"/>
        <w:spacing w:after="0"/>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YouTube revolution</w:t>
      </w:r>
    </w:p>
    <w:p>
      <w:pPr>
        <w:spacing w:after="0" w:line="10" w:lineRule="exact"/>
        <w:rPr>
          <w:rFonts w:ascii="Arial" w:cs="Arial" w:eastAsia="Arial" w:hAnsi="Arial"/>
          <w:sz w:val="20"/>
          <w:szCs w:val="20"/>
          <w:color w:val="auto"/>
        </w:rPr>
      </w:pPr>
    </w:p>
    <w:p>
      <w:pPr>
        <w:ind w:left="871" w:hanging="316"/>
        <w:spacing w:after="0"/>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Advances in technology that facilitate the creation of user-generated content</w:t>
      </w:r>
    </w:p>
    <w:p>
      <w:pPr>
        <w:spacing w:after="0" w:line="8" w:lineRule="exact"/>
        <w:rPr>
          <w:rFonts w:ascii="Arial" w:cs="Arial" w:eastAsia="Arial" w:hAnsi="Arial"/>
          <w:sz w:val="20"/>
          <w:szCs w:val="20"/>
          <w:color w:val="auto"/>
        </w:rPr>
      </w:pPr>
    </w:p>
    <w:p>
      <w:pPr>
        <w:ind w:left="491" w:hanging="320"/>
        <w:spacing w:after="0"/>
        <w:tabs>
          <w:tab w:leader="none" w:pos="491" w:val="left"/>
        </w:tabs>
        <w:numPr>
          <w:ilvl w:val="1"/>
          <w:numId w:val="7"/>
        </w:numPr>
        <w:rPr>
          <w:rFonts w:ascii="Arial" w:cs="Arial" w:eastAsia="Arial" w:hAnsi="Arial"/>
          <w:sz w:val="20"/>
          <w:szCs w:val="20"/>
          <w:color w:val="auto"/>
        </w:rPr>
      </w:pPr>
      <w:r>
        <w:rPr>
          <w:rFonts w:ascii="Arial" w:cs="Arial" w:eastAsia="Arial" w:hAnsi="Arial"/>
          <w:sz w:val="26"/>
          <w:szCs w:val="26"/>
          <w:b w:val="1"/>
          <w:bCs w:val="1"/>
          <w:color w:val="auto"/>
        </w:rPr>
        <w:t>Rise of smart phones</w:t>
      </w:r>
    </w:p>
    <w:p>
      <w:pPr>
        <w:spacing w:after="0" w:line="10" w:lineRule="exact"/>
        <w:rPr>
          <w:rFonts w:ascii="Arial" w:cs="Arial" w:eastAsia="Arial" w:hAnsi="Arial"/>
          <w:sz w:val="20"/>
          <w:szCs w:val="20"/>
          <w:color w:val="auto"/>
        </w:rPr>
      </w:pPr>
    </w:p>
    <w:p>
      <w:pPr>
        <w:ind w:left="871" w:hanging="316"/>
        <w:spacing w:after="0" w:line="190" w:lineRule="auto"/>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Global Smartphone shipments experienced 72% growth YOY from 2009</w:t>
      </w:r>
      <w:r>
        <w:rPr>
          <w:rFonts w:ascii="Arial" w:cs="Arial" w:eastAsia="Arial" w:hAnsi="Arial"/>
          <w:sz w:val="34"/>
          <w:szCs w:val="34"/>
          <w:color w:val="auto"/>
          <w:vertAlign w:val="superscript"/>
        </w:rPr>
        <w:t>(5)</w:t>
      </w:r>
      <w:r>
        <w:rPr>
          <w:rFonts w:ascii="Arial" w:cs="Arial" w:eastAsia="Arial" w:hAnsi="Arial"/>
          <w:sz w:val="26"/>
          <w:szCs w:val="26"/>
          <w:color w:val="auto"/>
        </w:rPr>
        <w:t>-2010</w:t>
      </w:r>
    </w:p>
    <w:p>
      <w:pPr>
        <w:spacing w:after="0" w:line="1" w:lineRule="exact"/>
        <w:rPr>
          <w:rFonts w:ascii="Arial" w:cs="Arial" w:eastAsia="Arial" w:hAnsi="Arial"/>
          <w:sz w:val="20"/>
          <w:szCs w:val="20"/>
          <w:color w:val="auto"/>
        </w:rPr>
      </w:pPr>
    </w:p>
    <w:p>
      <w:pPr>
        <w:ind w:left="871" w:hanging="316"/>
        <w:spacing w:after="0"/>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Increased bandwidth enables rich media transfer across many devices</w:t>
      </w:r>
    </w:p>
    <w:p>
      <w:pPr>
        <w:spacing w:after="0" w:line="8" w:lineRule="exact"/>
        <w:rPr>
          <w:rFonts w:ascii="Arial" w:cs="Arial" w:eastAsia="Arial" w:hAnsi="Arial"/>
          <w:sz w:val="20"/>
          <w:szCs w:val="20"/>
          <w:color w:val="auto"/>
        </w:rPr>
      </w:pPr>
    </w:p>
    <w:p>
      <w:pPr>
        <w:ind w:left="871" w:hanging="316"/>
        <w:spacing w:after="0" w:line="184" w:lineRule="auto"/>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 xml:space="preserve">Apps everywhere…with Android unit growth of 888% from 2009 to </w:t>
      </w:r>
      <w:r>
        <w:rPr>
          <w:rFonts w:ascii="Arial" w:cs="Arial" w:eastAsia="Arial" w:hAnsi="Arial"/>
          <w:sz w:val="34"/>
          <w:szCs w:val="34"/>
          <w:color w:val="auto"/>
          <w:vertAlign w:val="superscript"/>
        </w:rPr>
        <w:t>(5)</w:t>
      </w:r>
      <w:r>
        <w:rPr>
          <w:rFonts w:ascii="Arial" w:cs="Arial" w:eastAsia="Arial" w:hAnsi="Arial"/>
          <w:sz w:val="26"/>
          <w:szCs w:val="26"/>
          <w:color w:val="auto"/>
        </w:rPr>
        <w:t>2010</w:t>
      </w:r>
    </w:p>
    <w:p>
      <w:pPr>
        <w:ind w:left="871" w:hanging="316"/>
        <w:spacing w:after="0"/>
        <w:tabs>
          <w:tab w:leader="none" w:pos="871" w:val="left"/>
        </w:tabs>
        <w:numPr>
          <w:ilvl w:val="2"/>
          <w:numId w:val="7"/>
        </w:numPr>
        <w:rPr>
          <w:rFonts w:ascii="Arial" w:cs="Arial" w:eastAsia="Arial" w:hAnsi="Arial"/>
          <w:sz w:val="20"/>
          <w:szCs w:val="20"/>
          <w:color w:val="auto"/>
        </w:rPr>
      </w:pPr>
      <w:r>
        <w:rPr>
          <w:rFonts w:ascii="Arial" w:cs="Arial" w:eastAsia="Arial" w:hAnsi="Arial"/>
          <w:sz w:val="26"/>
          <w:szCs w:val="26"/>
          <w:color w:val="auto"/>
        </w:rPr>
        <w:t>Global 3G penetration expected to exceed 20% by the end of</w:t>
      </w:r>
      <w:r>
        <w:rPr>
          <w:rFonts w:ascii="Arial" w:cs="Arial" w:eastAsia="Arial" w:hAnsi="Arial"/>
          <w:sz w:val="34"/>
          <w:szCs w:val="34"/>
          <w:color w:val="auto"/>
          <w:vertAlign w:val="superscript"/>
        </w:rPr>
        <w:t>(4)</w:t>
      </w:r>
      <w:r>
        <w:rPr>
          <w:rFonts w:ascii="Arial" w:cs="Arial" w:eastAsia="Arial" w:hAnsi="Arial"/>
          <w:sz w:val="26"/>
          <w:szCs w:val="26"/>
          <w:color w:val="auto"/>
        </w:rPr>
        <w:t>2010</w:t>
      </w:r>
    </w:p>
    <w:p>
      <w:pPr>
        <w:spacing w:after="0" w:line="33" w:lineRule="exact"/>
        <w:rPr>
          <w:rFonts w:ascii="Arial" w:cs="Arial" w:eastAsia="Arial" w:hAnsi="Arial"/>
          <w:sz w:val="20"/>
          <w:szCs w:val="20"/>
          <w:color w:val="auto"/>
        </w:rPr>
      </w:pPr>
    </w:p>
    <w:p>
      <w:pPr>
        <w:ind w:left="391" w:hanging="391"/>
        <w:spacing w:after="0" w:line="182" w:lineRule="auto"/>
        <w:tabs>
          <w:tab w:leader="none" w:pos="391" w:val="left"/>
        </w:tabs>
        <w:numPr>
          <w:ilvl w:val="0"/>
          <w:numId w:val="7"/>
        </w:numPr>
        <w:rPr>
          <w:rFonts w:ascii="Arial" w:cs="Arial" w:eastAsia="Arial" w:hAnsi="Arial"/>
          <w:sz w:val="11"/>
          <w:szCs w:val="11"/>
          <w:color w:val="auto"/>
        </w:rPr>
      </w:pPr>
      <w:r>
        <w:rPr>
          <w:rFonts w:ascii="Arial" w:cs="Arial" w:eastAsia="Arial" w:hAnsi="Arial"/>
          <w:sz w:val="11"/>
          <w:szCs w:val="11"/>
          <w:color w:val="auto"/>
        </w:rPr>
        <w:t>Cisco Visual Networking Index: Global Mobile Data Traffic Forecast Update, 2009-2014, 2/10</w:t>
      </w:r>
    </w:p>
    <w:p>
      <w:pPr>
        <w:ind w:left="391" w:hanging="391"/>
        <w:spacing w:after="0" w:line="182" w:lineRule="auto"/>
        <w:tabs>
          <w:tab w:leader="none" w:pos="391" w:val="left"/>
        </w:tabs>
        <w:numPr>
          <w:ilvl w:val="0"/>
          <w:numId w:val="7"/>
        </w:numPr>
        <w:rPr>
          <w:rFonts w:ascii="Arial" w:cs="Arial" w:eastAsia="Arial" w:hAnsi="Arial"/>
          <w:sz w:val="11"/>
          <w:szCs w:val="11"/>
          <w:color w:val="auto"/>
        </w:rPr>
      </w:pPr>
      <w:r>
        <w:rPr>
          <w:rFonts w:ascii="Arial" w:cs="Arial" w:eastAsia="Arial" w:hAnsi="Arial"/>
          <w:sz w:val="11"/>
          <w:szCs w:val="11"/>
          <w:color w:val="auto"/>
        </w:rPr>
        <w:t>Pyramid Research</w:t>
      </w:r>
    </w:p>
    <w:p>
      <w:pPr>
        <w:ind w:left="391" w:hanging="391"/>
        <w:spacing w:after="0" w:line="182" w:lineRule="auto"/>
        <w:tabs>
          <w:tab w:leader="none" w:pos="391" w:val="left"/>
        </w:tabs>
        <w:numPr>
          <w:ilvl w:val="0"/>
          <w:numId w:val="7"/>
        </w:numPr>
        <w:rPr>
          <w:rFonts w:ascii="Arial" w:cs="Arial" w:eastAsia="Arial" w:hAnsi="Arial"/>
          <w:sz w:val="11"/>
          <w:szCs w:val="11"/>
          <w:color w:val="auto"/>
        </w:rPr>
      </w:pPr>
      <w:r>
        <w:rPr>
          <w:rFonts w:ascii="Arial" w:cs="Arial" w:eastAsia="Arial" w:hAnsi="Arial"/>
          <w:sz w:val="11"/>
          <w:szCs w:val="11"/>
          <w:color w:val="auto"/>
        </w:rPr>
        <w:t>Juniper Research</w:t>
      </w:r>
    </w:p>
    <w:p>
      <w:pPr>
        <w:ind w:left="391" w:hanging="391"/>
        <w:spacing w:after="0" w:line="182" w:lineRule="auto"/>
        <w:tabs>
          <w:tab w:leader="none" w:pos="391" w:val="left"/>
        </w:tabs>
        <w:numPr>
          <w:ilvl w:val="0"/>
          <w:numId w:val="7"/>
        </w:numPr>
        <w:rPr>
          <w:rFonts w:ascii="Arial" w:cs="Arial" w:eastAsia="Arial" w:hAnsi="Arial"/>
          <w:sz w:val="11"/>
          <w:szCs w:val="11"/>
          <w:color w:val="auto"/>
        </w:rPr>
      </w:pPr>
      <w:r>
        <w:rPr>
          <w:rFonts w:ascii="Arial" w:cs="Arial" w:eastAsia="Arial" w:hAnsi="Arial"/>
          <w:sz w:val="11"/>
          <w:szCs w:val="11"/>
          <w:color w:val="auto"/>
        </w:rPr>
        <w:t>Morgan Stanley’s Internet Trends, 04/10; comScore Global, 12/09</w:t>
      </w:r>
    </w:p>
    <w:p>
      <w:pPr>
        <w:ind w:left="391" w:hanging="391"/>
        <w:spacing w:after="0"/>
        <w:tabs>
          <w:tab w:leader="none" w:pos="391" w:val="left"/>
        </w:tabs>
        <w:numPr>
          <w:ilvl w:val="0"/>
          <w:numId w:val="7"/>
        </w:numPr>
        <w:rPr>
          <w:rFonts w:ascii="Arial" w:cs="Arial" w:eastAsia="Arial" w:hAnsi="Arial"/>
          <w:sz w:val="12"/>
          <w:szCs w:val="12"/>
          <w:color w:val="auto"/>
        </w:rPr>
      </w:pPr>
      <w:r>
        <w:rPr>
          <w:rFonts w:ascii="Arial" w:cs="Arial" w:eastAsia="Arial" w:hAnsi="Arial"/>
          <w:sz w:val="12"/>
          <w:szCs w:val="12"/>
          <w:color w:val="auto"/>
        </w:rPr>
        <w:t>Gartner</w:t>
      </w:r>
    </w:p>
    <w:p>
      <w:pPr>
        <w:spacing w:after="0" w:line="364" w:lineRule="exact"/>
        <w:rPr>
          <w:rFonts w:ascii="Arial" w:cs="Arial" w:eastAsia="Arial" w:hAnsi="Arial"/>
          <w:sz w:val="12"/>
          <w:szCs w:val="12"/>
          <w:color w:val="auto"/>
        </w:rPr>
      </w:pPr>
    </w:p>
    <w:p>
      <w:pPr>
        <w:ind w:left="4831" w:hanging="83"/>
        <w:spacing w:after="0"/>
        <w:tabs>
          <w:tab w:leader="none" w:pos="4831" w:val="left"/>
        </w:tabs>
        <w:numPr>
          <w:ilvl w:val="4"/>
          <w:numId w:val="7"/>
        </w:numPr>
        <w:rPr>
          <w:rFonts w:ascii="Arial" w:cs="Arial" w:eastAsia="Arial" w:hAnsi="Arial"/>
          <w:sz w:val="13"/>
          <w:szCs w:val="13"/>
          <w:color w:val="FFFFFF"/>
        </w:rPr>
      </w:pPr>
      <w:r>
        <w:rPr>
          <w:rFonts w:ascii="Arial" w:cs="Arial" w:eastAsia="Arial" w:hAnsi="Arial"/>
          <w:sz w:val="13"/>
          <w:szCs w:val="13"/>
          <w:color w:val="FFFFFF"/>
        </w:rPr>
        <w:t>Page 9 -</w:t>
      </w:r>
    </w:p>
    <w:p>
      <w:pPr>
        <w:sectPr>
          <w:pgSz w:w="11900" w:h="16838" w:orient="portrait"/>
          <w:cols w:equalWidth="0" w:num="1">
            <w:col w:w="10231"/>
          </w:cols>
          <w:pgMar w:left="449" w:top="486" w:right="1219" w:bottom="1440" w:gutter="0" w:footer="0" w:header="0"/>
        </w:sectPr>
      </w:pPr>
    </w:p>
    <w:bookmarkStart w:id="12" w:name="page13"/>
    <w:bookmarkEnd w:id="12"/>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Ring Tone Market-Ready for Vringo’s Innovation</w:t>
      </w:r>
    </w:p>
    <w:p>
      <w:pPr>
        <w:spacing w:after="0" w:line="221" w:lineRule="exact"/>
        <w:rPr>
          <w:sz w:val="20"/>
          <w:szCs w:val="20"/>
          <w:color w:val="auto"/>
        </w:rPr>
      </w:pPr>
    </w:p>
    <w:p>
      <w:pPr>
        <w:ind w:left="320" w:hanging="260"/>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26"/>
          <w:szCs w:val="26"/>
          <w:b w:val="1"/>
          <w:bCs w:val="1"/>
          <w:color w:val="auto"/>
        </w:rPr>
        <w:t>Ringtone business was created in 1997</w:t>
      </w:r>
    </w:p>
    <w:p>
      <w:pPr>
        <w:spacing w:after="0" w:line="42" w:lineRule="exact"/>
        <w:rPr>
          <w:rFonts w:ascii="Arial" w:cs="Arial" w:eastAsia="Arial" w:hAnsi="Arial"/>
          <w:sz w:val="20"/>
          <w:szCs w:val="20"/>
          <w:color w:val="auto"/>
        </w:rPr>
      </w:pPr>
    </w:p>
    <w:p>
      <w:pPr>
        <w:ind w:left="760" w:hanging="316"/>
        <w:spacing w:after="0"/>
        <w:tabs>
          <w:tab w:leader="none" w:pos="760" w:val="left"/>
        </w:tabs>
        <w:numPr>
          <w:ilvl w:val="1"/>
          <w:numId w:val="8"/>
        </w:numPr>
        <w:rPr>
          <w:rFonts w:ascii="Arial" w:cs="Arial" w:eastAsia="Arial" w:hAnsi="Arial"/>
          <w:sz w:val="20"/>
          <w:szCs w:val="20"/>
          <w:color w:val="auto"/>
        </w:rPr>
      </w:pPr>
      <w:r>
        <w:rPr>
          <w:rFonts w:ascii="Arial" w:cs="Arial" w:eastAsia="Arial" w:hAnsi="Arial"/>
          <w:sz w:val="26"/>
          <w:szCs w:val="26"/>
          <w:color w:val="auto"/>
        </w:rPr>
        <w:t>Further developed in 2002 with the creation of truetone and mastertone</w:t>
      </w:r>
    </w:p>
    <w:p>
      <w:pPr>
        <w:spacing w:after="0" w:line="181" w:lineRule="exact"/>
        <w:rPr>
          <w:rFonts w:ascii="Arial" w:cs="Arial" w:eastAsia="Arial" w:hAnsi="Arial"/>
          <w:sz w:val="20"/>
          <w:szCs w:val="20"/>
          <w:color w:val="auto"/>
        </w:rPr>
      </w:pPr>
    </w:p>
    <w:p>
      <w:pPr>
        <w:ind w:left="320" w:hanging="260"/>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26"/>
          <w:szCs w:val="26"/>
          <w:b w:val="1"/>
          <w:bCs w:val="1"/>
          <w:color w:val="auto"/>
        </w:rPr>
        <w:t>Ringback tone was created in 2004</w:t>
      </w:r>
    </w:p>
    <w:p>
      <w:pPr>
        <w:spacing w:after="0" w:line="31" w:lineRule="exact"/>
        <w:rPr>
          <w:rFonts w:ascii="Arial" w:cs="Arial" w:eastAsia="Arial" w:hAnsi="Arial"/>
          <w:sz w:val="20"/>
          <w:szCs w:val="20"/>
          <w:color w:val="auto"/>
        </w:rPr>
      </w:pPr>
    </w:p>
    <w:p>
      <w:pPr>
        <w:ind w:left="760" w:hanging="316"/>
        <w:spacing w:after="0" w:line="189" w:lineRule="auto"/>
        <w:tabs>
          <w:tab w:leader="none" w:pos="760" w:val="left"/>
        </w:tabs>
        <w:numPr>
          <w:ilvl w:val="1"/>
          <w:numId w:val="8"/>
        </w:numPr>
        <w:rPr>
          <w:rFonts w:ascii="Arial" w:cs="Arial" w:eastAsia="Arial" w:hAnsi="Arial"/>
          <w:sz w:val="20"/>
          <w:szCs w:val="20"/>
          <w:color w:val="auto"/>
        </w:rPr>
      </w:pPr>
      <w:r>
        <w:rPr>
          <w:rFonts w:ascii="Arial" w:cs="Arial" w:eastAsia="Arial" w:hAnsi="Arial"/>
          <w:sz w:val="26"/>
          <w:szCs w:val="26"/>
          <w:color w:val="auto"/>
        </w:rPr>
        <w:t>$4.7 B ringback tone market by 2012</w:t>
      </w:r>
      <w:r>
        <w:rPr>
          <w:rFonts w:ascii="Arial" w:cs="Arial" w:eastAsia="Arial" w:hAnsi="Arial"/>
          <w:sz w:val="34"/>
          <w:szCs w:val="34"/>
          <w:color w:val="auto"/>
          <w:vertAlign w:val="superscript"/>
        </w:rPr>
        <w:t>(1)</w:t>
      </w:r>
    </w:p>
    <w:p>
      <w:pPr>
        <w:spacing w:after="0" w:line="1" w:lineRule="exact"/>
        <w:rPr>
          <w:rFonts w:ascii="Arial" w:cs="Arial" w:eastAsia="Arial" w:hAnsi="Arial"/>
          <w:sz w:val="20"/>
          <w:szCs w:val="20"/>
          <w:color w:val="auto"/>
        </w:rPr>
      </w:pPr>
    </w:p>
    <w:p>
      <w:pPr>
        <w:ind w:left="1140" w:hanging="312"/>
        <w:spacing w:after="0"/>
        <w:tabs>
          <w:tab w:leader="none" w:pos="1140" w:val="left"/>
        </w:tabs>
        <w:numPr>
          <w:ilvl w:val="2"/>
          <w:numId w:val="8"/>
        </w:numPr>
        <w:rPr>
          <w:rFonts w:ascii="Arial" w:cs="Arial" w:eastAsia="Arial" w:hAnsi="Arial"/>
          <w:sz w:val="20"/>
          <w:szCs w:val="20"/>
          <w:color w:val="auto"/>
        </w:rPr>
      </w:pPr>
      <w:r>
        <w:rPr>
          <w:rFonts w:ascii="Arial" w:cs="Arial" w:eastAsia="Arial" w:hAnsi="Arial"/>
          <w:sz w:val="26"/>
          <w:szCs w:val="26"/>
          <w:color w:val="auto"/>
        </w:rPr>
        <w:t>3x growth from 2008</w:t>
      </w:r>
    </w:p>
    <w:p>
      <w:pPr>
        <w:spacing w:after="0" w:line="154" w:lineRule="exact"/>
        <w:rPr>
          <w:rFonts w:ascii="Arial" w:cs="Arial" w:eastAsia="Arial" w:hAnsi="Arial"/>
          <w:sz w:val="20"/>
          <w:szCs w:val="20"/>
          <w:color w:val="auto"/>
        </w:rPr>
      </w:pPr>
    </w:p>
    <w:p>
      <w:pPr>
        <w:ind w:left="320" w:hanging="260"/>
        <w:spacing w:after="0"/>
        <w:tabs>
          <w:tab w:leader="none" w:pos="320" w:val="left"/>
        </w:tabs>
        <w:numPr>
          <w:ilvl w:val="0"/>
          <w:numId w:val="8"/>
        </w:numPr>
        <w:rPr>
          <w:rFonts w:ascii="Arial" w:cs="Arial" w:eastAsia="Arial" w:hAnsi="Arial"/>
          <w:sz w:val="19"/>
          <w:szCs w:val="19"/>
          <w:color w:val="auto"/>
        </w:rPr>
      </w:pPr>
      <w:r>
        <w:rPr>
          <w:rFonts w:ascii="Arial" w:cs="Arial" w:eastAsia="Arial" w:hAnsi="Arial"/>
          <w:sz w:val="24"/>
          <w:szCs w:val="24"/>
          <w:b w:val="1"/>
          <w:bCs w:val="1"/>
          <w:color w:val="auto"/>
        </w:rPr>
        <w:t>More than one-third of mobile users download ringtones from various</w:t>
      </w:r>
      <w:r>
        <w:rPr>
          <w:rFonts w:ascii="Arial" w:cs="Arial" w:eastAsia="Arial" w:hAnsi="Arial"/>
          <w:sz w:val="32"/>
          <w:szCs w:val="32"/>
          <w:color w:val="auto"/>
          <w:vertAlign w:val="superscript"/>
        </w:rPr>
        <w:t>(1)</w:t>
      </w:r>
      <w:r>
        <w:rPr>
          <w:rFonts w:ascii="Arial" w:cs="Arial" w:eastAsia="Arial" w:hAnsi="Arial"/>
          <w:sz w:val="24"/>
          <w:szCs w:val="24"/>
          <w:b w:val="1"/>
          <w:bCs w:val="1"/>
          <w:color w:val="auto"/>
        </w:rPr>
        <w:t xml:space="preserve"> sources</w:t>
      </w:r>
    </w:p>
    <w:p>
      <w:pPr>
        <w:ind w:left="760" w:hanging="316"/>
        <w:spacing w:after="0"/>
        <w:tabs>
          <w:tab w:leader="none" w:pos="760" w:val="left"/>
        </w:tabs>
        <w:numPr>
          <w:ilvl w:val="1"/>
          <w:numId w:val="8"/>
        </w:numPr>
        <w:rPr>
          <w:rFonts w:ascii="Arial" w:cs="Arial" w:eastAsia="Arial" w:hAnsi="Arial"/>
          <w:sz w:val="20"/>
          <w:szCs w:val="20"/>
          <w:color w:val="auto"/>
        </w:rPr>
      </w:pPr>
      <w:r>
        <w:rPr>
          <w:rFonts w:ascii="Arial" w:cs="Arial" w:eastAsia="Arial" w:hAnsi="Arial"/>
          <w:sz w:val="26"/>
          <w:szCs w:val="26"/>
          <w:color w:val="auto"/>
        </w:rPr>
        <w:t>40% of such users frequently change their ringtones</w:t>
      </w:r>
    </w:p>
    <w:p>
      <w:pPr>
        <w:spacing w:after="0" w:line="181" w:lineRule="exact"/>
        <w:rPr>
          <w:rFonts w:ascii="Arial" w:cs="Arial" w:eastAsia="Arial" w:hAnsi="Arial"/>
          <w:sz w:val="20"/>
          <w:szCs w:val="20"/>
          <w:color w:val="auto"/>
        </w:rPr>
      </w:pPr>
    </w:p>
    <w:p>
      <w:pPr>
        <w:ind w:left="320" w:hanging="260"/>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26"/>
          <w:szCs w:val="26"/>
          <w:b w:val="1"/>
          <w:bCs w:val="1"/>
          <w:color w:val="auto"/>
        </w:rPr>
        <w:t>Ringtone business has seen little innovation since 2004</w:t>
      </w:r>
    </w:p>
    <w:p>
      <w:pPr>
        <w:spacing w:after="0" w:line="42" w:lineRule="exact"/>
        <w:rPr>
          <w:rFonts w:ascii="Arial" w:cs="Arial" w:eastAsia="Arial" w:hAnsi="Arial"/>
          <w:sz w:val="20"/>
          <w:szCs w:val="20"/>
          <w:color w:val="auto"/>
        </w:rPr>
      </w:pPr>
    </w:p>
    <w:p>
      <w:pPr>
        <w:ind w:left="760" w:hanging="316"/>
        <w:spacing w:after="0"/>
        <w:tabs>
          <w:tab w:leader="none" w:pos="760" w:val="left"/>
        </w:tabs>
        <w:numPr>
          <w:ilvl w:val="1"/>
          <w:numId w:val="8"/>
        </w:numPr>
        <w:rPr>
          <w:rFonts w:ascii="Arial" w:cs="Arial" w:eastAsia="Arial" w:hAnsi="Arial"/>
          <w:sz w:val="20"/>
          <w:szCs w:val="20"/>
          <w:color w:val="auto"/>
        </w:rPr>
      </w:pPr>
      <w:r>
        <w:rPr>
          <w:rFonts w:ascii="Arial" w:cs="Arial" w:eastAsia="Arial" w:hAnsi="Arial"/>
          <w:sz w:val="26"/>
          <w:szCs w:val="26"/>
          <w:color w:val="auto"/>
        </w:rPr>
        <w:t>Traditional suppliers of ringtones are hurting</w:t>
      </w:r>
    </w:p>
    <w:p>
      <w:pPr>
        <w:spacing w:after="0" w:line="10" w:lineRule="exact"/>
        <w:rPr>
          <w:rFonts w:ascii="Arial" w:cs="Arial" w:eastAsia="Arial" w:hAnsi="Arial"/>
          <w:sz w:val="20"/>
          <w:szCs w:val="20"/>
          <w:color w:val="auto"/>
        </w:rPr>
      </w:pPr>
    </w:p>
    <w:p>
      <w:pPr>
        <w:ind w:left="760" w:hanging="316"/>
        <w:spacing w:after="0"/>
        <w:tabs>
          <w:tab w:leader="none" w:pos="760" w:val="left"/>
        </w:tabs>
        <w:numPr>
          <w:ilvl w:val="1"/>
          <w:numId w:val="8"/>
        </w:numPr>
        <w:rPr>
          <w:rFonts w:ascii="Arial" w:cs="Arial" w:eastAsia="Arial" w:hAnsi="Arial"/>
          <w:sz w:val="20"/>
          <w:szCs w:val="20"/>
          <w:color w:val="auto"/>
        </w:rPr>
      </w:pPr>
      <w:r>
        <w:rPr>
          <w:rFonts w:ascii="Arial" w:cs="Arial" w:eastAsia="Arial" w:hAnsi="Arial"/>
          <w:sz w:val="26"/>
          <w:szCs w:val="26"/>
          <w:color w:val="auto"/>
        </w:rPr>
        <w:t>Market ready for next evolution of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3"/>
        <w:spacing w:after="0"/>
        <w:tabs>
          <w:tab w:leader="none" w:pos="400" w:val="left"/>
        </w:tabs>
        <w:numPr>
          <w:ilvl w:val="0"/>
          <w:numId w:val="9"/>
        </w:numPr>
        <w:rPr>
          <w:rFonts w:ascii="Arial" w:cs="Arial" w:eastAsia="Arial" w:hAnsi="Arial"/>
          <w:sz w:val="12"/>
          <w:szCs w:val="12"/>
          <w:color w:val="auto"/>
        </w:rPr>
      </w:pPr>
      <w:r>
        <w:rPr>
          <w:rFonts w:ascii="Arial" w:cs="Arial" w:eastAsia="Arial" w:hAnsi="Arial"/>
          <w:sz w:val="12"/>
          <w:szCs w:val="12"/>
          <w:color w:val="auto"/>
        </w:rPr>
        <w:t>Ipsos MediaCT</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FFFFFF"/>
        </w:rPr>
        <w:t>- Page 10 -</w:t>
      </w:r>
    </w:p>
    <w:p>
      <w:pPr>
        <w:sectPr>
          <w:pgSz w:w="11900" w:h="16838" w:orient="portrait"/>
          <w:cols w:equalWidth="0" w:num="1">
            <w:col w:w="9899"/>
          </w:cols>
          <w:pgMar w:left="560" w:top="486" w:right="1440" w:bottom="1440" w:gutter="0" w:footer="0" w:header="0"/>
        </w:sectPr>
      </w:pPr>
    </w:p>
    <w:bookmarkStart w:id="13" w:name="page14"/>
    <w:bookmarkEnd w:id="13"/>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Future of Mobile Personalization</w:t>
      </w:r>
    </w:p>
    <w:p>
      <w:pPr>
        <w:sectPr>
          <w:pgSz w:w="11900" w:h="16838" w:orient="portrait"/>
          <w:cols w:equalWidth="0" w:num="1">
            <w:col w:w="9899"/>
          </w:cols>
          <w:pgMar w:left="56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9FF04"/>
        </w:rPr>
        <w:t>Phone</w:t>
      </w:r>
    </w:p>
    <w:p>
      <w:pPr>
        <w:spacing w:after="0" w:line="3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9FF04"/>
        </w:rPr>
        <w:t>capabilities</w:t>
      </w:r>
    </w:p>
    <w:p>
      <w:pPr>
        <w:spacing w:after="0" w:line="200" w:lineRule="exact"/>
        <w:rPr>
          <w:sz w:val="20"/>
          <w:szCs w:val="20"/>
          <w:color w:val="auto"/>
        </w:rPr>
      </w:pPr>
    </w:p>
    <w:p>
      <w:pPr>
        <w:spacing w:after="0" w:line="358" w:lineRule="exact"/>
        <w:rPr>
          <w:sz w:val="20"/>
          <w:szCs w:val="20"/>
          <w:color w:val="auto"/>
        </w:rPr>
      </w:pPr>
    </w:p>
    <w:p>
      <w:pPr>
        <w:ind w:left="460" w:hanging="74"/>
        <w:spacing w:after="0" w:line="265" w:lineRule="auto"/>
        <w:rPr>
          <w:sz w:val="20"/>
          <w:szCs w:val="20"/>
          <w:color w:val="auto"/>
        </w:rPr>
      </w:pPr>
      <w:r>
        <w:rPr>
          <w:rFonts w:ascii="Arial" w:cs="Arial" w:eastAsia="Arial" w:hAnsi="Arial"/>
          <w:sz w:val="39"/>
          <w:szCs w:val="39"/>
          <w:color w:val="95085B"/>
        </w:rPr>
        <w:t>Vringo’s market</w:t>
      </w:r>
    </w:p>
    <w:p>
      <w:pPr>
        <w:spacing w:after="0" w:line="341" w:lineRule="exact"/>
        <w:rPr>
          <w:sz w:val="20"/>
          <w:szCs w:val="20"/>
          <w:color w:val="auto"/>
        </w:rPr>
      </w:pPr>
    </w:p>
    <w:p>
      <w:pPr>
        <w:jc w:val="center"/>
        <w:ind w:left="420" w:right="40"/>
        <w:spacing w:after="0" w:line="255" w:lineRule="auto"/>
        <w:rPr>
          <w:sz w:val="20"/>
          <w:szCs w:val="20"/>
          <w:color w:val="auto"/>
        </w:rPr>
      </w:pPr>
      <w:r>
        <w:rPr>
          <w:rFonts w:ascii="Arial" w:cs="Arial" w:eastAsia="Arial" w:hAnsi="Arial"/>
          <w:sz w:val="37"/>
          <w:szCs w:val="37"/>
          <w:color w:val="auto"/>
        </w:rPr>
        <w:t>Audio ringtone market today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audio</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ring</w:t>
      </w:r>
    </w:p>
    <w:p>
      <w:pPr>
        <w:spacing w:after="0" w:line="5" w:lineRule="exact"/>
        <w:rPr>
          <w:sz w:val="20"/>
          <w:szCs w:val="20"/>
          <w:color w:val="auto"/>
        </w:rPr>
      </w:pPr>
    </w:p>
    <w:p>
      <w:pPr>
        <w:ind w:left="40"/>
        <w:spacing w:after="0"/>
        <w:rPr>
          <w:sz w:val="20"/>
          <w:szCs w:val="20"/>
          <w:color w:val="auto"/>
        </w:rPr>
      </w:pPr>
      <w:r>
        <w:rPr>
          <w:rFonts w:ascii="Arial" w:cs="Arial" w:eastAsia="Arial" w:hAnsi="Arial"/>
          <w:sz w:val="20"/>
          <w:szCs w:val="20"/>
          <w:color w:val="auto"/>
        </w:rPr>
        <w:t>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130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rPr>
              <w:t>social</w:t>
            </w:r>
          </w:p>
        </w:tc>
        <w:tc>
          <w:tcPr>
            <w:tcW w:w="1540" w:type="dxa"/>
            <w:vAlign w:val="bottom"/>
            <w:vMerge w:val="restart"/>
          </w:tcPr>
          <w:p>
            <w:pPr>
              <w:jc w:val="center"/>
              <w:ind w:left="119"/>
              <w:spacing w:after="0"/>
              <w:rPr>
                <w:sz w:val="20"/>
                <w:szCs w:val="20"/>
                <w:color w:val="auto"/>
              </w:rPr>
            </w:pPr>
            <w:r>
              <w:rPr>
                <w:rFonts w:ascii="Arial" w:cs="Arial" w:eastAsia="Arial" w:hAnsi="Arial"/>
                <w:sz w:val="20"/>
                <w:szCs w:val="20"/>
                <w:b w:val="1"/>
                <w:bCs w:val="1"/>
                <w:color w:val="FFFFFF"/>
              </w:rPr>
              <w:t>Better user</w:t>
            </w: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color w:val="auto"/>
              </w:rPr>
              <w:t>personal-</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94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20"/>
                <w:szCs w:val="20"/>
                <w:color w:val="auto"/>
              </w:rPr>
              <w:t>video</w:t>
            </w:r>
          </w:p>
        </w:tc>
        <w:tc>
          <w:tcPr>
            <w:tcW w:w="1260" w:type="dxa"/>
            <w:vAlign w:val="bottom"/>
            <w:vMerge w:val="continue"/>
          </w:tcPr>
          <w:p>
            <w:pPr>
              <w:spacing w:after="0"/>
              <w:rPr>
                <w:sz w:val="8"/>
                <w:szCs w:val="8"/>
                <w:color w:val="auto"/>
              </w:rPr>
            </w:pPr>
          </w:p>
        </w:tc>
        <w:tc>
          <w:tcPr>
            <w:tcW w:w="1540" w:type="dxa"/>
            <w:vAlign w:val="bottom"/>
            <w:vMerge w:val="restart"/>
          </w:tcPr>
          <w:p>
            <w:pPr>
              <w:jc w:val="center"/>
              <w:ind w:left="99"/>
              <w:spacing w:after="0"/>
              <w:rPr>
                <w:sz w:val="20"/>
                <w:szCs w:val="20"/>
                <w:color w:val="auto"/>
              </w:rPr>
            </w:pPr>
            <w:r>
              <w:rPr>
                <w:rFonts w:ascii="Arial" w:cs="Arial" w:eastAsia="Arial" w:hAnsi="Arial"/>
                <w:sz w:val="20"/>
                <w:szCs w:val="20"/>
                <w:b w:val="1"/>
                <w:bCs w:val="1"/>
                <w:color w:val="FFFFFF"/>
              </w:rPr>
              <w:t>experience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restart"/>
          </w:tcPr>
          <w:p>
            <w:pPr>
              <w:jc w:val="center"/>
              <w:spacing w:after="0" w:line="215" w:lineRule="exact"/>
              <w:rPr>
                <w:sz w:val="20"/>
                <w:szCs w:val="20"/>
                <w:color w:val="auto"/>
              </w:rPr>
            </w:pPr>
            <w:r>
              <w:rPr>
                <w:rFonts w:ascii="Arial" w:cs="Arial" w:eastAsia="Arial" w:hAnsi="Arial"/>
                <w:sz w:val="20"/>
                <w:szCs w:val="20"/>
                <w:color w:val="auto"/>
              </w:rPr>
              <w:t>ization</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9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940" w:type="dxa"/>
            <w:vAlign w:val="bottom"/>
            <w:vMerge w:val="restart"/>
          </w:tcPr>
          <w:p>
            <w:pPr>
              <w:jc w:val="center"/>
              <w:ind w:right="119"/>
              <w:spacing w:after="0"/>
              <w:rPr>
                <w:sz w:val="20"/>
                <w:szCs w:val="20"/>
                <w:color w:val="auto"/>
              </w:rPr>
            </w:pPr>
            <w:r>
              <w:rPr>
                <w:rFonts w:ascii="Arial" w:cs="Arial" w:eastAsia="Arial" w:hAnsi="Arial"/>
                <w:sz w:val="20"/>
                <w:szCs w:val="20"/>
                <w:color w:val="auto"/>
              </w:rPr>
              <w:t>video</w:t>
            </w:r>
          </w:p>
        </w:tc>
        <w:tc>
          <w:tcPr>
            <w:tcW w:w="1220" w:type="dxa"/>
            <w:vAlign w:val="bottom"/>
          </w:tcPr>
          <w:p>
            <w:pPr>
              <w:jc w:val="center"/>
              <w:spacing w:after="0"/>
              <w:rPr>
                <w:sz w:val="20"/>
                <w:szCs w:val="20"/>
                <w:color w:val="auto"/>
              </w:rPr>
            </w:pPr>
            <w:r>
              <w:rPr>
                <w:rFonts w:ascii="Arial" w:cs="Arial" w:eastAsia="Arial" w:hAnsi="Arial"/>
                <w:sz w:val="20"/>
                <w:szCs w:val="20"/>
                <w:color w:val="auto"/>
              </w:rPr>
              <w:t>ringback/</w:t>
            </w:r>
          </w:p>
        </w:tc>
        <w:tc>
          <w:tcPr>
            <w:tcW w:w="1260" w:type="dxa"/>
            <w:vAlign w:val="bottom"/>
          </w:tcPr>
          <w:p>
            <w:pPr>
              <w:jc w:val="center"/>
              <w:spacing w:after="0"/>
              <w:rPr>
                <w:sz w:val="20"/>
                <w:szCs w:val="20"/>
                <w:color w:val="auto"/>
              </w:rPr>
            </w:pPr>
            <w:r>
              <w:rPr>
                <w:rFonts w:ascii="Arial" w:cs="Arial" w:eastAsia="Arial" w:hAnsi="Arial"/>
                <w:sz w:val="20"/>
                <w:szCs w:val="20"/>
                <w:color w:val="auto"/>
              </w:rPr>
              <w:t>tools</w:t>
            </w:r>
          </w:p>
        </w:tc>
        <w:tc>
          <w:tcPr>
            <w:tcW w:w="1540" w:type="dxa"/>
            <w:vAlign w:val="bottom"/>
            <w:vMerge w:val="restart"/>
          </w:tcPr>
          <w:p>
            <w:pPr>
              <w:jc w:val="center"/>
              <w:ind w:left="119"/>
              <w:spacing w:after="0"/>
              <w:rPr>
                <w:sz w:val="20"/>
                <w:szCs w:val="20"/>
                <w:color w:val="auto"/>
              </w:rPr>
            </w:pPr>
            <w:r>
              <w:rPr>
                <w:rFonts w:ascii="Arial" w:cs="Arial" w:eastAsia="Arial" w:hAnsi="Arial"/>
                <w:sz w:val="20"/>
                <w:szCs w:val="20"/>
                <w:b w:val="1"/>
                <w:bCs w:val="1"/>
                <w:color w:val="FFFFFF"/>
              </w:rPr>
              <w:t>New revenue</w:t>
            </w:r>
          </w:p>
        </w:tc>
        <w:tc>
          <w:tcPr>
            <w:tcW w:w="0" w:type="dxa"/>
            <w:vAlign w:val="bottom"/>
          </w:tcPr>
          <w:p>
            <w:pPr>
              <w:spacing w:after="0"/>
              <w:rPr>
                <w:sz w:val="1"/>
                <w:szCs w:val="1"/>
                <w:color w:val="auto"/>
              </w:rPr>
            </w:pPr>
          </w:p>
        </w:tc>
      </w:tr>
      <w:tr>
        <w:trPr>
          <w:trHeight w:val="157"/>
        </w:trPr>
        <w:tc>
          <w:tcPr>
            <w:tcW w:w="940" w:type="dxa"/>
            <w:vAlign w:val="bottom"/>
            <w:vMerge w:val="continue"/>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20"/>
                <w:szCs w:val="20"/>
                <w:color w:val="auto"/>
              </w:rPr>
              <w:t>ring</w:t>
            </w:r>
          </w:p>
        </w:tc>
        <w:tc>
          <w:tcPr>
            <w:tcW w:w="12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940" w:type="dxa"/>
            <w:vAlign w:val="bottom"/>
            <w:vMerge w:val="restart"/>
          </w:tcPr>
          <w:p>
            <w:pPr>
              <w:jc w:val="center"/>
              <w:ind w:right="119"/>
              <w:spacing w:after="0"/>
              <w:rPr>
                <w:sz w:val="20"/>
                <w:szCs w:val="20"/>
                <w:color w:val="auto"/>
              </w:rPr>
            </w:pPr>
            <w:r>
              <w:rPr>
                <w:rFonts w:ascii="Arial" w:cs="Arial" w:eastAsia="Arial" w:hAnsi="Arial"/>
                <w:sz w:val="20"/>
                <w:szCs w:val="20"/>
                <w:color w:val="auto"/>
                <w:w w:val="99"/>
              </w:rPr>
              <w:t>ringtone</w:t>
            </w:r>
          </w:p>
        </w:tc>
        <w:tc>
          <w:tcPr>
            <w:tcW w:w="122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540" w:type="dxa"/>
            <w:vAlign w:val="bottom"/>
            <w:vMerge w:val="restart"/>
          </w:tcPr>
          <w:p>
            <w:pPr>
              <w:jc w:val="center"/>
              <w:ind w:left="139"/>
              <w:spacing w:after="0"/>
              <w:rPr>
                <w:sz w:val="20"/>
                <w:szCs w:val="20"/>
                <w:color w:val="auto"/>
              </w:rPr>
            </w:pPr>
            <w:r>
              <w:rPr>
                <w:rFonts w:ascii="Arial" w:cs="Arial" w:eastAsia="Arial" w:hAnsi="Arial"/>
                <w:sz w:val="20"/>
                <w:szCs w:val="20"/>
                <w:b w:val="1"/>
                <w:bCs w:val="1"/>
                <w:color w:val="FFFFFF"/>
              </w:rPr>
              <w:t>opportunities</w:t>
            </w: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98"/>
              </w:rPr>
              <w:t>forward</w:t>
            </w:r>
          </w:p>
        </w:tc>
        <w:tc>
          <w:tcPr>
            <w:tcW w:w="126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799"/>
        <w:spacing w:after="0"/>
        <w:rPr>
          <w:sz w:val="20"/>
          <w:szCs w:val="20"/>
          <w:color w:val="auto"/>
        </w:rPr>
      </w:pPr>
      <w:r>
        <w:rPr>
          <w:rFonts w:ascii="Arial" w:cs="Arial" w:eastAsia="Arial" w:hAnsi="Arial"/>
          <w:sz w:val="20"/>
          <w:szCs w:val="20"/>
          <w:color w:val="auto"/>
        </w:rPr>
        <w:t>audio</w:t>
      </w:r>
    </w:p>
    <w:p>
      <w:pPr>
        <w:spacing w:after="0" w:line="5" w:lineRule="exact"/>
        <w:rPr>
          <w:sz w:val="20"/>
          <w:szCs w:val="20"/>
          <w:color w:val="auto"/>
        </w:rPr>
      </w:pPr>
    </w:p>
    <w:p>
      <w:pPr>
        <w:jc w:val="center"/>
        <w:ind w:right="5739"/>
        <w:spacing w:after="0"/>
        <w:rPr>
          <w:sz w:val="20"/>
          <w:szCs w:val="20"/>
          <w:color w:val="auto"/>
        </w:rPr>
      </w:pPr>
      <w:r>
        <w:rPr>
          <w:rFonts w:ascii="Arial" w:cs="Arial" w:eastAsia="Arial" w:hAnsi="Arial"/>
          <w:sz w:val="20"/>
          <w:szCs w:val="20"/>
          <w:color w:val="auto"/>
        </w:rPr>
        <w:t>ring back</w:t>
      </w:r>
    </w:p>
    <w:p>
      <w:pPr>
        <w:spacing w:after="0" w:line="15" w:lineRule="exact"/>
        <w:rPr>
          <w:sz w:val="20"/>
          <w:szCs w:val="20"/>
          <w:color w:val="auto"/>
        </w:rPr>
      </w:pPr>
    </w:p>
    <w:p>
      <w:pPr>
        <w:jc w:val="center"/>
        <w:ind w:right="5799"/>
        <w:spacing w:after="0"/>
        <w:rPr>
          <w:sz w:val="20"/>
          <w:szCs w:val="20"/>
          <w:color w:val="auto"/>
        </w:rPr>
      </w:pPr>
      <w:r>
        <w:rPr>
          <w:rFonts w:ascii="Arial" w:cs="Arial" w:eastAsia="Arial" w:hAnsi="Arial"/>
          <w:sz w:val="20"/>
          <w:szCs w:val="20"/>
          <w:color w:val="auto"/>
        </w:rPr>
        <w:t>tone</w:t>
      </w:r>
    </w:p>
    <w:p>
      <w:pPr>
        <w:spacing w:after="0" w:line="877" w:lineRule="exact"/>
        <w:rPr>
          <w:sz w:val="20"/>
          <w:szCs w:val="20"/>
          <w:color w:val="auto"/>
        </w:rPr>
      </w:pPr>
    </w:p>
    <w:p>
      <w:pPr>
        <w:sectPr>
          <w:pgSz w:w="11900" w:h="16838" w:orient="portrait"/>
          <w:cols w:equalWidth="0" w:num="3">
            <w:col w:w="1800" w:space="480"/>
            <w:col w:w="500" w:space="560"/>
            <w:col w:w="6559"/>
          </w:cols>
          <w:pgMar w:left="560" w:top="4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11 -</w:t>
      </w:r>
    </w:p>
    <w:p>
      <w:pPr>
        <w:sectPr>
          <w:pgSz w:w="11900" w:h="16838" w:orient="portrait"/>
          <w:cols w:equalWidth="0" w:num="1">
            <w:col w:w="9899"/>
          </w:cols>
          <w:pgMar w:left="560" w:top="486"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Getting a New Vringo Onto a Phone</w:t>
      </w:r>
    </w:p>
    <w:p>
      <w:pPr>
        <w:sectPr>
          <w:pgSz w:w="11900" w:h="16838" w:orient="portrait"/>
          <w:cols w:equalWidth="0" w:num="1">
            <w:col w:w="10100"/>
          </w:cols>
          <w:pgMar w:left="560" w:top="486" w:right="1239" w:bottom="1440" w:gutter="0" w:footer="0" w:header="0"/>
        </w:sect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Justin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5. New Vringo is cached on</w:t>
      </w:r>
    </w:p>
    <w:p>
      <w:pPr>
        <w:spacing w:after="0" w:line="14" w:lineRule="exact"/>
        <w:rPr>
          <w:sz w:val="20"/>
          <w:szCs w:val="20"/>
          <w:color w:val="auto"/>
        </w:rPr>
      </w:pPr>
    </w:p>
    <w:p>
      <w:pPr>
        <w:ind w:left="1340"/>
        <w:spacing w:after="0" w:line="203" w:lineRule="auto"/>
        <w:rPr>
          <w:sz w:val="20"/>
          <w:szCs w:val="20"/>
          <w:color w:val="auto"/>
        </w:rPr>
      </w:pPr>
      <w:r>
        <w:rPr>
          <w:rFonts w:ascii="Arial" w:cs="Arial" w:eastAsia="Arial" w:hAnsi="Arial"/>
          <w:sz w:val="22"/>
          <w:szCs w:val="22"/>
          <w:color w:val="auto"/>
        </w:rPr>
        <w:t xml:space="preserve">handsets, ready to be played </w:t>
      </w:r>
      <w:r>
        <w:rPr>
          <w:rFonts w:ascii="Arial" w:cs="Arial" w:eastAsia="Arial" w:hAnsi="Arial"/>
          <w:sz w:val="34"/>
          <w:szCs w:val="34"/>
          <w:color w:val="C0504D"/>
          <w:vertAlign w:val="subscript"/>
        </w:rPr>
        <w:t>HTTP</w:t>
      </w:r>
      <w:r>
        <w:rPr>
          <w:rFonts w:ascii="Arial" w:cs="Arial" w:eastAsia="Arial" w:hAnsi="Arial"/>
          <w:sz w:val="22"/>
          <w:szCs w:val="22"/>
          <w:color w:val="auto"/>
        </w:rPr>
        <w:t xml:space="preserve"> whenever Justin calls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253" w:right="660" w:hanging="253"/>
        <w:spacing w:after="0" w:line="261" w:lineRule="auto"/>
        <w:tabs>
          <w:tab w:leader="none" w:pos="253" w:val="left"/>
        </w:tabs>
        <w:numPr>
          <w:ilvl w:val="0"/>
          <w:numId w:val="10"/>
        </w:numPr>
        <w:rPr>
          <w:rFonts w:ascii="Arial" w:cs="Arial" w:eastAsia="Arial" w:hAnsi="Arial"/>
          <w:sz w:val="22"/>
          <w:szCs w:val="22"/>
          <w:color w:val="auto"/>
        </w:rPr>
      </w:pPr>
      <w:r>
        <w:rPr>
          <w:rFonts w:ascii="Arial" w:cs="Arial" w:eastAsia="Arial" w:hAnsi="Arial"/>
          <w:sz w:val="22"/>
          <w:szCs w:val="22"/>
          <w:color w:val="auto"/>
        </w:rPr>
        <w:t>Justin logs onto Vringo.com on his PC/mobile or browses through his Vringo application for a new clip</w:t>
      </w:r>
    </w:p>
    <w:p>
      <w:pPr>
        <w:spacing w:after="0" w:line="489" w:lineRule="exact"/>
        <w:rPr>
          <w:sz w:val="20"/>
          <w:szCs w:val="20"/>
          <w:color w:val="auto"/>
        </w:rPr>
      </w:pPr>
    </w:p>
    <w:p>
      <w:pPr>
        <w:sectPr>
          <w:pgSz w:w="11900" w:h="16838" w:orient="portrait"/>
          <w:cols w:equalWidth="0" w:num="2">
            <w:col w:w="6280" w:space="447"/>
            <w:col w:w="3373"/>
          </w:cols>
          <w:pgMar w:left="560" w:top="486"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Vringo clients</w:t>
      </w:r>
    </w:p>
    <w:p>
      <w:pPr>
        <w:sectPr>
          <w:pgSz w:w="11900" w:h="16838" w:orient="portrait"/>
          <w:cols w:equalWidth="0" w:num="1">
            <w:col w:w="10100"/>
          </w:cols>
          <w:pgMar w:left="560" w:top="486"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Vringo.com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Vringo Mobile App</w:t>
      </w:r>
    </w:p>
    <w:p>
      <w:pPr>
        <w:spacing w:after="0" w:line="387" w:lineRule="exact"/>
        <w:rPr>
          <w:sz w:val="20"/>
          <w:szCs w:val="20"/>
          <w:color w:val="auto"/>
        </w:rPr>
      </w:pPr>
    </w:p>
    <w:p>
      <w:pPr>
        <w:sectPr>
          <w:pgSz w:w="11900" w:h="16838" w:orient="portrait"/>
          <w:cols w:equalWidth="0" w:num="2">
            <w:col w:w="6620" w:space="440"/>
            <w:col w:w="3040"/>
          </w:cols>
          <w:pgMar w:left="560" w:top="486"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hanging="260"/>
        <w:spacing w:after="0" w:line="270" w:lineRule="auto"/>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Justin’s new Vringo is automatically sent to all of Justin’s buddies</w:t>
      </w:r>
    </w:p>
    <w:p>
      <w:pPr>
        <w:spacing w:after="0" w:line="20" w:lineRule="exact"/>
        <w:rPr>
          <w:sz w:val="20"/>
          <w:szCs w:val="20"/>
          <w:color w:val="auto"/>
        </w:rPr>
      </w:pPr>
      <w:r>
        <w:rPr>
          <w:sz w:val="20"/>
          <w:szCs w:val="20"/>
          <w:color w:val="auto"/>
        </w:rPr>
        <w:br w:type="column"/>
      </w:r>
    </w:p>
    <w:p>
      <w:pPr>
        <w:ind w:left="4440"/>
        <w:spacing w:after="0"/>
        <w:rPr>
          <w:sz w:val="20"/>
          <w:szCs w:val="20"/>
          <w:color w:val="auto"/>
        </w:rPr>
      </w:pPr>
      <w:r>
        <w:rPr>
          <w:rFonts w:ascii="Arial" w:cs="Arial" w:eastAsia="Arial" w:hAnsi="Arial"/>
          <w:sz w:val="22"/>
          <w:szCs w:val="22"/>
          <w:color w:val="auto"/>
        </w:rPr>
        <w:t>2. Justin picks out a</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Rolling Stones clip and</w:t>
      </w:r>
    </w:p>
    <w:p>
      <w:pPr>
        <w:spacing w:after="0" w:line="2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makes it his phone’s</w:t>
      </w:r>
    </w:p>
    <w:p>
      <w:pPr>
        <w:spacing w:after="0" w:line="183" w:lineRule="auto"/>
        <w:tabs>
          <w:tab w:leader="none" w:pos="4660" w:val="left"/>
        </w:tabs>
        <w:rPr>
          <w:sz w:val="20"/>
          <w:szCs w:val="20"/>
          <w:color w:val="auto"/>
        </w:rPr>
      </w:pPr>
      <w:r>
        <w:rPr>
          <w:rFonts w:ascii="Arial" w:cs="Arial" w:eastAsia="Arial" w:hAnsi="Arial"/>
          <w:sz w:val="21"/>
          <w:szCs w:val="21"/>
          <w:color w:val="C0504D"/>
          <w:vertAlign w:val="superscript"/>
        </w:rPr>
        <w:t>TCP/IP</w:t>
      </w:r>
      <w:r>
        <w:rPr>
          <w:sz w:val="20"/>
          <w:szCs w:val="20"/>
          <w:color w:val="auto"/>
        </w:rPr>
        <w:tab/>
      </w:r>
      <w:r>
        <w:rPr>
          <w:rFonts w:ascii="Arial" w:cs="Arial" w:eastAsia="Arial" w:hAnsi="Arial"/>
          <w:sz w:val="15"/>
          <w:szCs w:val="15"/>
          <w:color w:val="auto"/>
        </w:rPr>
        <w:t>ringtone</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7"/>
          <w:szCs w:val="17"/>
          <w:color w:val="C0504D"/>
        </w:rPr>
        <w:t>HTTP</w:t>
      </w:r>
    </w:p>
    <w:p>
      <w:pPr>
        <w:spacing w:after="0" w:line="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Vringo server</w:t>
      </w:r>
    </w:p>
    <w:p>
      <w:pPr>
        <w:spacing w:after="0" w:line="87" w:lineRule="exact"/>
        <w:rPr>
          <w:sz w:val="20"/>
          <w:szCs w:val="20"/>
          <w:color w:val="auto"/>
        </w:rPr>
      </w:pPr>
    </w:p>
    <w:p>
      <w:pPr>
        <w:ind w:left="3260" w:right="1300" w:hanging="259"/>
        <w:spacing w:after="0" w:line="278" w:lineRule="auto"/>
        <w:tabs>
          <w:tab w:leader="none" w:pos="3253" w:val="left"/>
        </w:tabs>
        <w:numPr>
          <w:ilvl w:val="0"/>
          <w:numId w:val="12"/>
        </w:numPr>
        <w:rPr>
          <w:rFonts w:ascii="Arial" w:cs="Arial" w:eastAsia="Arial" w:hAnsi="Arial"/>
          <w:sz w:val="22"/>
          <w:szCs w:val="22"/>
          <w:color w:val="auto"/>
        </w:rPr>
      </w:pPr>
      <w:r>
        <w:rPr>
          <w:rFonts w:ascii="Arial" w:cs="Arial" w:eastAsia="Arial" w:hAnsi="Arial"/>
          <w:sz w:val="22"/>
          <w:szCs w:val="22"/>
          <w:color w:val="auto"/>
        </w:rPr>
        <w:t>Vringo server is updated immediately</w:t>
      </w:r>
    </w:p>
    <w:p>
      <w:pPr>
        <w:spacing w:after="0" w:line="200" w:lineRule="exact"/>
        <w:rPr>
          <w:sz w:val="20"/>
          <w:szCs w:val="20"/>
          <w:color w:val="auto"/>
        </w:rPr>
      </w:pPr>
    </w:p>
    <w:p>
      <w:pPr>
        <w:sectPr>
          <w:pgSz w:w="11900" w:h="16838" w:orient="portrait"/>
          <w:cols w:equalWidth="0" w:num="2">
            <w:col w:w="2460" w:space="680"/>
            <w:col w:w="6960"/>
          </w:cols>
          <w:pgMar w:left="560" w:top="486" w:right="1239" w:bottom="1440" w:gutter="0" w:footer="0" w:header="0"/>
          <w:type w:val="continuous"/>
        </w:sectPr>
      </w:pPr>
    </w:p>
    <w:p>
      <w:pPr>
        <w:spacing w:after="0" w:line="368"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FFFFFF"/>
        </w:rPr>
        <w:t>- Page 12 -</w:t>
      </w:r>
    </w:p>
    <w:p>
      <w:pPr>
        <w:sectPr>
          <w:pgSz w:w="11900" w:h="16838" w:orient="portrait"/>
          <w:cols w:equalWidth="0" w:num="1">
            <w:col w:w="10100"/>
          </w:cols>
          <w:pgMar w:left="560" w:top="486" w:right="1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Four Product Platform Components</w:t>
      </w:r>
    </w:p>
    <w:p>
      <w:pPr>
        <w:spacing w:after="0" w:line="317" w:lineRule="exact"/>
        <w:rPr>
          <w:sz w:val="20"/>
          <w:szCs w:val="20"/>
          <w:color w:val="auto"/>
        </w:rPr>
      </w:pPr>
    </w:p>
    <w:p>
      <w:pPr>
        <w:spacing w:after="0"/>
        <w:tabs>
          <w:tab w:leader="none" w:pos="5100" w:val="left"/>
        </w:tabs>
        <w:rPr>
          <w:sz w:val="20"/>
          <w:szCs w:val="20"/>
          <w:color w:val="auto"/>
        </w:rPr>
      </w:pPr>
      <w:r>
        <w:rPr>
          <w:rFonts w:ascii="Arial" w:cs="Arial" w:eastAsia="Arial" w:hAnsi="Arial"/>
          <w:sz w:val="26"/>
          <w:szCs w:val="26"/>
          <w:b w:val="1"/>
          <w:bCs w:val="1"/>
          <w:color w:val="FFFFFF"/>
        </w:rPr>
        <w:t>Mobile application</w:t>
      </w:r>
      <w:r>
        <w:rPr>
          <w:sz w:val="20"/>
          <w:szCs w:val="20"/>
          <w:color w:val="auto"/>
        </w:rPr>
        <w:tab/>
      </w:r>
      <w:r>
        <w:rPr>
          <w:rFonts w:ascii="Arial" w:cs="Arial" w:eastAsia="Arial" w:hAnsi="Arial"/>
          <w:sz w:val="25"/>
          <w:szCs w:val="25"/>
          <w:b w:val="1"/>
          <w:bCs w:val="1"/>
          <w:color w:val="FFFFFF"/>
        </w:rPr>
        <w:t>Channelsautomatic- content delivery</w:t>
      </w:r>
    </w:p>
    <w:p>
      <w:pPr>
        <w:spacing w:after="0" w:line="200" w:lineRule="exact"/>
        <w:rPr>
          <w:sz w:val="20"/>
          <w:szCs w:val="20"/>
          <w:color w:val="auto"/>
        </w:rPr>
      </w:pPr>
    </w:p>
    <w:p>
      <w:pPr>
        <w:spacing w:after="0" w:line="346" w:lineRule="exact"/>
        <w:rPr>
          <w:sz w:val="20"/>
          <w:szCs w:val="20"/>
          <w:color w:val="auto"/>
        </w:rPr>
      </w:pPr>
    </w:p>
    <w:p>
      <w:pPr>
        <w:spacing w:after="0"/>
        <w:tabs>
          <w:tab w:leader="none" w:pos="5100" w:val="left"/>
        </w:tabs>
        <w:rPr>
          <w:sz w:val="20"/>
          <w:szCs w:val="20"/>
          <w:color w:val="auto"/>
        </w:rPr>
      </w:pPr>
      <w:r>
        <w:rPr>
          <w:rFonts w:ascii="Arial" w:cs="Arial" w:eastAsia="Arial" w:hAnsi="Arial"/>
          <w:sz w:val="17"/>
          <w:szCs w:val="17"/>
          <w:color w:val="F2F2F2"/>
        </w:rPr>
        <w:t>• Customer store front</w:t>
      </w:r>
      <w:r>
        <w:rPr>
          <w:sz w:val="20"/>
          <w:szCs w:val="20"/>
          <w:color w:val="auto"/>
        </w:rPr>
        <w:tab/>
      </w:r>
      <w:r>
        <w:rPr>
          <w:rFonts w:ascii="Arial" w:cs="Arial" w:eastAsia="Arial" w:hAnsi="Arial"/>
          <w:sz w:val="17"/>
          <w:szCs w:val="17"/>
          <w:color w:val="F2F2F2"/>
        </w:rPr>
        <w:t>• Video ringtones have a</w:t>
      </w:r>
    </w:p>
    <w:p>
      <w:pPr>
        <w:spacing w:after="0" w:line="7" w:lineRule="exact"/>
        <w:rPr>
          <w:sz w:val="20"/>
          <w:szCs w:val="20"/>
          <w:color w:val="auto"/>
        </w:rPr>
      </w:pPr>
    </w:p>
    <w:p>
      <w:pPr>
        <w:spacing w:after="0"/>
        <w:tabs>
          <w:tab w:leader="none" w:pos="5220" w:val="left"/>
        </w:tabs>
        <w:rPr>
          <w:sz w:val="20"/>
          <w:szCs w:val="20"/>
          <w:color w:val="auto"/>
        </w:rPr>
      </w:pPr>
      <w:r>
        <w:rPr>
          <w:rFonts w:ascii="Arial" w:cs="Arial" w:eastAsia="Arial" w:hAnsi="Arial"/>
          <w:sz w:val="17"/>
          <w:szCs w:val="17"/>
          <w:color w:val="F2F2F2"/>
        </w:rPr>
        <w:t>• Viral marketing engine</w:t>
      </w:r>
      <w:r>
        <w:rPr>
          <w:sz w:val="20"/>
          <w:szCs w:val="20"/>
          <w:color w:val="auto"/>
        </w:rPr>
        <w:tab/>
      </w:r>
      <w:r>
        <w:rPr>
          <w:rFonts w:ascii="Arial" w:cs="Arial" w:eastAsia="Arial" w:hAnsi="Arial"/>
          <w:sz w:val="16"/>
          <w:szCs w:val="16"/>
          <w:color w:val="F2F2F2"/>
        </w:rPr>
        <w:t>shorter shelf life</w:t>
      </w:r>
    </w:p>
    <w:p>
      <w:pPr>
        <w:spacing w:after="0" w:line="7" w:lineRule="exact"/>
        <w:rPr>
          <w:sz w:val="20"/>
          <w:szCs w:val="20"/>
          <w:color w:val="auto"/>
        </w:rPr>
      </w:pPr>
    </w:p>
    <w:p>
      <w:pPr>
        <w:spacing w:after="0"/>
        <w:tabs>
          <w:tab w:leader="none" w:pos="5100" w:val="left"/>
        </w:tabs>
        <w:rPr>
          <w:sz w:val="20"/>
          <w:szCs w:val="20"/>
          <w:color w:val="auto"/>
        </w:rPr>
      </w:pPr>
      <w:r>
        <w:rPr>
          <w:rFonts w:ascii="Arial" w:cs="Arial" w:eastAsia="Arial" w:hAnsi="Arial"/>
          <w:sz w:val="17"/>
          <w:szCs w:val="17"/>
          <w:color w:val="F2F2F2"/>
        </w:rPr>
        <w:t>• 300+ handsets</w:t>
      </w:r>
      <w:r>
        <w:rPr>
          <w:sz w:val="20"/>
          <w:szCs w:val="20"/>
          <w:color w:val="auto"/>
        </w:rPr>
        <w:tab/>
      </w:r>
      <w:r>
        <w:rPr>
          <w:rFonts w:ascii="Arial" w:cs="Arial" w:eastAsia="Arial" w:hAnsi="Arial"/>
          <w:sz w:val="17"/>
          <w:szCs w:val="17"/>
          <w:color w:val="F2F2F2"/>
        </w:rPr>
        <w:t>• Customers can</w:t>
      </w:r>
    </w:p>
    <w:p>
      <w:pPr>
        <w:spacing w:after="0" w:line="7" w:lineRule="exact"/>
        <w:rPr>
          <w:sz w:val="20"/>
          <w:szCs w:val="20"/>
          <w:color w:val="auto"/>
        </w:rPr>
      </w:pPr>
    </w:p>
    <w:p>
      <w:pPr>
        <w:spacing w:after="0"/>
        <w:tabs>
          <w:tab w:leader="none" w:pos="5220" w:val="left"/>
        </w:tabs>
        <w:rPr>
          <w:sz w:val="20"/>
          <w:szCs w:val="20"/>
          <w:color w:val="auto"/>
        </w:rPr>
      </w:pPr>
      <w:r>
        <w:rPr>
          <w:rFonts w:ascii="Arial" w:cs="Arial" w:eastAsia="Arial" w:hAnsi="Arial"/>
          <w:sz w:val="17"/>
          <w:szCs w:val="17"/>
          <w:color w:val="F2F2F2"/>
        </w:rPr>
        <w:t>• Java, Blackberry, Windows Mobile,</w:t>
      </w:r>
      <w:r>
        <w:rPr>
          <w:sz w:val="20"/>
          <w:szCs w:val="20"/>
          <w:color w:val="auto"/>
        </w:rPr>
        <w:tab/>
      </w:r>
      <w:r>
        <w:rPr>
          <w:rFonts w:ascii="Arial" w:cs="Arial" w:eastAsia="Arial" w:hAnsi="Arial"/>
          <w:sz w:val="16"/>
          <w:szCs w:val="16"/>
          <w:color w:val="F2F2F2"/>
        </w:rPr>
        <w:t>subscribe to automatic</w:t>
      </w:r>
    </w:p>
    <w:p>
      <w:pPr>
        <w:spacing w:after="0" w:line="7" w:lineRule="exact"/>
        <w:rPr>
          <w:sz w:val="20"/>
          <w:szCs w:val="20"/>
          <w:color w:val="auto"/>
        </w:rPr>
      </w:pPr>
    </w:p>
    <w:p>
      <w:pPr>
        <w:ind w:left="100"/>
        <w:spacing w:after="0"/>
        <w:tabs>
          <w:tab w:leader="none" w:pos="5220" w:val="left"/>
        </w:tabs>
        <w:rPr>
          <w:sz w:val="20"/>
          <w:szCs w:val="20"/>
          <w:color w:val="auto"/>
        </w:rPr>
      </w:pPr>
      <w:r>
        <w:rPr>
          <w:rFonts w:ascii="Arial" w:cs="Arial" w:eastAsia="Arial" w:hAnsi="Arial"/>
          <w:sz w:val="17"/>
          <w:szCs w:val="17"/>
          <w:color w:val="F2F2F2"/>
        </w:rPr>
        <w:t>Android, Symbian</w:t>
      </w:r>
      <w:r>
        <w:rPr>
          <w:sz w:val="20"/>
          <w:szCs w:val="20"/>
          <w:color w:val="auto"/>
        </w:rPr>
        <w:tab/>
      </w:r>
      <w:r>
        <w:rPr>
          <w:rFonts w:ascii="Arial" w:cs="Arial" w:eastAsia="Arial" w:hAnsi="Arial"/>
          <w:sz w:val="17"/>
          <w:szCs w:val="17"/>
          <w:color w:val="F2F2F2"/>
        </w:rPr>
        <w:t>content refreshes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F2F2F2"/>
        </w:rPr>
        <w:t>• Opportunity exists to sell premium</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F2F2F2"/>
        </w:rPr>
        <w:t>content bundles based on the core</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F2F2F2"/>
        </w:rPr>
        <w:t>application</w:t>
      </w:r>
    </w:p>
    <w:p>
      <w:pPr>
        <w:sectPr>
          <w:pgSz w:w="11900" w:h="16838" w:orient="portrait"/>
          <w:cols w:equalWidth="0" w:num="1">
            <w:col w:w="9899"/>
          </w:cols>
          <w:pgMar w:left="56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Studio online- ringtone 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0" w:right="2460" w:hanging="101"/>
        <w:spacing w:after="0" w:line="264" w:lineRule="auto"/>
        <w:tabs>
          <w:tab w:leader="none" w:pos="140" w:val="left"/>
        </w:tabs>
        <w:numPr>
          <w:ilvl w:val="0"/>
          <w:numId w:val="13"/>
        </w:numPr>
        <w:rPr>
          <w:rFonts w:ascii="Arial" w:cs="Arial" w:eastAsia="Arial" w:hAnsi="Arial"/>
          <w:sz w:val="16"/>
          <w:szCs w:val="16"/>
          <w:color w:val="F2F2F2"/>
        </w:rPr>
      </w:pPr>
      <w:r>
        <w:rPr>
          <w:rFonts w:ascii="Arial" w:cs="Arial" w:eastAsia="Arial" w:hAnsi="Arial"/>
          <w:sz w:val="16"/>
          <w:szCs w:val="16"/>
          <w:color w:val="F2F2F2"/>
        </w:rPr>
        <w:t>World’s first Web-based video ringtone editor</w:t>
      </w:r>
    </w:p>
    <w:p>
      <w:pPr>
        <w:jc w:val="both"/>
        <w:ind w:left="140" w:right="2540" w:hanging="101"/>
        <w:spacing w:after="0" w:line="259" w:lineRule="auto"/>
        <w:tabs>
          <w:tab w:leader="none" w:pos="140" w:val="left"/>
        </w:tabs>
        <w:numPr>
          <w:ilvl w:val="0"/>
          <w:numId w:val="13"/>
        </w:numPr>
        <w:rPr>
          <w:rFonts w:ascii="Arial" w:cs="Arial" w:eastAsia="Arial" w:hAnsi="Arial"/>
          <w:sz w:val="17"/>
          <w:szCs w:val="17"/>
          <w:color w:val="F2F2F2"/>
        </w:rPr>
      </w:pPr>
      <w:r>
        <w:rPr>
          <w:rFonts w:ascii="Arial" w:cs="Arial" w:eastAsia="Arial" w:hAnsi="Arial"/>
          <w:sz w:val="17"/>
          <w:szCs w:val="17"/>
          <w:color w:val="F2F2F2"/>
        </w:rPr>
        <w:t>Can be customized for partners (e.g., Marvel)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Custom store fronts</w:t>
      </w:r>
    </w:p>
    <w:p>
      <w:pPr>
        <w:spacing w:after="0" w:line="386" w:lineRule="exact"/>
        <w:rPr>
          <w:sz w:val="20"/>
          <w:szCs w:val="20"/>
          <w:color w:val="auto"/>
        </w:rPr>
      </w:pPr>
    </w:p>
    <w:p>
      <w:pPr>
        <w:ind w:left="180" w:right="2919" w:hanging="109"/>
        <w:spacing w:after="0" w:line="248" w:lineRule="auto"/>
        <w:tabs>
          <w:tab w:leader="none" w:pos="180" w:val="left"/>
        </w:tabs>
        <w:numPr>
          <w:ilvl w:val="0"/>
          <w:numId w:val="14"/>
        </w:numPr>
        <w:rPr>
          <w:rFonts w:ascii="Arial" w:cs="Arial" w:eastAsia="Arial" w:hAnsi="Arial"/>
          <w:sz w:val="17"/>
          <w:szCs w:val="17"/>
          <w:color w:val="F2F2F2"/>
        </w:rPr>
      </w:pPr>
      <w:r>
        <w:rPr>
          <w:rFonts w:ascii="Arial" w:cs="Arial" w:eastAsia="Arial" w:hAnsi="Arial"/>
          <w:sz w:val="17"/>
          <w:szCs w:val="17"/>
          <w:color w:val="F2F2F2"/>
        </w:rPr>
        <w:t>Customizable web/mobile store front</w:t>
      </w:r>
    </w:p>
    <w:p>
      <w:pPr>
        <w:spacing w:after="0" w:line="1" w:lineRule="exact"/>
        <w:rPr>
          <w:rFonts w:ascii="Arial" w:cs="Arial" w:eastAsia="Arial" w:hAnsi="Arial"/>
          <w:sz w:val="17"/>
          <w:szCs w:val="17"/>
          <w:color w:val="F2F2F2"/>
        </w:rPr>
      </w:pPr>
    </w:p>
    <w:p>
      <w:pPr>
        <w:ind w:left="180" w:right="2799" w:hanging="109"/>
        <w:spacing w:after="0" w:line="253" w:lineRule="auto"/>
        <w:tabs>
          <w:tab w:leader="none" w:pos="180" w:val="left"/>
        </w:tabs>
        <w:numPr>
          <w:ilvl w:val="0"/>
          <w:numId w:val="14"/>
        </w:numPr>
        <w:rPr>
          <w:rFonts w:ascii="Arial" w:cs="Arial" w:eastAsia="Arial" w:hAnsi="Arial"/>
          <w:sz w:val="17"/>
          <w:szCs w:val="17"/>
          <w:color w:val="F2F2F2"/>
        </w:rPr>
      </w:pPr>
      <w:r>
        <w:rPr>
          <w:rFonts w:ascii="Arial" w:cs="Arial" w:eastAsia="Arial" w:hAnsi="Arial"/>
          <w:sz w:val="17"/>
          <w:szCs w:val="17"/>
          <w:color w:val="F2F2F2"/>
        </w:rPr>
        <w:t>TV networks, retailers, political campaigns, live events</w:t>
      </w:r>
    </w:p>
    <w:p>
      <w:pPr>
        <w:ind w:left="180" w:right="3039" w:hanging="109"/>
        <w:spacing w:after="0" w:line="248" w:lineRule="auto"/>
        <w:tabs>
          <w:tab w:leader="none" w:pos="180" w:val="left"/>
        </w:tabs>
        <w:numPr>
          <w:ilvl w:val="0"/>
          <w:numId w:val="14"/>
        </w:numPr>
        <w:rPr>
          <w:rFonts w:ascii="Arial" w:cs="Arial" w:eastAsia="Arial" w:hAnsi="Arial"/>
          <w:sz w:val="17"/>
          <w:szCs w:val="17"/>
          <w:color w:val="F2F2F2"/>
        </w:rPr>
      </w:pPr>
      <w:r>
        <w:rPr>
          <w:rFonts w:ascii="Arial" w:cs="Arial" w:eastAsia="Arial" w:hAnsi="Arial"/>
          <w:sz w:val="17"/>
          <w:szCs w:val="17"/>
          <w:color w:val="F2F2F2"/>
        </w:rPr>
        <w:t>Opportunity exists to set up advertising-</w:t>
      </w:r>
    </w:p>
    <w:p>
      <w:pPr>
        <w:ind w:left="180"/>
        <w:spacing w:after="0" w:line="185" w:lineRule="auto"/>
        <w:rPr>
          <w:sz w:val="20"/>
          <w:szCs w:val="20"/>
          <w:color w:val="auto"/>
        </w:rPr>
      </w:pPr>
      <w:r>
        <w:rPr>
          <w:rFonts w:ascii="Arial" w:cs="Arial" w:eastAsia="Arial" w:hAnsi="Arial"/>
          <w:sz w:val="14"/>
          <w:szCs w:val="14"/>
          <w:color w:val="F2F2F2"/>
        </w:rPr>
        <w:t xml:space="preserve">supported storefronts – </w:t>
      </w:r>
      <w:r>
        <w:rPr>
          <w:rFonts w:ascii="Arial" w:cs="Arial" w:eastAsia="Arial" w:hAnsi="Arial"/>
          <w:sz w:val="23"/>
          <w:szCs w:val="23"/>
          <w:color w:val="000000"/>
          <w:vertAlign w:val="subscript"/>
        </w:rPr>
        <w:t>Indicative</w:t>
      </w:r>
    </w:p>
    <w:p>
      <w:pPr>
        <w:ind w:left="180"/>
        <w:spacing w:after="0"/>
        <w:tabs>
          <w:tab w:leader="none" w:pos="2000" w:val="left"/>
        </w:tabs>
        <w:rPr>
          <w:sz w:val="20"/>
          <w:szCs w:val="20"/>
          <w:color w:val="auto"/>
        </w:rPr>
      </w:pPr>
      <w:r>
        <w:rPr>
          <w:rFonts w:ascii="Arial" w:cs="Arial" w:eastAsia="Arial" w:hAnsi="Arial"/>
          <w:sz w:val="17"/>
          <w:szCs w:val="17"/>
          <w:color w:val="F2F2F2"/>
        </w:rPr>
        <w:t>“free” to consumers</w:t>
      </w:r>
      <w:r>
        <w:rPr>
          <w:sz w:val="20"/>
          <w:szCs w:val="20"/>
          <w:color w:val="auto"/>
        </w:rPr>
        <w:tab/>
      </w:r>
      <w:r>
        <w:rPr>
          <w:rFonts w:ascii="Arial" w:cs="Arial" w:eastAsia="Arial" w:hAnsi="Arial"/>
          <w:sz w:val="15"/>
          <w:szCs w:val="15"/>
          <w:color w:val="auto"/>
        </w:rPr>
        <w:t>example</w:t>
      </w:r>
    </w:p>
    <w:p>
      <w:pPr>
        <w:spacing w:after="0" w:line="200" w:lineRule="exact"/>
        <w:rPr>
          <w:sz w:val="20"/>
          <w:szCs w:val="20"/>
          <w:color w:val="auto"/>
        </w:rPr>
      </w:pPr>
    </w:p>
    <w:p>
      <w:pPr>
        <w:sectPr>
          <w:pgSz w:w="11900" w:h="16838" w:orient="portrait"/>
          <w:cols w:equalWidth="0" w:num="2">
            <w:col w:w="4400" w:space="720"/>
            <w:col w:w="4779"/>
          </w:cols>
          <w:pgMar w:left="560" w:top="486" w:right="1440"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13 -</w:t>
      </w:r>
    </w:p>
    <w:p>
      <w:pPr>
        <w:sectPr>
          <w:pgSz w:w="11900" w:h="16838" w:orient="portrait"/>
          <w:cols w:equalWidth="0" w:num="1">
            <w:col w:w="9899"/>
          </w:cols>
          <w:pgMar w:left="560" w:top="486"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65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4965700"/>
                    </a:xfrm>
                    <a:prstGeom prst="rect">
                      <a:avLst/>
                    </a:prstGeom>
                    <a:noFill/>
                  </pic:spPr>
                </pic:pic>
              </a:graphicData>
            </a:graphic>
          </wp:anchor>
        </w:drawing>
        <w:t>World’s Largest Video Ringtone Library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479"/>
        <w:spacing w:after="0"/>
        <w:rPr>
          <w:sz w:val="20"/>
          <w:szCs w:val="20"/>
          <w:color w:val="auto"/>
        </w:rPr>
      </w:pPr>
      <w:r>
        <w:rPr>
          <w:rFonts w:ascii="Arial" w:cs="Arial" w:eastAsia="Arial" w:hAnsi="Arial"/>
          <w:sz w:val="51"/>
          <w:szCs w:val="51"/>
          <w:b w:val="1"/>
          <w:bCs w:val="1"/>
          <w:color w:val="FFFFFF"/>
        </w:rPr>
        <w:t>5,000+ video clips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FFFFFF"/>
        </w:rPr>
        <w:t>- Page 14 -</w:t>
      </w:r>
    </w:p>
    <w:p>
      <w:pPr>
        <w:sectPr>
          <w:pgSz w:w="11900" w:h="16838" w:orient="portrait"/>
          <w:cols w:equalWidth="0" w:num="1">
            <w:col w:w="9899"/>
          </w:cols>
          <w:pgMar w:left="560" w:top="486" w:right="1440" w:bottom="1440" w:gutter="0" w:footer="0" w:header="0"/>
        </w:sectPr>
      </w:pPr>
    </w:p>
    <w:bookmarkStart w:id="17" w:name="page18"/>
    <w:bookmarkEnd w:id="17"/>
    <w:p>
      <w:pPr>
        <w:ind w:left="25"/>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Simple, Scalable Business Model</w:t>
      </w:r>
    </w:p>
    <w:p>
      <w:pPr>
        <w:spacing w:after="0" w:line="200" w:lineRule="exact"/>
        <w:rPr>
          <w:sz w:val="20"/>
          <w:szCs w:val="20"/>
          <w:color w:val="auto"/>
        </w:rPr>
      </w:pPr>
    </w:p>
    <w:p>
      <w:pPr>
        <w:spacing w:after="0" w:line="277" w:lineRule="exact"/>
        <w:rPr>
          <w:sz w:val="20"/>
          <w:szCs w:val="20"/>
          <w:color w:val="auto"/>
        </w:rPr>
      </w:pPr>
    </w:p>
    <w:p>
      <w:pPr>
        <w:jc w:val="center"/>
        <w:ind w:right="1415"/>
        <w:spacing w:after="0"/>
        <w:rPr>
          <w:sz w:val="20"/>
          <w:szCs w:val="20"/>
          <w:color w:val="auto"/>
        </w:rPr>
      </w:pPr>
      <w:r>
        <w:rPr>
          <w:rFonts w:ascii="Arial" w:cs="Arial" w:eastAsia="Arial" w:hAnsi="Arial"/>
          <w:sz w:val="26"/>
          <w:szCs w:val="26"/>
          <w:b w:val="1"/>
          <w:bCs w:val="1"/>
          <w:color w:val="auto"/>
        </w:rPr>
        <w:t>Target: $12 $-30 per user per year for</w:t>
      </w:r>
    </w:p>
    <w:p>
      <w:pPr>
        <w:spacing w:after="0" w:line="41" w:lineRule="exact"/>
        <w:rPr>
          <w:sz w:val="20"/>
          <w:szCs w:val="20"/>
          <w:color w:val="auto"/>
        </w:rPr>
      </w:pPr>
    </w:p>
    <w:p>
      <w:pPr>
        <w:jc w:val="center"/>
        <w:ind w:right="1495"/>
        <w:spacing w:after="0"/>
        <w:rPr>
          <w:sz w:val="20"/>
          <w:szCs w:val="20"/>
          <w:color w:val="auto"/>
        </w:rPr>
      </w:pPr>
      <w:r>
        <w:rPr>
          <w:rFonts w:ascii="Arial" w:cs="Arial" w:eastAsia="Arial" w:hAnsi="Arial"/>
          <w:sz w:val="26"/>
          <w:szCs w:val="26"/>
          <w:b w:val="1"/>
          <w:bCs w:val="1"/>
          <w:color w:val="auto"/>
        </w:rPr>
        <w:t>Net Vringo ARPU</w:t>
      </w:r>
    </w:p>
    <w:p>
      <w:pPr>
        <w:spacing w:after="0" w:line="200" w:lineRule="exact"/>
        <w:rPr>
          <w:sz w:val="20"/>
          <w:szCs w:val="20"/>
          <w:color w:val="auto"/>
        </w:rPr>
      </w:pPr>
    </w:p>
    <w:p>
      <w:pPr>
        <w:spacing w:after="0" w:line="217" w:lineRule="exact"/>
        <w:rPr>
          <w:sz w:val="20"/>
          <w:szCs w:val="20"/>
          <w:color w:val="auto"/>
        </w:rPr>
      </w:pPr>
    </w:p>
    <w:p>
      <w:pPr>
        <w:ind w:left="585"/>
        <w:spacing w:after="0"/>
        <w:rPr>
          <w:sz w:val="20"/>
          <w:szCs w:val="20"/>
          <w:color w:val="auto"/>
        </w:rPr>
      </w:pPr>
      <w:r>
        <w:rPr>
          <w:rFonts w:ascii="Arial" w:cs="Arial" w:eastAsia="Arial" w:hAnsi="Arial"/>
          <w:sz w:val="26"/>
          <w:szCs w:val="26"/>
          <w:b w:val="1"/>
          <w:bCs w:val="1"/>
          <w:color w:val="FFFFFF"/>
        </w:rPr>
        <w:t>Premium: $1-3 per clip</w:t>
      </w:r>
    </w:p>
    <w:p>
      <w:pPr>
        <w:spacing w:after="0" w:line="117" w:lineRule="exact"/>
        <w:rPr>
          <w:sz w:val="20"/>
          <w:szCs w:val="20"/>
          <w:color w:val="auto"/>
        </w:rPr>
      </w:pPr>
    </w:p>
    <w:p>
      <w:pPr>
        <w:ind w:left="285"/>
        <w:spacing w:after="0"/>
        <w:rPr>
          <w:sz w:val="20"/>
          <w:szCs w:val="20"/>
          <w:color w:val="auto"/>
        </w:rPr>
      </w:pPr>
      <w:r>
        <w:rPr>
          <w:rFonts w:ascii="Arial" w:cs="Arial" w:eastAsia="Arial" w:hAnsi="Arial"/>
          <w:sz w:val="26"/>
          <w:szCs w:val="26"/>
          <w:b w:val="1"/>
          <w:bCs w:val="1"/>
          <w:color w:val="595959"/>
        </w:rPr>
        <w:t>Monthly user subscription</w:t>
      </w:r>
    </w:p>
    <w:p>
      <w:pPr>
        <w:spacing w:after="0" w:line="200" w:lineRule="exact"/>
        <w:rPr>
          <w:sz w:val="20"/>
          <w:szCs w:val="20"/>
          <w:color w:val="auto"/>
        </w:rPr>
      </w:pPr>
    </w:p>
    <w:p>
      <w:pPr>
        <w:spacing w:after="0" w:line="216" w:lineRule="exact"/>
        <w:rPr>
          <w:sz w:val="20"/>
          <w:szCs w:val="20"/>
          <w:color w:val="auto"/>
        </w:rPr>
      </w:pPr>
    </w:p>
    <w:tbl>
      <w:tblPr>
        <w:tblLayout w:type="fixed"/>
        <w:tblInd w:w="365" w:type="dxa"/>
        <w:tblCellMar>
          <w:top w:w="0" w:type="dxa"/>
          <w:left w:w="0" w:type="dxa"/>
          <w:bottom w:w="0" w:type="dxa"/>
          <w:right w:w="0" w:type="dxa"/>
        </w:tblCellMar>
      </w:tblPr>
      <w:tr>
        <w:trPr>
          <w:trHeight w:val="329"/>
        </w:trPr>
        <w:tc>
          <w:tcPr>
            <w:tcW w:w="1680" w:type="dxa"/>
            <w:vAlign w:val="bottom"/>
          </w:tcPr>
          <w:p>
            <w:pPr>
              <w:jc w:val="center"/>
              <w:ind w:right="398"/>
              <w:spacing w:after="0"/>
              <w:rPr>
                <w:sz w:val="20"/>
                <w:szCs w:val="20"/>
                <w:color w:val="auto"/>
              </w:rPr>
            </w:pPr>
            <w:r>
              <w:rPr>
                <w:rFonts w:ascii="Arial" w:cs="Arial" w:eastAsia="Arial" w:hAnsi="Arial"/>
                <w:sz w:val="26"/>
                <w:szCs w:val="26"/>
                <w:color w:val="auto"/>
                <w:w w:val="98"/>
              </w:rPr>
              <w:t>User</w:t>
            </w:r>
          </w:p>
        </w:tc>
        <w:tc>
          <w:tcPr>
            <w:tcW w:w="2380" w:type="dxa"/>
            <w:vAlign w:val="bottom"/>
          </w:tcPr>
          <w:p>
            <w:pPr>
              <w:jc w:val="center"/>
              <w:ind w:right="76"/>
              <w:spacing w:after="0"/>
              <w:rPr>
                <w:sz w:val="20"/>
                <w:szCs w:val="20"/>
                <w:color w:val="auto"/>
              </w:rPr>
            </w:pPr>
            <w:r>
              <w:rPr>
                <w:rFonts w:ascii="Arial" w:cs="Arial" w:eastAsia="Arial" w:hAnsi="Arial"/>
                <w:sz w:val="26"/>
                <w:szCs w:val="26"/>
                <w:color w:val="FFFFFF"/>
                <w:w w:val="98"/>
              </w:rPr>
              <w:t>Vringo</w:t>
            </w:r>
          </w:p>
        </w:tc>
        <w:tc>
          <w:tcPr>
            <w:tcW w:w="1100" w:type="dxa"/>
            <w:vAlign w:val="bottom"/>
            <w:vMerge w:val="restart"/>
          </w:tcPr>
          <w:p>
            <w:pPr>
              <w:ind w:left="660"/>
              <w:spacing w:after="0"/>
              <w:rPr>
                <w:sz w:val="20"/>
                <w:szCs w:val="20"/>
                <w:color w:val="auto"/>
              </w:rPr>
            </w:pPr>
            <w:r>
              <w:rPr>
                <w:rFonts w:ascii="Arial" w:cs="Arial" w:eastAsia="Arial" w:hAnsi="Arial"/>
                <w:sz w:val="68"/>
                <w:szCs w:val="68"/>
                <w:b w:val="1"/>
                <w:bCs w:val="1"/>
                <w:color w:val="auto"/>
                <w:w w:val="92"/>
              </w:rPr>
              <w:t>X</w:t>
            </w:r>
          </w:p>
        </w:tc>
        <w:tc>
          <w:tcPr>
            <w:tcW w:w="0" w:type="dxa"/>
            <w:vAlign w:val="bottom"/>
          </w:tcPr>
          <w:p>
            <w:pPr>
              <w:spacing w:after="0"/>
              <w:rPr>
                <w:sz w:val="1"/>
                <w:szCs w:val="1"/>
                <w:color w:val="auto"/>
              </w:rPr>
            </w:pPr>
          </w:p>
        </w:tc>
      </w:tr>
      <w:tr>
        <w:trPr>
          <w:trHeight w:val="437"/>
        </w:trPr>
        <w:tc>
          <w:tcPr>
            <w:tcW w:w="1680" w:type="dxa"/>
            <w:vAlign w:val="bottom"/>
          </w:tcPr>
          <w:p>
            <w:pPr>
              <w:spacing w:after="0"/>
              <w:rPr>
                <w:sz w:val="24"/>
                <w:szCs w:val="24"/>
                <w:color w:val="auto"/>
              </w:rPr>
            </w:pPr>
          </w:p>
        </w:tc>
        <w:tc>
          <w:tcPr>
            <w:tcW w:w="2380" w:type="dxa"/>
            <w:vAlign w:val="bottom"/>
          </w:tcPr>
          <w:p>
            <w:pPr>
              <w:jc w:val="right"/>
              <w:ind w:right="536"/>
              <w:spacing w:after="0"/>
              <w:rPr>
                <w:sz w:val="20"/>
                <w:szCs w:val="20"/>
                <w:color w:val="auto"/>
              </w:rPr>
            </w:pPr>
            <w:r>
              <w:rPr>
                <w:rFonts w:ascii="Arial" w:cs="Arial" w:eastAsia="Arial" w:hAnsi="Arial"/>
                <w:sz w:val="26"/>
                <w:szCs w:val="26"/>
                <w:b w:val="1"/>
                <w:bCs w:val="1"/>
                <w:color w:val="FFFFFF"/>
              </w:rPr>
              <w:t>$0.3*-$3.5</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680" w:type="dxa"/>
            <w:vAlign w:val="bottom"/>
            <w:vMerge w:val="restart"/>
          </w:tcPr>
          <w:p>
            <w:pPr>
              <w:jc w:val="center"/>
              <w:ind w:right="438"/>
              <w:spacing w:after="0"/>
              <w:rPr>
                <w:sz w:val="20"/>
                <w:szCs w:val="20"/>
                <w:color w:val="auto"/>
              </w:rPr>
            </w:pPr>
            <w:r>
              <w:rPr>
                <w:rFonts w:ascii="Arial" w:cs="Arial" w:eastAsia="Arial" w:hAnsi="Arial"/>
                <w:sz w:val="26"/>
                <w:szCs w:val="26"/>
                <w:b w:val="1"/>
                <w:bCs w:val="1"/>
                <w:color w:val="auto"/>
                <w:w w:val="97"/>
              </w:rPr>
              <w:t>$1.0 -$5.0</w:t>
            </w:r>
          </w:p>
        </w:tc>
        <w:tc>
          <w:tcPr>
            <w:tcW w:w="23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6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tcPr>
          <w:p>
            <w:pPr>
              <w:jc w:val="center"/>
              <w:ind w:right="418"/>
              <w:spacing w:after="0"/>
              <w:rPr>
                <w:sz w:val="20"/>
                <w:szCs w:val="20"/>
                <w:color w:val="auto"/>
              </w:rPr>
            </w:pPr>
            <w:r>
              <w:rPr>
                <w:rFonts w:ascii="Arial" w:cs="Arial" w:eastAsia="Arial" w:hAnsi="Arial"/>
                <w:sz w:val="17"/>
                <w:szCs w:val="17"/>
                <w:color w:val="auto"/>
              </w:rPr>
              <w:t>No data</w:t>
            </w:r>
          </w:p>
        </w:tc>
        <w:tc>
          <w:tcPr>
            <w:tcW w:w="2380" w:type="dxa"/>
            <w:vAlign w:val="bottom"/>
            <w:vMerge w:val="restart"/>
          </w:tcPr>
          <w:p>
            <w:pPr>
              <w:jc w:val="center"/>
              <w:ind w:right="56"/>
              <w:spacing w:after="0"/>
              <w:rPr>
                <w:sz w:val="20"/>
                <w:szCs w:val="20"/>
                <w:color w:val="auto"/>
              </w:rPr>
            </w:pPr>
            <w:r>
              <w:rPr>
                <w:rFonts w:ascii="Arial" w:cs="Arial" w:eastAsia="Arial" w:hAnsi="Arial"/>
                <w:sz w:val="22"/>
                <w:szCs w:val="22"/>
                <w:color w:val="FFFFFF"/>
              </w:rPr>
              <w:t>Operator</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680" w:type="dxa"/>
            <w:vAlign w:val="bottom"/>
            <w:vMerge w:val="restart"/>
          </w:tcPr>
          <w:p>
            <w:pPr>
              <w:jc w:val="center"/>
              <w:ind w:right="438"/>
              <w:spacing w:after="0"/>
              <w:rPr>
                <w:sz w:val="20"/>
                <w:szCs w:val="20"/>
                <w:color w:val="auto"/>
              </w:rPr>
            </w:pPr>
            <w:r>
              <w:rPr>
                <w:rFonts w:ascii="Arial" w:cs="Arial" w:eastAsia="Arial" w:hAnsi="Arial"/>
                <w:sz w:val="17"/>
                <w:szCs w:val="17"/>
                <w:color w:val="auto"/>
              </w:rPr>
              <w:t>traffic</w:t>
            </w:r>
          </w:p>
        </w:tc>
        <w:tc>
          <w:tcPr>
            <w:tcW w:w="23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68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680" w:type="dxa"/>
            <w:vAlign w:val="bottom"/>
          </w:tcPr>
          <w:p>
            <w:pPr>
              <w:jc w:val="center"/>
              <w:ind w:right="378"/>
              <w:spacing w:after="0"/>
              <w:rPr>
                <w:sz w:val="20"/>
                <w:szCs w:val="20"/>
                <w:color w:val="auto"/>
              </w:rPr>
            </w:pPr>
            <w:r>
              <w:rPr>
                <w:rFonts w:ascii="Arial" w:cs="Arial" w:eastAsia="Arial" w:hAnsi="Arial"/>
                <w:sz w:val="17"/>
                <w:szCs w:val="17"/>
                <w:color w:val="auto"/>
                <w:w w:val="99"/>
              </w:rPr>
              <w:t>charges</w:t>
            </w:r>
          </w:p>
        </w:tc>
        <w:tc>
          <w:tcPr>
            <w:tcW w:w="2380" w:type="dxa"/>
            <w:vAlign w:val="bottom"/>
            <w:vMerge w:val="restart"/>
          </w:tcPr>
          <w:p>
            <w:pPr>
              <w:jc w:val="center"/>
              <w:spacing w:after="0"/>
              <w:rPr>
                <w:sz w:val="20"/>
                <w:szCs w:val="20"/>
                <w:color w:val="auto"/>
              </w:rPr>
            </w:pPr>
            <w:r>
              <w:rPr>
                <w:rFonts w:ascii="Arial" w:cs="Arial" w:eastAsia="Arial" w:hAnsi="Arial"/>
                <w:sz w:val="26"/>
                <w:szCs w:val="26"/>
                <w:b w:val="1"/>
                <w:bCs w:val="1"/>
                <w:color w:val="FFFFFF"/>
                <w:w w:val="97"/>
              </w:rPr>
              <w:t>$0.6 -$2.5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680" w:type="dxa"/>
            <w:vAlign w:val="bottom"/>
          </w:tcPr>
          <w:p>
            <w:pPr>
              <w:spacing w:after="0"/>
              <w:rPr>
                <w:sz w:val="23"/>
                <w:szCs w:val="23"/>
                <w:color w:val="auto"/>
              </w:rPr>
            </w:pPr>
          </w:p>
        </w:tc>
        <w:tc>
          <w:tcPr>
            <w:tcW w:w="238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26"/>
          <w:szCs w:val="26"/>
          <w:b w:val="1"/>
          <w:bCs w:val="1"/>
          <w:color w:val="auto"/>
        </w:rPr>
        <w:t>Operator penetration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0"/>
        <w:spacing w:after="0"/>
        <w:rPr>
          <w:sz w:val="20"/>
          <w:szCs w:val="20"/>
          <w:color w:val="auto"/>
        </w:rPr>
      </w:pPr>
      <w:r>
        <w:rPr>
          <w:rFonts w:ascii="Arial" w:cs="Arial" w:eastAsia="Arial" w:hAnsi="Arial"/>
          <w:sz w:val="26"/>
          <w:szCs w:val="26"/>
          <w:b w:val="1"/>
          <w:bCs w:val="1"/>
          <w:color w:val="auto"/>
        </w:rPr>
        <w:t>Target</w:t>
      </w:r>
    </w:p>
    <w:p>
      <w:pPr>
        <w:spacing w:after="0" w:line="224" w:lineRule="exact"/>
        <w:rPr>
          <w:sz w:val="20"/>
          <w:szCs w:val="20"/>
          <w:color w:val="auto"/>
        </w:rPr>
      </w:pPr>
    </w:p>
    <w:p>
      <w:pPr>
        <w:ind w:left="940"/>
        <w:spacing w:after="0"/>
        <w:rPr>
          <w:sz w:val="20"/>
          <w:szCs w:val="20"/>
          <w:color w:val="auto"/>
        </w:rPr>
      </w:pPr>
      <w:r>
        <w:rPr>
          <w:rFonts w:ascii="Arial" w:cs="Arial" w:eastAsia="Arial" w:hAnsi="Arial"/>
          <w:sz w:val="26"/>
          <w:szCs w:val="26"/>
          <w:b w:val="1"/>
          <w:bCs w:val="1"/>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25"/>
          <w:szCs w:val="25"/>
          <w:b w:val="1"/>
          <w:bCs w:val="1"/>
          <w:color w:val="auto"/>
        </w:rPr>
        <w:t>Modeling assumptions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26"/>
          <w:szCs w:val="26"/>
          <w:b w:val="1"/>
          <w:b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20" w:right="680" w:hanging="682"/>
        <w:spacing w:after="0" w:line="443" w:lineRule="auto"/>
        <w:rPr>
          <w:sz w:val="20"/>
          <w:szCs w:val="20"/>
          <w:color w:val="auto"/>
        </w:rPr>
      </w:pPr>
      <w:r>
        <w:rPr>
          <w:rFonts w:ascii="Arial" w:cs="Arial" w:eastAsia="Arial" w:hAnsi="Arial"/>
          <w:sz w:val="26"/>
          <w:szCs w:val="26"/>
          <w:b w:val="1"/>
          <w:bCs w:val="1"/>
          <w:color w:val="auto"/>
        </w:rPr>
        <w:t>Current audio RBT ~15%</w:t>
      </w:r>
    </w:p>
    <w:p>
      <w:pPr>
        <w:spacing w:after="0" w:line="200" w:lineRule="exact"/>
        <w:rPr>
          <w:sz w:val="20"/>
          <w:szCs w:val="20"/>
          <w:color w:val="auto"/>
        </w:rPr>
      </w:pPr>
    </w:p>
    <w:p>
      <w:pPr>
        <w:sectPr>
          <w:pgSz w:w="11900" w:h="16838" w:orient="portrait"/>
          <w:cols w:equalWidth="0" w:num="2">
            <w:col w:w="6125" w:space="720"/>
            <w:col w:w="3180"/>
          </w:cols>
          <w:pgMar w:left="535" w:top="486" w:right="1339" w:bottom="1440" w:gutter="0" w:footer="0" w:header="0"/>
        </w:sectPr>
      </w:pPr>
    </w:p>
    <w:p>
      <w:pPr>
        <w:spacing w:after="0" w:line="310" w:lineRule="exact"/>
        <w:rPr>
          <w:sz w:val="20"/>
          <w:szCs w:val="20"/>
          <w:color w:val="auto"/>
        </w:rPr>
      </w:pPr>
    </w:p>
    <w:p>
      <w:pPr>
        <w:ind w:left="145" w:right="820" w:hanging="145"/>
        <w:spacing w:after="0" w:line="273" w:lineRule="auto"/>
        <w:tabs>
          <w:tab w:leader="none" w:pos="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 revenue of $0.15 per subscribernet- of uncollected subscription fees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FFFFFF"/>
        </w:rPr>
        <w:t>- Page 15 -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98" w:hanging="198"/>
        <w:spacing w:after="0" w:line="259" w:lineRule="auto"/>
        <w:tabs>
          <w:tab w:leader="none" w:pos="18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Average Penetration of addressable market within 1 year of new market launch</w:t>
      </w:r>
    </w:p>
    <w:p>
      <w:pPr>
        <w:sectPr>
          <w:pgSz w:w="11900" w:h="16838" w:orient="portrait"/>
          <w:cols w:equalWidth="0" w:num="2">
            <w:col w:w="5265" w:space="282"/>
            <w:col w:w="4478"/>
          </w:cols>
          <w:pgMar w:left="535" w:top="486" w:right="1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Signed Revenue Deals: Initial Basis for Growth</w:t>
      </w:r>
    </w:p>
    <w:p>
      <w:pPr>
        <w:spacing w:after="0" w:line="360" w:lineRule="exact"/>
        <w:rPr>
          <w:sz w:val="20"/>
          <w:szCs w:val="20"/>
          <w:color w:val="auto"/>
        </w:rPr>
      </w:pPr>
    </w:p>
    <w:p>
      <w:pPr>
        <w:ind w:left="1780" w:right="219" w:hanging="596"/>
        <w:spacing w:after="0" w:line="311" w:lineRule="auto"/>
        <w:rPr>
          <w:sz w:val="20"/>
          <w:szCs w:val="20"/>
          <w:color w:val="auto"/>
        </w:rPr>
      </w:pPr>
      <w:r>
        <w:rPr>
          <w:rFonts w:ascii="Arial" w:cs="Arial" w:eastAsia="Arial" w:hAnsi="Arial"/>
          <w:sz w:val="25"/>
          <w:szCs w:val="25"/>
          <w:b w:val="1"/>
          <w:bCs w:val="1"/>
          <w:color w:val="auto"/>
        </w:rPr>
        <w:t>Markets in which we have launched or will launch our service through carriershaveseveralhundredmillionmobilesubscribers</w:t>
      </w:r>
      <w:r>
        <w:rPr>
          <w:rFonts w:ascii="Arial" w:cs="Arial" w:eastAsia="Arial" w:hAnsi="Arial"/>
          <w:sz w:val="33"/>
          <w:szCs w:val="33"/>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620" w:type="dxa"/>
            <w:vAlign w:val="bottom"/>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26"/>
                <w:szCs w:val="26"/>
                <w:b w:val="1"/>
                <w:bCs w:val="1"/>
                <w:color w:val="auto"/>
                <w:w w:val="98"/>
              </w:rPr>
              <w:t>Currently in discussions with several other carriers pursuing</w:t>
            </w:r>
          </w:p>
        </w:tc>
      </w:tr>
      <w:tr>
        <w:trPr>
          <w:trHeight w:val="362"/>
        </w:trPr>
        <w:tc>
          <w:tcPr>
            <w:tcW w:w="1620" w:type="dxa"/>
            <w:vAlign w:val="bottom"/>
          </w:tcPr>
          <w:p>
            <w:pPr>
              <w:spacing w:after="0"/>
              <w:rPr>
                <w:sz w:val="20"/>
                <w:szCs w:val="20"/>
                <w:color w:val="auto"/>
              </w:rPr>
            </w:pPr>
            <w:r>
              <w:rPr>
                <w:rFonts w:ascii="Arial" w:cs="Arial" w:eastAsia="Arial" w:hAnsi="Arial"/>
                <w:sz w:val="12"/>
                <w:szCs w:val="12"/>
                <w:b w:val="1"/>
                <w:bCs w:val="1"/>
                <w:color w:val="auto"/>
              </w:rPr>
              <w:t>(1) Source: United Nations</w:t>
            </w:r>
          </w:p>
        </w:tc>
        <w:tc>
          <w:tcPr>
            <w:tcW w:w="7500" w:type="dxa"/>
            <w:vAlign w:val="bottom"/>
          </w:tcPr>
          <w:p>
            <w:pPr>
              <w:jc w:val="center"/>
              <w:ind w:right="733"/>
              <w:spacing w:after="0"/>
              <w:rPr>
                <w:sz w:val="20"/>
                <w:szCs w:val="20"/>
                <w:color w:val="auto"/>
              </w:rPr>
            </w:pPr>
            <w:r>
              <w:rPr>
                <w:rFonts w:ascii="Arial" w:cs="Arial" w:eastAsia="Arial" w:hAnsi="Arial"/>
                <w:sz w:val="26"/>
                <w:szCs w:val="26"/>
                <w:b w:val="1"/>
                <w:bCs w:val="1"/>
                <w:color w:val="auto"/>
                <w:w w:val="93"/>
              </w:rPr>
              <w:t>additional agreements over the next2412months-</w:t>
            </w:r>
          </w:p>
        </w:tc>
      </w:tr>
      <w:tr>
        <w:trPr>
          <w:trHeight w:val="420"/>
        </w:trPr>
        <w:tc>
          <w:tcPr>
            <w:tcW w:w="1620" w:type="dxa"/>
            <w:vAlign w:val="bottom"/>
          </w:tcPr>
          <w:p>
            <w:pPr>
              <w:spacing w:after="0"/>
              <w:rPr>
                <w:sz w:val="24"/>
                <w:szCs w:val="24"/>
                <w:color w:val="auto"/>
              </w:rPr>
            </w:pPr>
          </w:p>
        </w:tc>
        <w:tc>
          <w:tcPr>
            <w:tcW w:w="7500" w:type="dxa"/>
            <w:vAlign w:val="bottom"/>
          </w:tcPr>
          <w:p>
            <w:pPr>
              <w:jc w:val="center"/>
              <w:ind w:right="793"/>
              <w:spacing w:after="0"/>
              <w:rPr>
                <w:sz w:val="20"/>
                <w:szCs w:val="20"/>
                <w:color w:val="auto"/>
              </w:rPr>
            </w:pPr>
            <w:r>
              <w:rPr>
                <w:rFonts w:ascii="Arial" w:cs="Arial" w:eastAsia="Arial" w:hAnsi="Arial"/>
                <w:sz w:val="13"/>
                <w:szCs w:val="13"/>
                <w:color w:val="FFFFFF"/>
                <w:w w:val="99"/>
              </w:rPr>
              <w:t>- Page 16 -</w:t>
            </w:r>
          </w:p>
        </w:tc>
      </w:tr>
    </w:tbl>
    <w:p>
      <w:pPr>
        <w:sectPr>
          <w:pgSz w:w="11900" w:h="16838" w:orient="portrait"/>
          <w:cols w:equalWidth="0" w:num="1">
            <w:col w:w="9899"/>
          </w:cols>
          <w:pgMar w:left="560" w:top="465" w:right="1440" w:bottom="1440" w:gutter="0" w:footer="0" w:header="0"/>
        </w:sectPr>
      </w:pPr>
    </w:p>
    <w:bookmarkStart w:id="19" w:name="page20"/>
    <w:bookmarkEnd w:id="19"/>
    <w:p>
      <w:pPr>
        <w:spacing w:after="0"/>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6 Carrier Launches So Far…others pending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720" w:type="dxa"/>
            <w:vAlign w:val="bottom"/>
          </w:tcPr>
          <w:p>
            <w:pPr>
              <w:jc w:val="center"/>
              <w:ind w:right="15"/>
              <w:spacing w:after="0"/>
              <w:rPr>
                <w:sz w:val="20"/>
                <w:szCs w:val="20"/>
                <w:color w:val="auto"/>
              </w:rPr>
            </w:pPr>
            <w:r>
              <w:rPr>
                <w:rFonts w:ascii="Arial" w:cs="Arial" w:eastAsia="Arial" w:hAnsi="Arial"/>
                <w:sz w:val="17"/>
                <w:szCs w:val="17"/>
                <w:b w:val="1"/>
                <w:bCs w:val="1"/>
                <w:color w:val="auto"/>
              </w:rPr>
              <w:t>Name of Operator/Partner</w:t>
            </w:r>
          </w:p>
        </w:tc>
        <w:tc>
          <w:tcPr>
            <w:tcW w:w="1420" w:type="dxa"/>
            <w:vAlign w:val="bottom"/>
          </w:tcPr>
          <w:p>
            <w:pPr>
              <w:ind w:left="200"/>
              <w:spacing w:after="0"/>
              <w:rPr>
                <w:sz w:val="20"/>
                <w:szCs w:val="20"/>
                <w:color w:val="auto"/>
              </w:rPr>
            </w:pPr>
            <w:r>
              <w:rPr>
                <w:rFonts w:ascii="Arial" w:cs="Arial" w:eastAsia="Arial" w:hAnsi="Arial"/>
                <w:sz w:val="17"/>
                <w:szCs w:val="17"/>
                <w:b w:val="1"/>
                <w:bCs w:val="1"/>
                <w:color w:val="auto"/>
              </w:rPr>
              <w:t>Launch Date</w:t>
            </w:r>
          </w:p>
        </w:tc>
        <w:tc>
          <w:tcPr>
            <w:tcW w:w="1460" w:type="dxa"/>
            <w:vAlign w:val="bottom"/>
          </w:tcPr>
          <w:p>
            <w:pPr>
              <w:ind w:left="360"/>
              <w:spacing w:after="0"/>
              <w:rPr>
                <w:sz w:val="20"/>
                <w:szCs w:val="20"/>
                <w:color w:val="auto"/>
              </w:rPr>
            </w:pPr>
            <w:r>
              <w:rPr>
                <w:rFonts w:ascii="Arial" w:cs="Arial" w:eastAsia="Arial" w:hAnsi="Arial"/>
                <w:sz w:val="17"/>
                <w:szCs w:val="17"/>
                <w:b w:val="1"/>
                <w:bCs w:val="1"/>
                <w:color w:val="auto"/>
              </w:rPr>
              <w:t>Operator</w:t>
            </w:r>
          </w:p>
        </w:tc>
        <w:tc>
          <w:tcPr>
            <w:tcW w:w="446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Growth Potential</w:t>
            </w:r>
          </w:p>
        </w:tc>
      </w:tr>
      <w:tr>
        <w:trPr>
          <w:trHeight w:val="224"/>
        </w:trPr>
        <w:tc>
          <w:tcPr>
            <w:tcW w:w="2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ind w:left="120"/>
              <w:spacing w:after="0"/>
              <w:rPr>
                <w:sz w:val="20"/>
                <w:szCs w:val="20"/>
                <w:color w:val="auto"/>
              </w:rPr>
            </w:pPr>
            <w:r>
              <w:rPr>
                <w:rFonts w:ascii="Arial" w:cs="Arial" w:eastAsia="Arial" w:hAnsi="Arial"/>
                <w:sz w:val="17"/>
                <w:szCs w:val="17"/>
                <w:b w:val="1"/>
                <w:bCs w:val="1"/>
                <w:color w:val="auto"/>
              </w:rPr>
              <w:t>Subscribers (M)</w:t>
            </w:r>
          </w:p>
        </w:tc>
        <w:tc>
          <w:tcPr>
            <w:tcW w:w="4460" w:type="dxa"/>
            <w:vAlign w:val="bottom"/>
          </w:tcPr>
          <w:p>
            <w:pPr>
              <w:spacing w:after="0"/>
              <w:rPr>
                <w:sz w:val="19"/>
                <w:szCs w:val="19"/>
                <w:color w:val="auto"/>
              </w:rPr>
            </w:pPr>
          </w:p>
        </w:tc>
      </w:tr>
      <w:tr>
        <w:trPr>
          <w:trHeight w:val="351"/>
        </w:trPr>
        <w:tc>
          <w:tcPr>
            <w:tcW w:w="2720" w:type="dxa"/>
            <w:vAlign w:val="bottom"/>
          </w:tcPr>
          <w:p>
            <w:pPr>
              <w:jc w:val="center"/>
              <w:ind w:right="135"/>
              <w:spacing w:after="0"/>
              <w:rPr>
                <w:sz w:val="20"/>
                <w:szCs w:val="20"/>
                <w:color w:val="auto"/>
              </w:rPr>
            </w:pPr>
            <w:r>
              <w:rPr>
                <w:rFonts w:ascii="Arial" w:cs="Arial" w:eastAsia="Arial" w:hAnsi="Arial"/>
                <w:sz w:val="17"/>
                <w:szCs w:val="17"/>
                <w:b w:val="1"/>
                <w:bCs w:val="1"/>
                <w:color w:val="auto"/>
                <w:w w:val="96"/>
              </w:rPr>
              <w:t>MTSGroup/Vivacell</w:t>
            </w:r>
            <w:r>
              <w:rPr>
                <w:rFonts w:ascii="Arial" w:cs="Arial" w:eastAsia="Arial" w:hAnsi="Arial"/>
                <w:sz w:val="17"/>
                <w:szCs w:val="17"/>
                <w:color w:val="auto"/>
                <w:w w:val="96"/>
              </w:rPr>
              <w:t>(Armenia)</w:t>
            </w:r>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July 2009</w:t>
            </w:r>
          </w:p>
        </w:tc>
        <w:tc>
          <w:tcPr>
            <w:tcW w:w="1460" w:type="dxa"/>
            <w:vAlign w:val="bottom"/>
          </w:tcPr>
          <w:p>
            <w:pPr>
              <w:jc w:val="center"/>
              <w:spacing w:after="0"/>
              <w:rPr>
                <w:sz w:val="20"/>
                <w:szCs w:val="20"/>
                <w:color w:val="auto"/>
              </w:rPr>
            </w:pPr>
            <w:r>
              <w:rPr>
                <w:rFonts w:ascii="Arial" w:cs="Arial" w:eastAsia="Arial" w:hAnsi="Arial"/>
                <w:sz w:val="20"/>
                <w:szCs w:val="20"/>
                <w:color w:val="auto"/>
              </w:rPr>
              <w:t>2</w:t>
            </w:r>
          </w:p>
        </w:tc>
        <w:tc>
          <w:tcPr>
            <w:tcW w:w="4460" w:type="dxa"/>
            <w:vAlign w:val="bottom"/>
          </w:tcPr>
          <w:p>
            <w:pPr>
              <w:jc w:val="center"/>
              <w:spacing w:after="0"/>
              <w:rPr>
                <w:sz w:val="20"/>
                <w:szCs w:val="20"/>
                <w:color w:val="auto"/>
              </w:rPr>
            </w:pPr>
            <w:r>
              <w:rPr>
                <w:rFonts w:ascii="Arial" w:cs="Arial" w:eastAsia="Arial" w:hAnsi="Arial"/>
                <w:sz w:val="17"/>
                <w:szCs w:val="17"/>
                <w:color w:val="auto"/>
              </w:rPr>
              <w:t>Part of MTS Group which has 100 M subs</w:t>
            </w:r>
          </w:p>
        </w:tc>
      </w:tr>
      <w:tr>
        <w:trPr>
          <w:trHeight w:val="405"/>
        </w:trPr>
        <w:tc>
          <w:tcPr>
            <w:tcW w:w="2720" w:type="dxa"/>
            <w:vAlign w:val="bottom"/>
          </w:tcPr>
          <w:p>
            <w:pPr>
              <w:jc w:val="center"/>
              <w:ind w:right="135"/>
              <w:spacing w:after="0"/>
              <w:rPr>
                <w:sz w:val="20"/>
                <w:szCs w:val="20"/>
                <w:color w:val="auto"/>
              </w:rPr>
            </w:pPr>
            <w:r>
              <w:rPr>
                <w:rFonts w:ascii="Arial" w:cs="Arial" w:eastAsia="Arial" w:hAnsi="Arial"/>
                <w:sz w:val="17"/>
                <w:szCs w:val="17"/>
                <w:b w:val="1"/>
                <w:bCs w:val="1"/>
                <w:color w:val="auto"/>
              </w:rPr>
              <w:t>Maxis</w:t>
            </w:r>
            <w:r>
              <w:rPr>
                <w:rFonts w:ascii="Arial" w:cs="Arial" w:eastAsia="Arial" w:hAnsi="Arial"/>
                <w:sz w:val="17"/>
                <w:szCs w:val="17"/>
                <w:color w:val="auto"/>
              </w:rPr>
              <w:t>(Malaysia)</w:t>
            </w:r>
          </w:p>
        </w:tc>
        <w:tc>
          <w:tcPr>
            <w:tcW w:w="1420" w:type="dxa"/>
            <w:vAlign w:val="bottom"/>
          </w:tcPr>
          <w:p>
            <w:pPr>
              <w:jc w:val="center"/>
              <w:spacing w:after="0"/>
              <w:rPr>
                <w:sz w:val="20"/>
                <w:szCs w:val="20"/>
                <w:color w:val="auto"/>
              </w:rPr>
            </w:pPr>
            <w:r>
              <w:rPr>
                <w:rFonts w:ascii="Arial" w:cs="Arial" w:eastAsia="Arial" w:hAnsi="Arial"/>
                <w:sz w:val="17"/>
                <w:szCs w:val="17"/>
                <w:color w:val="auto"/>
              </w:rPr>
              <w:t>October 2009</w:t>
            </w:r>
          </w:p>
        </w:tc>
        <w:tc>
          <w:tcPr>
            <w:tcW w:w="1460" w:type="dxa"/>
            <w:vAlign w:val="bottom"/>
          </w:tcPr>
          <w:p>
            <w:pPr>
              <w:jc w:val="center"/>
              <w:spacing w:after="0"/>
              <w:rPr>
                <w:sz w:val="20"/>
                <w:szCs w:val="20"/>
                <w:color w:val="auto"/>
              </w:rPr>
            </w:pPr>
            <w:r>
              <w:rPr>
                <w:rFonts w:ascii="Arial" w:cs="Arial" w:eastAsia="Arial" w:hAnsi="Arial"/>
                <w:sz w:val="20"/>
                <w:szCs w:val="20"/>
                <w:color w:val="auto"/>
                <w:w w:val="97"/>
              </w:rPr>
              <w:t>11.4</w:t>
            </w:r>
          </w:p>
        </w:tc>
        <w:tc>
          <w:tcPr>
            <w:tcW w:w="4460" w:type="dxa"/>
            <w:vAlign w:val="bottom"/>
          </w:tcPr>
          <w:p>
            <w:pPr>
              <w:jc w:val="center"/>
              <w:ind w:right="55"/>
              <w:spacing w:after="0"/>
              <w:rPr>
                <w:sz w:val="20"/>
                <w:szCs w:val="20"/>
                <w:color w:val="auto"/>
              </w:rPr>
            </w:pPr>
            <w:r>
              <w:rPr>
                <w:rFonts w:ascii="Arial" w:cs="Arial" w:eastAsia="Arial" w:hAnsi="Arial"/>
                <w:sz w:val="17"/>
                <w:szCs w:val="17"/>
                <w:color w:val="auto"/>
              </w:rPr>
              <w:t>Largest operator in Malaysia</w:t>
            </w:r>
          </w:p>
        </w:tc>
      </w:tr>
      <w:tr>
        <w:trPr>
          <w:trHeight w:val="372"/>
        </w:trPr>
        <w:tc>
          <w:tcPr>
            <w:tcW w:w="2720" w:type="dxa"/>
            <w:vAlign w:val="bottom"/>
          </w:tcPr>
          <w:p>
            <w:pPr>
              <w:jc w:val="center"/>
              <w:ind w:right="135"/>
              <w:spacing w:after="0"/>
              <w:rPr>
                <w:sz w:val="20"/>
                <w:szCs w:val="20"/>
                <w:color w:val="auto"/>
              </w:rPr>
            </w:pPr>
            <w:r>
              <w:rPr>
                <w:rFonts w:ascii="Arial" w:cs="Arial" w:eastAsia="Arial" w:hAnsi="Arial"/>
                <w:sz w:val="17"/>
                <w:szCs w:val="17"/>
                <w:b w:val="1"/>
                <w:bCs w:val="1"/>
                <w:color w:val="auto"/>
                <w:w w:val="98"/>
              </w:rPr>
              <w:t>Avea</w:t>
            </w:r>
            <w:r>
              <w:rPr>
                <w:rFonts w:ascii="Arial" w:cs="Arial" w:eastAsia="Arial" w:hAnsi="Arial"/>
                <w:sz w:val="17"/>
                <w:szCs w:val="17"/>
                <w:color w:val="auto"/>
                <w:w w:val="98"/>
              </w:rPr>
              <w:t>(Turkey)</w:t>
            </w:r>
          </w:p>
        </w:tc>
        <w:tc>
          <w:tcPr>
            <w:tcW w:w="1420" w:type="dxa"/>
            <w:vAlign w:val="bottom"/>
          </w:tcPr>
          <w:p>
            <w:pPr>
              <w:jc w:val="center"/>
              <w:spacing w:after="0"/>
              <w:rPr>
                <w:sz w:val="20"/>
                <w:szCs w:val="20"/>
                <w:color w:val="auto"/>
              </w:rPr>
            </w:pPr>
            <w:r>
              <w:rPr>
                <w:rFonts w:ascii="Arial" w:cs="Arial" w:eastAsia="Arial" w:hAnsi="Arial"/>
                <w:sz w:val="17"/>
                <w:szCs w:val="17"/>
                <w:color w:val="auto"/>
              </w:rPr>
              <w:t>November 2009</w:t>
            </w:r>
          </w:p>
        </w:tc>
        <w:tc>
          <w:tcPr>
            <w:tcW w:w="1460" w:type="dxa"/>
            <w:vAlign w:val="bottom"/>
          </w:tcPr>
          <w:p>
            <w:pPr>
              <w:jc w:val="center"/>
              <w:spacing w:after="0"/>
              <w:rPr>
                <w:sz w:val="20"/>
                <w:szCs w:val="20"/>
                <w:color w:val="auto"/>
              </w:rPr>
            </w:pPr>
            <w:r>
              <w:rPr>
                <w:rFonts w:ascii="Arial" w:cs="Arial" w:eastAsia="Arial" w:hAnsi="Arial"/>
                <w:sz w:val="20"/>
                <w:szCs w:val="20"/>
                <w:color w:val="auto"/>
                <w:w w:val="97"/>
              </w:rPr>
              <w:t>12.1</w:t>
            </w:r>
          </w:p>
        </w:tc>
        <w:tc>
          <w:tcPr>
            <w:tcW w:w="4460" w:type="dxa"/>
            <w:vAlign w:val="bottom"/>
          </w:tcPr>
          <w:p>
            <w:pPr>
              <w:jc w:val="center"/>
              <w:spacing w:after="0"/>
              <w:rPr>
                <w:sz w:val="20"/>
                <w:szCs w:val="20"/>
                <w:color w:val="auto"/>
              </w:rPr>
            </w:pPr>
            <w:r>
              <w:rPr>
                <w:rFonts w:ascii="Arial" w:cs="Arial" w:eastAsia="Arial" w:hAnsi="Arial"/>
                <w:sz w:val="17"/>
                <w:szCs w:val="17"/>
                <w:color w:val="auto"/>
              </w:rPr>
              <w:t>Third largest operator in Turkey; subsequently replaced by</w:t>
            </w:r>
          </w:p>
        </w:tc>
      </w:tr>
      <w:tr>
        <w:trPr>
          <w:trHeight w:val="204"/>
        </w:trPr>
        <w:tc>
          <w:tcPr>
            <w:tcW w:w="2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Pr>
          <w:p>
            <w:pPr>
              <w:jc w:val="center"/>
              <w:ind w:right="75"/>
              <w:spacing w:after="0"/>
              <w:rPr>
                <w:sz w:val="20"/>
                <w:szCs w:val="20"/>
                <w:color w:val="auto"/>
              </w:rPr>
            </w:pPr>
            <w:r>
              <w:rPr>
                <w:rFonts w:ascii="Arial" w:cs="Arial" w:eastAsia="Arial" w:hAnsi="Arial"/>
                <w:sz w:val="17"/>
                <w:szCs w:val="17"/>
                <w:color w:val="auto"/>
              </w:rPr>
              <w:t>agreement with Retromedya</w:t>
            </w:r>
          </w:p>
        </w:tc>
      </w:tr>
      <w:tr>
        <w:trPr>
          <w:trHeight w:val="341"/>
        </w:trPr>
        <w:tc>
          <w:tcPr>
            <w:tcW w:w="2720" w:type="dxa"/>
            <w:vAlign w:val="bottom"/>
          </w:tcPr>
          <w:p>
            <w:pPr>
              <w:jc w:val="center"/>
              <w:ind w:right="135"/>
              <w:spacing w:after="0"/>
              <w:rPr>
                <w:sz w:val="20"/>
                <w:szCs w:val="20"/>
                <w:color w:val="auto"/>
              </w:rPr>
            </w:pPr>
            <w:r>
              <w:rPr>
                <w:rFonts w:ascii="Arial" w:cs="Arial" w:eastAsia="Arial" w:hAnsi="Arial"/>
                <w:sz w:val="17"/>
                <w:szCs w:val="17"/>
                <w:b w:val="1"/>
                <w:bCs w:val="1"/>
                <w:color w:val="auto"/>
                <w:w w:val="95"/>
              </w:rPr>
              <w:t>Etisalat</w:t>
            </w:r>
            <w:r>
              <w:rPr>
                <w:rFonts w:ascii="Arial" w:cs="Arial" w:eastAsia="Arial" w:hAnsi="Arial"/>
                <w:sz w:val="17"/>
                <w:szCs w:val="17"/>
                <w:color w:val="auto"/>
                <w:w w:val="95"/>
              </w:rPr>
              <w:t>(UAE)</w:t>
            </w:r>
          </w:p>
        </w:tc>
        <w:tc>
          <w:tcPr>
            <w:tcW w:w="1420" w:type="dxa"/>
            <w:vAlign w:val="bottom"/>
          </w:tcPr>
          <w:p>
            <w:pPr>
              <w:jc w:val="center"/>
              <w:spacing w:after="0"/>
              <w:rPr>
                <w:sz w:val="20"/>
                <w:szCs w:val="20"/>
                <w:color w:val="auto"/>
              </w:rPr>
            </w:pPr>
            <w:r>
              <w:rPr>
                <w:rFonts w:ascii="Arial" w:cs="Arial" w:eastAsia="Arial" w:hAnsi="Arial"/>
                <w:sz w:val="17"/>
                <w:szCs w:val="17"/>
                <w:color w:val="auto"/>
              </w:rPr>
              <w:t>March 2010</w:t>
            </w:r>
          </w:p>
        </w:tc>
        <w:tc>
          <w:tcPr>
            <w:tcW w:w="1460" w:type="dxa"/>
            <w:vAlign w:val="bottom"/>
          </w:tcPr>
          <w:p>
            <w:pPr>
              <w:jc w:val="center"/>
              <w:spacing w:after="0"/>
              <w:rPr>
                <w:sz w:val="20"/>
                <w:szCs w:val="20"/>
                <w:color w:val="auto"/>
              </w:rPr>
            </w:pPr>
            <w:r>
              <w:rPr>
                <w:rFonts w:ascii="Arial" w:cs="Arial" w:eastAsia="Arial" w:hAnsi="Arial"/>
                <w:sz w:val="20"/>
                <w:szCs w:val="20"/>
                <w:color w:val="auto"/>
              </w:rPr>
              <w:t>7.3</w:t>
            </w:r>
          </w:p>
        </w:tc>
        <w:tc>
          <w:tcPr>
            <w:tcW w:w="4460" w:type="dxa"/>
            <w:vAlign w:val="bottom"/>
          </w:tcPr>
          <w:p>
            <w:pPr>
              <w:jc w:val="center"/>
              <w:spacing w:after="0"/>
              <w:rPr>
                <w:sz w:val="20"/>
                <w:szCs w:val="20"/>
                <w:color w:val="auto"/>
              </w:rPr>
            </w:pPr>
            <w:r>
              <w:rPr>
                <w:rFonts w:ascii="Arial" w:cs="Arial" w:eastAsia="Arial" w:hAnsi="Arial"/>
                <w:sz w:val="17"/>
                <w:szCs w:val="17"/>
                <w:color w:val="auto"/>
              </w:rPr>
              <w:t>Group includes 16 countries, 94 M global subs</w:t>
            </w:r>
          </w:p>
        </w:tc>
      </w:tr>
      <w:tr>
        <w:trPr>
          <w:trHeight w:val="352"/>
        </w:trPr>
        <w:tc>
          <w:tcPr>
            <w:tcW w:w="2720" w:type="dxa"/>
            <w:vAlign w:val="bottom"/>
          </w:tcPr>
          <w:p>
            <w:pPr>
              <w:jc w:val="center"/>
              <w:ind w:right="135"/>
              <w:spacing w:after="0"/>
              <w:rPr>
                <w:sz w:val="20"/>
                <w:szCs w:val="20"/>
                <w:color w:val="auto"/>
              </w:rPr>
            </w:pPr>
            <w:r>
              <w:rPr>
                <w:rFonts w:ascii="Arial" w:cs="Arial" w:eastAsia="Arial" w:hAnsi="Arial"/>
                <w:sz w:val="17"/>
                <w:szCs w:val="17"/>
                <w:b w:val="1"/>
                <w:bCs w:val="1"/>
                <w:color w:val="auto"/>
                <w:w w:val="96"/>
              </w:rPr>
              <w:t>RTL</w:t>
            </w:r>
            <w:r>
              <w:rPr>
                <w:rFonts w:ascii="Arial" w:cs="Arial" w:eastAsia="Arial" w:hAnsi="Arial"/>
                <w:sz w:val="17"/>
                <w:szCs w:val="17"/>
                <w:color w:val="auto"/>
                <w:w w:val="96"/>
              </w:rPr>
              <w:t>(Belgium)</w:t>
            </w: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May 2010</w:t>
            </w:r>
          </w:p>
        </w:tc>
        <w:tc>
          <w:tcPr>
            <w:tcW w:w="1460" w:type="dxa"/>
            <w:vAlign w:val="bottom"/>
          </w:tcPr>
          <w:p>
            <w:pPr>
              <w:jc w:val="center"/>
              <w:spacing w:after="0"/>
              <w:rPr>
                <w:sz w:val="20"/>
                <w:szCs w:val="20"/>
                <w:color w:val="auto"/>
              </w:rPr>
            </w:pPr>
            <w:r>
              <w:rPr>
                <w:rFonts w:ascii="Arial" w:cs="Arial" w:eastAsia="Arial" w:hAnsi="Arial"/>
                <w:sz w:val="20"/>
                <w:szCs w:val="20"/>
                <w:color w:val="auto"/>
              </w:rPr>
              <w:t>11</w:t>
            </w:r>
          </w:p>
        </w:tc>
        <w:tc>
          <w:tcPr>
            <w:tcW w:w="4460" w:type="dxa"/>
            <w:vAlign w:val="bottom"/>
          </w:tcPr>
          <w:p>
            <w:pPr>
              <w:jc w:val="center"/>
              <w:spacing w:after="0"/>
              <w:rPr>
                <w:sz w:val="20"/>
                <w:szCs w:val="20"/>
                <w:color w:val="auto"/>
              </w:rPr>
            </w:pPr>
            <w:r>
              <w:rPr>
                <w:rFonts w:ascii="Arial" w:cs="Arial" w:eastAsia="Arial" w:hAnsi="Arial"/>
                <w:sz w:val="17"/>
                <w:szCs w:val="17"/>
                <w:color w:val="auto"/>
              </w:rPr>
              <w:t>Service runs on all 3 major carriers</w:t>
            </w:r>
          </w:p>
        </w:tc>
      </w:tr>
      <w:tr>
        <w:trPr>
          <w:trHeight w:val="340"/>
        </w:trPr>
        <w:tc>
          <w:tcPr>
            <w:tcW w:w="2720" w:type="dxa"/>
            <w:vAlign w:val="bottom"/>
          </w:tcPr>
          <w:p>
            <w:pPr>
              <w:jc w:val="center"/>
              <w:ind w:right="135"/>
              <w:spacing w:after="0"/>
              <w:rPr>
                <w:sz w:val="20"/>
                <w:szCs w:val="20"/>
                <w:color w:val="auto"/>
              </w:rPr>
            </w:pPr>
            <w:r>
              <w:rPr>
                <w:rFonts w:ascii="Arial" w:cs="Arial" w:eastAsia="Arial" w:hAnsi="Arial"/>
                <w:sz w:val="17"/>
                <w:szCs w:val="17"/>
                <w:b w:val="1"/>
                <w:bCs w:val="1"/>
                <w:color w:val="auto"/>
                <w:w w:val="95"/>
              </w:rPr>
              <w:t>VodaphoneShop</w:t>
            </w:r>
            <w:r>
              <w:rPr>
                <w:rFonts w:ascii="Arial" w:cs="Arial" w:eastAsia="Arial" w:hAnsi="Arial"/>
                <w:sz w:val="17"/>
                <w:szCs w:val="17"/>
                <w:color w:val="auto"/>
                <w:w w:val="95"/>
              </w:rPr>
              <w:t>(Germany,</w:t>
            </w:r>
          </w:p>
        </w:tc>
        <w:tc>
          <w:tcPr>
            <w:tcW w:w="1420" w:type="dxa"/>
            <w:vAlign w:val="bottom"/>
          </w:tcPr>
          <w:p>
            <w:pPr>
              <w:jc w:val="center"/>
              <w:spacing w:after="0"/>
              <w:rPr>
                <w:sz w:val="20"/>
                <w:szCs w:val="20"/>
                <w:color w:val="auto"/>
              </w:rPr>
            </w:pPr>
            <w:r>
              <w:rPr>
                <w:rFonts w:ascii="Arial" w:cs="Arial" w:eastAsia="Arial" w:hAnsi="Arial"/>
                <w:sz w:val="17"/>
                <w:szCs w:val="17"/>
                <w:color w:val="auto"/>
              </w:rPr>
              <w:t>October 2010</w:t>
            </w:r>
          </w:p>
        </w:tc>
        <w:tc>
          <w:tcPr>
            <w:tcW w:w="14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rPr>
              <w:t>Initial free app launch in 8 countries in Europe, with a paid</w:t>
            </w:r>
          </w:p>
        </w:tc>
      </w:tr>
      <w:tr>
        <w:trPr>
          <w:trHeight w:val="203"/>
        </w:trPr>
        <w:tc>
          <w:tcPr>
            <w:tcW w:w="2720" w:type="dxa"/>
            <w:vAlign w:val="bottom"/>
          </w:tcPr>
          <w:p>
            <w:pPr>
              <w:jc w:val="center"/>
              <w:spacing w:after="0"/>
              <w:rPr>
                <w:sz w:val="20"/>
                <w:szCs w:val="20"/>
                <w:color w:val="auto"/>
              </w:rPr>
            </w:pPr>
            <w:r>
              <w:rPr>
                <w:rFonts w:ascii="Arial" w:cs="Arial" w:eastAsia="Arial" w:hAnsi="Arial"/>
                <w:sz w:val="17"/>
                <w:szCs w:val="17"/>
                <w:color w:val="auto"/>
              </w:rPr>
              <w:t>Greece, Ireland, Italy, Netherlands,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9"/>
              </w:rPr>
              <w:t>service expected to launch soon</w:t>
            </w:r>
          </w:p>
        </w:tc>
      </w:tr>
      <w:tr>
        <w:trPr>
          <w:trHeight w:val="204"/>
        </w:trPr>
        <w:tc>
          <w:tcPr>
            <w:tcW w:w="2720" w:type="dxa"/>
            <w:vAlign w:val="bottom"/>
          </w:tcPr>
          <w:p>
            <w:pPr>
              <w:jc w:val="center"/>
              <w:ind w:right="15"/>
              <w:spacing w:after="0"/>
              <w:rPr>
                <w:sz w:val="20"/>
                <w:szCs w:val="20"/>
                <w:color w:val="auto"/>
              </w:rPr>
            </w:pPr>
            <w:r>
              <w:rPr>
                <w:rFonts w:ascii="Arial" w:cs="Arial" w:eastAsia="Arial" w:hAnsi="Arial"/>
                <w:sz w:val="17"/>
                <w:szCs w:val="17"/>
                <w:color w:val="auto"/>
                <w:w w:val="99"/>
              </w:rPr>
              <w:t>Portugal, Spain, UK)</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309"/>
        </w:trPr>
        <w:tc>
          <w:tcPr>
            <w:tcW w:w="2720" w:type="dxa"/>
            <w:vAlign w:val="bottom"/>
          </w:tcPr>
          <w:p>
            <w:pPr>
              <w:jc w:val="center"/>
              <w:ind w:right="155"/>
              <w:spacing w:after="0"/>
              <w:rPr>
                <w:sz w:val="20"/>
                <w:szCs w:val="20"/>
                <w:color w:val="auto"/>
              </w:rPr>
            </w:pPr>
            <w:r>
              <w:rPr>
                <w:rFonts w:ascii="Arial" w:cs="Arial" w:eastAsia="Arial" w:hAnsi="Arial"/>
                <w:sz w:val="17"/>
                <w:szCs w:val="17"/>
                <w:b w:val="1"/>
                <w:bCs w:val="1"/>
                <w:color w:val="auto"/>
                <w:w w:val="98"/>
              </w:rPr>
              <w:t>OviStore</w:t>
            </w:r>
            <w:r>
              <w:rPr>
                <w:rFonts w:ascii="Arial" w:cs="Arial" w:eastAsia="Arial" w:hAnsi="Arial"/>
                <w:sz w:val="17"/>
                <w:szCs w:val="17"/>
                <w:color w:val="auto"/>
                <w:w w:val="98"/>
              </w:rPr>
              <w:t>(UK)</w:t>
            </w:r>
          </w:p>
        </w:tc>
        <w:tc>
          <w:tcPr>
            <w:tcW w:w="1420" w:type="dxa"/>
            <w:vAlign w:val="bottom"/>
          </w:tcPr>
          <w:p>
            <w:pPr>
              <w:jc w:val="center"/>
              <w:spacing w:after="0"/>
              <w:rPr>
                <w:sz w:val="20"/>
                <w:szCs w:val="20"/>
                <w:color w:val="auto"/>
              </w:rPr>
            </w:pPr>
            <w:r>
              <w:rPr>
                <w:rFonts w:ascii="Arial" w:cs="Arial" w:eastAsia="Arial" w:hAnsi="Arial"/>
                <w:sz w:val="17"/>
                <w:szCs w:val="17"/>
                <w:color w:val="auto"/>
              </w:rPr>
              <w:t>November 2010</w:t>
            </w:r>
          </w:p>
        </w:tc>
        <w:tc>
          <w:tcPr>
            <w:tcW w:w="14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rPr>
              <w:t>Advanced Nokia phones in UK</w:t>
            </w:r>
          </w:p>
        </w:tc>
      </w:tr>
      <w:tr>
        <w:trPr>
          <w:trHeight w:val="393"/>
        </w:trPr>
        <w:tc>
          <w:tcPr>
            <w:tcW w:w="2720" w:type="dxa"/>
            <w:vAlign w:val="bottom"/>
          </w:tcPr>
          <w:p>
            <w:pPr>
              <w:jc w:val="center"/>
              <w:ind w:right="115"/>
              <w:spacing w:after="0"/>
              <w:rPr>
                <w:sz w:val="20"/>
                <w:szCs w:val="20"/>
                <w:color w:val="auto"/>
              </w:rPr>
            </w:pPr>
            <w:r>
              <w:rPr>
                <w:rFonts w:ascii="Arial" w:cs="Arial" w:eastAsia="Arial" w:hAnsi="Arial"/>
                <w:sz w:val="17"/>
                <w:szCs w:val="17"/>
                <w:b w:val="1"/>
                <w:bCs w:val="1"/>
                <w:color w:val="auto"/>
                <w:w w:val="97"/>
              </w:rPr>
              <w:t>Orange(UK)</w:t>
            </w:r>
            <w:r>
              <w:rPr>
                <w:rFonts w:ascii="Arial" w:cs="Arial" w:eastAsia="Arial" w:hAnsi="Arial"/>
                <w:sz w:val="17"/>
                <w:szCs w:val="17"/>
                <w:color w:val="auto"/>
                <w:w w:val="97"/>
              </w:rPr>
              <w:t>[Everything</w:t>
            </w: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February 2011</w:t>
            </w:r>
          </w:p>
        </w:tc>
        <w:tc>
          <w:tcPr>
            <w:tcW w:w="1460" w:type="dxa"/>
            <w:vAlign w:val="bottom"/>
          </w:tcPr>
          <w:p>
            <w:pPr>
              <w:jc w:val="center"/>
              <w:spacing w:after="0"/>
              <w:rPr>
                <w:sz w:val="20"/>
                <w:szCs w:val="20"/>
                <w:color w:val="auto"/>
              </w:rPr>
            </w:pPr>
            <w:r>
              <w:rPr>
                <w:rFonts w:ascii="Arial" w:cs="Arial" w:eastAsia="Arial" w:hAnsi="Arial"/>
                <w:sz w:val="20"/>
                <w:szCs w:val="20"/>
                <w:color w:val="auto"/>
              </w:rPr>
              <w:t>&gt; 30*</w:t>
            </w:r>
          </w:p>
        </w:tc>
        <w:tc>
          <w:tcPr>
            <w:tcW w:w="4460" w:type="dxa"/>
            <w:vAlign w:val="bottom"/>
          </w:tcPr>
          <w:p>
            <w:pPr>
              <w:ind w:left="260"/>
              <w:spacing w:after="0"/>
              <w:rPr>
                <w:sz w:val="20"/>
                <w:szCs w:val="20"/>
                <w:color w:val="auto"/>
              </w:rPr>
            </w:pPr>
            <w:r>
              <w:rPr>
                <w:rFonts w:ascii="Arial" w:cs="Arial" w:eastAsia="Arial" w:hAnsi="Arial"/>
                <w:sz w:val="17"/>
                <w:szCs w:val="17"/>
                <w:color w:val="auto"/>
              </w:rPr>
              <w:t>Orange is subsidiary of UK’s biggest communications</w:t>
            </w:r>
          </w:p>
        </w:tc>
      </w:tr>
      <w:tr>
        <w:trPr>
          <w:trHeight w:val="204"/>
        </w:trPr>
        <w:tc>
          <w:tcPr>
            <w:tcW w:w="2720" w:type="dxa"/>
            <w:vAlign w:val="bottom"/>
          </w:tcPr>
          <w:p>
            <w:pPr>
              <w:ind w:left="640"/>
              <w:spacing w:after="0"/>
              <w:rPr>
                <w:sz w:val="20"/>
                <w:szCs w:val="20"/>
                <w:color w:val="auto"/>
              </w:rPr>
            </w:pPr>
            <w:r>
              <w:rPr>
                <w:rFonts w:ascii="Arial" w:cs="Arial" w:eastAsia="Arial" w:hAnsi="Arial"/>
                <w:sz w:val="17"/>
                <w:szCs w:val="17"/>
                <w:color w:val="auto"/>
              </w:rPr>
              <w:t>Everywhere Ltd.]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9"/>
              </w:rPr>
              <w:t>company jointly-owned by Deutsche and France Telecom</w:t>
            </w:r>
          </w:p>
        </w:tc>
      </w:tr>
      <w:tr>
        <w:trPr>
          <w:trHeight w:val="479"/>
        </w:trPr>
        <w:tc>
          <w:tcPr>
            <w:tcW w:w="2720" w:type="dxa"/>
            <w:vAlign w:val="bottom"/>
          </w:tcPr>
          <w:p>
            <w:pPr>
              <w:jc w:val="center"/>
              <w:ind w:right="135"/>
              <w:spacing w:after="0"/>
              <w:rPr>
                <w:sz w:val="20"/>
                <w:szCs w:val="20"/>
                <w:color w:val="auto"/>
              </w:rPr>
            </w:pPr>
            <w:r>
              <w:rPr>
                <w:rFonts w:ascii="Arial" w:cs="Arial" w:eastAsia="Arial" w:hAnsi="Arial"/>
                <w:sz w:val="17"/>
                <w:szCs w:val="17"/>
                <w:b w:val="1"/>
                <w:bCs w:val="1"/>
                <w:color w:val="auto"/>
                <w:w w:val="97"/>
              </w:rPr>
              <w:t>Verizon</w:t>
            </w:r>
            <w:r>
              <w:rPr>
                <w:rFonts w:ascii="Arial" w:cs="Arial" w:eastAsia="Arial" w:hAnsi="Arial"/>
                <w:sz w:val="17"/>
                <w:szCs w:val="17"/>
                <w:color w:val="auto"/>
                <w:w w:val="97"/>
              </w:rPr>
              <w:t>(US)</w:t>
            </w: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Pending</w:t>
            </w:r>
          </w:p>
        </w:tc>
        <w:tc>
          <w:tcPr>
            <w:tcW w:w="1460" w:type="dxa"/>
            <w:vAlign w:val="bottom"/>
          </w:tcPr>
          <w:p>
            <w:pPr>
              <w:jc w:val="center"/>
              <w:spacing w:after="0"/>
              <w:rPr>
                <w:sz w:val="20"/>
                <w:szCs w:val="20"/>
                <w:color w:val="auto"/>
              </w:rPr>
            </w:pPr>
            <w:r>
              <w:rPr>
                <w:rFonts w:ascii="Arial" w:cs="Arial" w:eastAsia="Arial" w:hAnsi="Arial"/>
                <w:sz w:val="20"/>
                <w:szCs w:val="20"/>
                <w:color w:val="auto"/>
              </w:rPr>
              <w:t>&gt; 92</w:t>
            </w:r>
          </w:p>
        </w:tc>
        <w:tc>
          <w:tcPr>
            <w:tcW w:w="4460" w:type="dxa"/>
            <w:vAlign w:val="bottom"/>
          </w:tcPr>
          <w:p>
            <w:pPr>
              <w:jc w:val="center"/>
              <w:spacing w:after="0"/>
              <w:rPr>
                <w:sz w:val="20"/>
                <w:szCs w:val="20"/>
                <w:color w:val="auto"/>
              </w:rPr>
            </w:pPr>
            <w:r>
              <w:rPr>
                <w:rFonts w:ascii="Arial" w:cs="Arial" w:eastAsia="Arial" w:hAnsi="Arial"/>
                <w:sz w:val="17"/>
                <w:szCs w:val="17"/>
                <w:color w:val="auto"/>
              </w:rPr>
              <w:t>Initial launch for Blackberry &amp; Android phones</w:t>
            </w:r>
          </w:p>
        </w:tc>
      </w:tr>
      <w:tr>
        <w:trPr>
          <w:trHeight w:val="427"/>
        </w:trPr>
        <w:tc>
          <w:tcPr>
            <w:tcW w:w="2720" w:type="dxa"/>
            <w:vAlign w:val="bottom"/>
          </w:tcPr>
          <w:p>
            <w:pPr>
              <w:jc w:val="center"/>
              <w:ind w:right="95"/>
              <w:spacing w:after="0"/>
              <w:rPr>
                <w:sz w:val="20"/>
                <w:szCs w:val="20"/>
                <w:color w:val="auto"/>
              </w:rPr>
            </w:pPr>
            <w:r>
              <w:rPr>
                <w:rFonts w:ascii="Arial" w:cs="Arial" w:eastAsia="Arial" w:hAnsi="Arial"/>
                <w:sz w:val="17"/>
                <w:szCs w:val="17"/>
                <w:b w:val="1"/>
                <w:bCs w:val="1"/>
                <w:color w:val="auto"/>
                <w:w w:val="96"/>
              </w:rPr>
              <w:t>StarHub</w:t>
            </w:r>
            <w:r>
              <w:rPr>
                <w:rFonts w:ascii="Arial" w:cs="Arial" w:eastAsia="Arial" w:hAnsi="Arial"/>
                <w:sz w:val="17"/>
                <w:szCs w:val="17"/>
                <w:color w:val="auto"/>
                <w:w w:val="96"/>
              </w:rPr>
              <w:t>(Singapore)</w:t>
            </w: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Pending</w:t>
            </w:r>
          </w:p>
        </w:tc>
        <w:tc>
          <w:tcPr>
            <w:tcW w:w="1460" w:type="dxa"/>
            <w:vAlign w:val="bottom"/>
          </w:tcPr>
          <w:p>
            <w:pPr>
              <w:jc w:val="center"/>
              <w:spacing w:after="0"/>
              <w:rPr>
                <w:sz w:val="20"/>
                <w:szCs w:val="20"/>
                <w:color w:val="auto"/>
              </w:rPr>
            </w:pPr>
            <w:r>
              <w:rPr>
                <w:rFonts w:ascii="Arial" w:cs="Arial" w:eastAsia="Arial" w:hAnsi="Arial"/>
                <w:sz w:val="20"/>
                <w:szCs w:val="20"/>
                <w:color w:val="auto"/>
              </w:rPr>
              <w:t>&gt; 2</w:t>
            </w:r>
          </w:p>
        </w:tc>
        <w:tc>
          <w:tcPr>
            <w:tcW w:w="4460" w:type="dxa"/>
            <w:vAlign w:val="bottom"/>
          </w:tcPr>
          <w:p>
            <w:pPr>
              <w:jc w:val="center"/>
              <w:ind w:right="55"/>
              <w:spacing w:after="0"/>
              <w:rPr>
                <w:sz w:val="20"/>
                <w:szCs w:val="20"/>
                <w:color w:val="auto"/>
              </w:rPr>
            </w:pPr>
            <w:r>
              <w:rPr>
                <w:rFonts w:ascii="Arial" w:cs="Arial" w:eastAsia="Arial" w:hAnsi="Arial"/>
                <w:sz w:val="17"/>
                <w:szCs w:val="17"/>
                <w:color w:val="auto"/>
              </w:rPr>
              <w:t>Initial launch for Android phones</w:t>
            </w:r>
          </w:p>
        </w:tc>
      </w:tr>
      <w:tr>
        <w:trPr>
          <w:trHeight w:val="427"/>
        </w:trPr>
        <w:tc>
          <w:tcPr>
            <w:tcW w:w="2720" w:type="dxa"/>
            <w:vAlign w:val="bottom"/>
          </w:tcPr>
          <w:p>
            <w:pPr>
              <w:jc w:val="center"/>
              <w:ind w:right="95"/>
              <w:spacing w:after="0"/>
              <w:rPr>
                <w:sz w:val="20"/>
                <w:szCs w:val="20"/>
                <w:color w:val="auto"/>
              </w:rPr>
            </w:pPr>
            <w:r>
              <w:rPr>
                <w:rFonts w:ascii="Arial" w:cs="Arial" w:eastAsia="Arial" w:hAnsi="Arial"/>
                <w:sz w:val="17"/>
                <w:szCs w:val="17"/>
                <w:b w:val="1"/>
                <w:bCs w:val="1"/>
                <w:color w:val="auto"/>
              </w:rPr>
              <w:t>Hungama</w:t>
            </w: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Pending</w:t>
            </w:r>
          </w:p>
        </w:tc>
        <w:tc>
          <w:tcPr>
            <w:tcW w:w="1460" w:type="dxa"/>
            <w:vAlign w:val="bottom"/>
          </w:tcPr>
          <w:p>
            <w:pPr>
              <w:jc w:val="center"/>
              <w:spacing w:after="0"/>
              <w:rPr>
                <w:sz w:val="20"/>
                <w:szCs w:val="20"/>
                <w:color w:val="auto"/>
              </w:rPr>
            </w:pPr>
            <w:r>
              <w:rPr>
                <w:rFonts w:ascii="Arial" w:cs="Arial" w:eastAsia="Arial" w:hAnsi="Arial"/>
                <w:sz w:val="20"/>
                <w:szCs w:val="20"/>
                <w:color w:val="auto"/>
              </w:rPr>
              <w:t>&gt;400</w:t>
            </w:r>
          </w:p>
        </w:tc>
        <w:tc>
          <w:tcPr>
            <w:tcW w:w="4460" w:type="dxa"/>
            <w:vAlign w:val="bottom"/>
          </w:tcPr>
          <w:p>
            <w:pPr>
              <w:jc w:val="center"/>
              <w:ind w:right="55"/>
              <w:spacing w:after="0"/>
              <w:rPr>
                <w:sz w:val="20"/>
                <w:szCs w:val="20"/>
                <w:color w:val="auto"/>
              </w:rPr>
            </w:pPr>
            <w:r>
              <w:rPr>
                <w:rFonts w:ascii="Arial" w:cs="Arial" w:eastAsia="Arial" w:hAnsi="Arial"/>
                <w:sz w:val="17"/>
                <w:szCs w:val="17"/>
                <w:color w:val="auto"/>
              </w:rPr>
              <w:t>Launching with 15 operators</w:t>
            </w:r>
          </w:p>
        </w:tc>
      </w:tr>
    </w:tbl>
    <w:p>
      <w:pPr>
        <w:spacing w:after="0" w:line="298" w:lineRule="exact"/>
        <w:rPr>
          <w:sz w:val="20"/>
          <w:szCs w:val="20"/>
          <w:color w:val="auto"/>
        </w:rPr>
      </w:pPr>
    </w:p>
    <w:p>
      <w:pPr>
        <w:ind w:left="140" w:right="540" w:firstLine="5"/>
        <w:spacing w:after="0" w:line="259" w:lineRule="auto"/>
        <w:tabs>
          <w:tab w:leader="none" w:pos="254" w:val="left"/>
        </w:tabs>
        <w:numPr>
          <w:ilvl w:val="0"/>
          <w:numId w:val="17"/>
        </w:numPr>
        <w:rPr>
          <w:rFonts w:ascii="Arial" w:cs="Arial" w:eastAsia="Arial" w:hAnsi="Arial"/>
          <w:sz w:val="17"/>
          <w:szCs w:val="17"/>
          <w:color w:val="auto"/>
        </w:rPr>
      </w:pPr>
      <w:r>
        <w:rPr>
          <w:rFonts w:ascii="Arial" w:cs="Arial" w:eastAsia="Arial" w:hAnsi="Arial"/>
          <w:sz w:val="17"/>
          <w:szCs w:val="17"/>
          <w:color w:val="auto"/>
        </w:rPr>
        <w:t>30m includes combined subscribers for Orange (UK) and T-Mobile (UK) parent Everything Everywhere; initial launchOrangeiswith (UK) subscribers</w:t>
      </w:r>
    </w:p>
    <w:p>
      <w:pPr>
        <w:spacing w:after="0" w:line="331" w:lineRule="exact"/>
        <w:rPr>
          <w:rFonts w:ascii="Arial" w:cs="Arial" w:eastAsia="Arial" w:hAnsi="Arial"/>
          <w:sz w:val="17"/>
          <w:szCs w:val="17"/>
          <w:color w:val="auto"/>
        </w:rPr>
      </w:pPr>
    </w:p>
    <w:p>
      <w:pPr>
        <w:ind w:left="4680" w:hanging="75"/>
        <w:spacing w:after="0"/>
        <w:tabs>
          <w:tab w:leader="none" w:pos="4680" w:val="left"/>
        </w:tabs>
        <w:numPr>
          <w:ilvl w:val="1"/>
          <w:numId w:val="17"/>
        </w:numPr>
        <w:rPr>
          <w:rFonts w:ascii="Arial" w:cs="Arial" w:eastAsia="Arial" w:hAnsi="Arial"/>
          <w:sz w:val="13"/>
          <w:szCs w:val="13"/>
          <w:color w:val="FFFFFF"/>
        </w:rPr>
      </w:pPr>
      <w:r>
        <w:rPr>
          <w:rFonts w:ascii="Arial" w:cs="Arial" w:eastAsia="Arial" w:hAnsi="Arial"/>
          <w:sz w:val="13"/>
          <w:szCs w:val="13"/>
          <w:color w:val="FFFFFF"/>
        </w:rPr>
        <w:t>Page 17 -</w:t>
      </w:r>
    </w:p>
    <w:p>
      <w:pPr>
        <w:sectPr>
          <w:pgSz w:w="11900" w:h="16838" w:orient="portrait"/>
          <w:cols w:equalWidth="0" w:num="1">
            <w:col w:w="10100"/>
          </w:cols>
          <w:pgMar w:left="560" w:top="560" w:right="1239" w:bottom="1440" w:gutter="0" w:footer="0" w:header="0"/>
        </w:sectPr>
      </w:pPr>
    </w:p>
    <w:bookmarkStart w:id="20" w:name="page21"/>
    <w:bookmarkEnd w:id="20"/>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33020"/>
                    </a:xfrm>
                    <a:prstGeom prst="rect">
                      <a:avLst/>
                    </a:prstGeom>
                    <a:noFill/>
                  </pic:spPr>
                </pic:pic>
              </a:graphicData>
            </a:graphic>
          </wp:anchor>
        </w:drawing>
        <w:t>Marketing the Service: Sample Collateral</w:t>
      </w:r>
    </w:p>
    <w:p>
      <w:pPr>
        <w:sectPr>
          <w:pgSz w:w="11900" w:h="16838" w:orient="portrait"/>
          <w:cols w:equalWidth="0" w:num="1">
            <w:col w:w="9899"/>
          </w:cols>
          <w:pgMar w:left="56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18 -</w:t>
      </w:r>
    </w:p>
    <w:p>
      <w:pPr>
        <w:sectPr>
          <w:pgSz w:w="11900" w:h="16838" w:orient="portrait"/>
          <w:cols w:equalWidth="0" w:num="1">
            <w:col w:w="9899"/>
          </w:cols>
          <w:pgMar w:left="560" w:top="486"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Integrated Slots in Carrier Portal</w:t>
      </w:r>
    </w:p>
    <w:p>
      <w:pPr>
        <w:sectPr>
          <w:pgSz w:w="11900" w:h="16838" w:orient="portrait"/>
          <w:cols w:equalWidth="0" w:num="1">
            <w:col w:w="9899"/>
          </w:cols>
          <w:pgMar w:left="56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19 -</w:t>
      </w:r>
    </w:p>
    <w:p>
      <w:pPr>
        <w:sectPr>
          <w:pgSz w:w="11900" w:h="16838" w:orient="portrait"/>
          <w:cols w:equalWidth="0" w:num="1">
            <w:col w:w="9899"/>
          </w:cols>
          <w:pgMar w:left="560" w:top="486"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Hot New Releases in User-Friendly Formats</w:t>
      </w:r>
    </w:p>
    <w:p>
      <w:pPr>
        <w:sectPr>
          <w:pgSz w:w="11900" w:h="16838" w:orient="portrait"/>
          <w:cols w:equalWidth="0" w:num="1">
            <w:col w:w="9899"/>
          </w:cols>
          <w:pgMar w:left="56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20 -</w:t>
      </w:r>
    </w:p>
    <w:p>
      <w:pPr>
        <w:sectPr>
          <w:pgSz w:w="11900" w:h="16838" w:orient="portrait"/>
          <w:cols w:equalWidth="0" w:num="1">
            <w:col w:w="9899"/>
          </w:cols>
          <w:pgMar w:left="560" w:top="486"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Timely User Acquisition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right="2099"/>
        <w:spacing w:after="0" w:line="258" w:lineRule="auto"/>
        <w:rPr>
          <w:sz w:val="20"/>
          <w:szCs w:val="20"/>
          <w:color w:val="auto"/>
        </w:rPr>
      </w:pPr>
      <w:r>
        <w:rPr>
          <w:rFonts w:ascii="Arial" w:cs="Arial" w:eastAsia="Arial" w:hAnsi="Arial"/>
          <w:sz w:val="34"/>
          <w:szCs w:val="34"/>
          <w:color w:val="auto"/>
        </w:rPr>
        <w:t>Vringo’s Creative Team renews the storefront, refeshes the content, and continually pushes timely attractions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FFFFFF"/>
        </w:rPr>
        <w:t>- Page 21 -</w:t>
      </w:r>
    </w:p>
    <w:p>
      <w:pPr>
        <w:sectPr>
          <w:pgSz w:w="11900" w:h="16838" w:orient="portrait"/>
          <w:cols w:equalWidth="0" w:num="1">
            <w:col w:w="9899"/>
          </w:cols>
          <w:pgMar w:left="560" w:top="486" w:right="1440" w:bottom="1440" w:gutter="0" w:footer="0" w:header="0"/>
        </w:sectPr>
      </w:pPr>
    </w:p>
    <w:bookmarkStart w:id="24" w:name="page25"/>
    <w:bookmarkEnd w:id="24"/>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Marketing Tools –“Made for Maxis”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Arial" w:cs="Arial" w:eastAsia="Arial" w:hAnsi="Arial"/>
          <w:sz w:val="34"/>
          <w:szCs w:val="34"/>
          <w:color w:val="auto"/>
        </w:rPr>
        <w:t>• Refreshed New-Look Monthly Banner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right="2959"/>
        <w:spacing w:after="0" w:line="276" w:lineRule="auto"/>
        <w:rPr>
          <w:sz w:val="20"/>
          <w:szCs w:val="20"/>
          <w:color w:val="auto"/>
        </w:rPr>
      </w:pPr>
      <w:r>
        <w:rPr>
          <w:rFonts w:ascii="Arial" w:cs="Arial" w:eastAsia="Arial" w:hAnsi="Arial"/>
          <w:sz w:val="33"/>
          <w:szCs w:val="33"/>
          <w:color w:val="auto"/>
        </w:rPr>
        <w:t>•Holiday Contest Promotions and Banners Tailored for WAP Portal and Carrier Microsite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FFFFFF"/>
        </w:rPr>
        <w:t>- Page 22 -</w:t>
      </w:r>
    </w:p>
    <w:p>
      <w:pPr>
        <w:sectPr>
          <w:pgSz w:w="11900" w:h="16838" w:orient="portrait"/>
          <w:cols w:equalWidth="0" w:num="1">
            <w:col w:w="9899"/>
          </w:cols>
          <w:pgMar w:left="560" w:top="486" w:right="1440" w:bottom="1440" w:gutter="0" w:footer="0" w:header="0"/>
        </w:sectPr>
      </w:pPr>
    </w:p>
    <w:bookmarkStart w:id="25" w:name="page26"/>
    <w:bookmarkEnd w:id="25"/>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Increasing The Scale: Subscribing to Vringo via USSD Menu*</w:t>
      </w:r>
    </w:p>
    <w:p>
      <w:pPr>
        <w:sectPr>
          <w:pgSz w:w="11900" w:h="16838" w:orient="portrait"/>
          <w:cols w:equalWidth="0" w:num="1">
            <w:col w:w="10740"/>
          </w:cols>
          <w:pgMar w:left="560" w:top="486"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80" w:hanging="895"/>
        <w:spacing w:after="0" w:line="294" w:lineRule="auto"/>
        <w:rPr>
          <w:sz w:val="20"/>
          <w:szCs w:val="20"/>
          <w:color w:val="auto"/>
        </w:rPr>
      </w:pPr>
      <w:r>
        <w:rPr>
          <w:rFonts w:ascii="Arial" w:cs="Arial" w:eastAsia="Arial" w:hAnsi="Arial"/>
          <w:sz w:val="22"/>
          <w:szCs w:val="22"/>
          <w:b w:val="1"/>
          <w:bCs w:val="1"/>
          <w:color w:val="auto"/>
        </w:rPr>
        <w:t>Dial *100# to open USSD menu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Select 9 for</w:t>
      </w:r>
    </w:p>
    <w:p>
      <w:pPr>
        <w:spacing w:after="0" w:line="42" w:lineRule="exact"/>
        <w:rPr>
          <w:sz w:val="20"/>
          <w:szCs w:val="20"/>
          <w:color w:val="auto"/>
        </w:rPr>
      </w:pPr>
    </w:p>
    <w:p>
      <w:pPr>
        <w:ind w:left="2520" w:right="3280" w:hanging="2517"/>
        <w:spacing w:after="0" w:line="189" w:lineRule="auto"/>
        <w:tabs>
          <w:tab w:leader="none" w:pos="2500" w:val="left"/>
        </w:tabs>
        <w:rPr>
          <w:sz w:val="20"/>
          <w:szCs w:val="20"/>
          <w:color w:val="auto"/>
        </w:rPr>
      </w:pPr>
      <w:r>
        <w:rPr>
          <w:rFonts w:ascii="Arial" w:cs="Arial" w:eastAsia="Arial" w:hAnsi="Arial"/>
          <w:sz w:val="22"/>
          <w:szCs w:val="22"/>
          <w:b w:val="1"/>
          <w:bCs w:val="1"/>
          <w:color w:val="auto"/>
        </w:rPr>
        <w:t>FREE video ringtones</w:t>
      </w:r>
      <w:r>
        <w:rPr>
          <w:sz w:val="20"/>
          <w:szCs w:val="20"/>
          <w:color w:val="auto"/>
        </w:rPr>
        <w:tab/>
      </w:r>
      <w:r>
        <w:rPr>
          <w:rFonts w:ascii="Arial" w:cs="Arial" w:eastAsia="Arial" w:hAnsi="Arial"/>
          <w:sz w:val="33"/>
          <w:szCs w:val="33"/>
          <w:b w:val="1"/>
          <w:bCs w:val="1"/>
          <w:color w:val="auto"/>
          <w:vertAlign w:val="subscript"/>
        </w:rPr>
        <w:t>Subscription Info and terms of Service</w:t>
      </w:r>
    </w:p>
    <w:p>
      <w:pPr>
        <w:spacing w:after="0" w:line="110" w:lineRule="exact"/>
        <w:rPr>
          <w:sz w:val="20"/>
          <w:szCs w:val="20"/>
          <w:color w:val="auto"/>
        </w:rPr>
      </w:pPr>
    </w:p>
    <w:p>
      <w:pPr>
        <w:jc w:val="right"/>
        <w:ind w:right="1680"/>
        <w:spacing w:after="0"/>
        <w:rPr>
          <w:sz w:val="20"/>
          <w:szCs w:val="20"/>
          <w:color w:val="auto"/>
        </w:rPr>
      </w:pPr>
      <w:r>
        <w:rPr>
          <w:rFonts w:ascii="Arial" w:cs="Arial" w:eastAsia="Arial" w:hAnsi="Arial"/>
          <w:sz w:val="22"/>
          <w:szCs w:val="22"/>
          <w:b w:val="1"/>
          <w:bCs w:val="1"/>
          <w:color w:val="auto"/>
        </w:rPr>
        <w:t>Logged in</w:t>
      </w:r>
    </w:p>
    <w:p>
      <w:pPr>
        <w:spacing w:after="0" w:line="200" w:lineRule="exact"/>
        <w:rPr>
          <w:sz w:val="20"/>
          <w:szCs w:val="20"/>
          <w:color w:val="auto"/>
        </w:rPr>
      </w:pPr>
    </w:p>
    <w:p>
      <w:pPr>
        <w:sectPr>
          <w:pgSz w:w="11900" w:h="16838" w:orient="portrait"/>
          <w:cols w:equalWidth="0" w:num="2">
            <w:col w:w="2600" w:space="140"/>
            <w:col w:w="8000"/>
          </w:cols>
          <w:pgMar w:left="560" w:top="486"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40" w:hanging="128"/>
        <w:spacing w:after="0"/>
        <w:tabs>
          <w:tab w:leader="none" w:pos="1340" w:val="left"/>
        </w:tabs>
        <w:numPr>
          <w:ilvl w:val="0"/>
          <w:numId w:val="18"/>
        </w:numPr>
        <w:rPr>
          <w:rFonts w:ascii="Arial" w:cs="Arial" w:eastAsia="Arial" w:hAnsi="Arial"/>
          <w:sz w:val="20"/>
          <w:szCs w:val="20"/>
          <w:i w:val="1"/>
          <w:iCs w:val="1"/>
          <w:color w:val="auto"/>
        </w:rPr>
      </w:pPr>
      <w:r>
        <w:rPr>
          <w:rFonts w:ascii="Arial" w:cs="Arial" w:eastAsia="Arial" w:hAnsi="Arial"/>
          <w:sz w:val="20"/>
          <w:szCs w:val="20"/>
          <w:i w:val="1"/>
          <w:iCs w:val="1"/>
          <w:color w:val="auto"/>
        </w:rPr>
        <w:t>Abbreviated Format for Presentation Purposes</w:t>
      </w:r>
    </w:p>
    <w:p>
      <w:pPr>
        <w:spacing w:after="0" w:line="200" w:lineRule="exact"/>
        <w:rPr>
          <w:rFonts w:ascii="Arial" w:cs="Arial" w:eastAsia="Arial" w:hAnsi="Arial"/>
          <w:sz w:val="20"/>
          <w:szCs w:val="20"/>
          <w:i w:val="1"/>
          <w:iCs w:val="1"/>
          <w:color w:val="auto"/>
        </w:rPr>
      </w:pPr>
    </w:p>
    <w:p>
      <w:pPr>
        <w:spacing w:after="0" w:line="200" w:lineRule="exact"/>
        <w:rPr>
          <w:rFonts w:ascii="Arial" w:cs="Arial" w:eastAsia="Arial" w:hAnsi="Arial"/>
          <w:sz w:val="20"/>
          <w:szCs w:val="20"/>
          <w:i w:val="1"/>
          <w:iCs w:val="1"/>
          <w:color w:val="auto"/>
        </w:rPr>
      </w:pPr>
    </w:p>
    <w:p>
      <w:pPr>
        <w:spacing w:after="0" w:line="200" w:lineRule="exact"/>
        <w:rPr>
          <w:rFonts w:ascii="Arial" w:cs="Arial" w:eastAsia="Arial" w:hAnsi="Arial"/>
          <w:sz w:val="20"/>
          <w:szCs w:val="20"/>
          <w:i w:val="1"/>
          <w:iCs w:val="1"/>
          <w:color w:val="auto"/>
        </w:rPr>
      </w:pPr>
    </w:p>
    <w:p>
      <w:pPr>
        <w:spacing w:after="0" w:line="294" w:lineRule="exact"/>
        <w:rPr>
          <w:rFonts w:ascii="Arial" w:cs="Arial" w:eastAsia="Arial" w:hAnsi="Arial"/>
          <w:sz w:val="20"/>
          <w:szCs w:val="20"/>
          <w:i w:val="1"/>
          <w:iCs w:val="1"/>
          <w:color w:val="auto"/>
        </w:rPr>
      </w:pPr>
    </w:p>
    <w:p>
      <w:pPr>
        <w:ind w:left="4680" w:hanging="75"/>
        <w:spacing w:after="0"/>
        <w:tabs>
          <w:tab w:leader="none" w:pos="4680" w:val="left"/>
        </w:tabs>
        <w:numPr>
          <w:ilvl w:val="1"/>
          <w:numId w:val="18"/>
        </w:numPr>
        <w:rPr>
          <w:rFonts w:ascii="Arial" w:cs="Arial" w:eastAsia="Arial" w:hAnsi="Arial"/>
          <w:sz w:val="13"/>
          <w:szCs w:val="13"/>
          <w:color w:val="FFFFFF"/>
        </w:rPr>
      </w:pPr>
      <w:r>
        <w:rPr>
          <w:rFonts w:ascii="Arial" w:cs="Arial" w:eastAsia="Arial" w:hAnsi="Arial"/>
          <w:sz w:val="13"/>
          <w:szCs w:val="13"/>
          <w:color w:val="FFFFFF"/>
        </w:rPr>
        <w:t>Page 23 -</w:t>
      </w:r>
    </w:p>
    <w:p>
      <w:pPr>
        <w:sectPr>
          <w:pgSz w:w="11900" w:h="16838" w:orient="portrait"/>
          <w:cols w:equalWidth="0" w:num="1">
            <w:col w:w="10740"/>
          </w:cols>
          <w:pgMar w:left="560" w:top="486" w:right="5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Three Drivers of Growth</w:t>
      </w:r>
    </w:p>
    <w:p>
      <w:pPr>
        <w:spacing w:after="0" w:line="200" w:lineRule="exact"/>
        <w:rPr>
          <w:sz w:val="20"/>
          <w:szCs w:val="20"/>
          <w:color w:val="auto"/>
        </w:rPr>
      </w:pPr>
    </w:p>
    <w:p>
      <w:pPr>
        <w:spacing w:after="0" w:line="351" w:lineRule="exact"/>
        <w:rPr>
          <w:sz w:val="20"/>
          <w:szCs w:val="20"/>
          <w:color w:val="auto"/>
        </w:rPr>
      </w:pPr>
    </w:p>
    <w:p>
      <w:pPr>
        <w:ind w:left="380" w:hanging="255"/>
        <w:spacing w:after="0"/>
        <w:tabs>
          <w:tab w:leader="none" w:pos="380" w:val="left"/>
        </w:tabs>
        <w:numPr>
          <w:ilvl w:val="0"/>
          <w:numId w:val="19"/>
        </w:numPr>
        <w:rPr>
          <w:rFonts w:ascii="Arial" w:cs="Arial" w:eastAsia="Arial" w:hAnsi="Arial"/>
          <w:sz w:val="22"/>
          <w:szCs w:val="22"/>
          <w:color w:val="auto"/>
        </w:rPr>
      </w:pPr>
      <w:r>
        <w:rPr>
          <w:rFonts w:ascii="Arial" w:cs="Arial" w:eastAsia="Arial" w:hAnsi="Arial"/>
          <w:sz w:val="29"/>
          <w:szCs w:val="29"/>
          <w:b w:val="1"/>
          <w:bCs w:val="1"/>
          <w:color w:val="auto"/>
        </w:rPr>
        <w:t>Growing our business in the countries where we have launched</w:t>
      </w:r>
    </w:p>
    <w:p>
      <w:pPr>
        <w:spacing w:after="0" w:line="43" w:lineRule="exact"/>
        <w:rPr>
          <w:rFonts w:ascii="Arial" w:cs="Arial" w:eastAsia="Arial" w:hAnsi="Arial"/>
          <w:sz w:val="22"/>
          <w:szCs w:val="22"/>
          <w:color w:val="auto"/>
        </w:rPr>
      </w:pPr>
    </w:p>
    <w:p>
      <w:pPr>
        <w:ind w:left="840" w:hanging="320"/>
        <w:spacing w:after="0"/>
        <w:tabs>
          <w:tab w:leader="none" w:pos="840" w:val="left"/>
        </w:tabs>
        <w:numPr>
          <w:ilvl w:val="1"/>
          <w:numId w:val="19"/>
        </w:numPr>
        <w:rPr>
          <w:rFonts w:ascii="Arial" w:cs="Arial" w:eastAsia="Arial" w:hAnsi="Arial"/>
          <w:sz w:val="28"/>
          <w:szCs w:val="28"/>
          <w:color w:val="auto"/>
        </w:rPr>
      </w:pPr>
      <w:r>
        <w:rPr>
          <w:rFonts w:ascii="Arial" w:cs="Arial" w:eastAsia="Arial" w:hAnsi="Arial"/>
          <w:sz w:val="28"/>
          <w:szCs w:val="28"/>
          <w:color w:val="auto"/>
        </w:rPr>
        <w:t>Continue to grow organically in each, driving subscription revenue</w:t>
      </w:r>
    </w:p>
    <w:p>
      <w:pPr>
        <w:spacing w:after="0" w:line="19" w:lineRule="exact"/>
        <w:rPr>
          <w:rFonts w:ascii="Arial" w:cs="Arial" w:eastAsia="Arial" w:hAnsi="Arial"/>
          <w:sz w:val="28"/>
          <w:szCs w:val="28"/>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Adding new customer acquisition techniques, such as:</w:t>
      </w:r>
    </w:p>
    <w:p>
      <w:pPr>
        <w:spacing w:after="0" w:line="7" w:lineRule="exact"/>
        <w:rPr>
          <w:rFonts w:ascii="Arial" w:cs="Arial" w:eastAsia="Arial" w:hAnsi="Arial"/>
          <w:sz w:val="29"/>
          <w:szCs w:val="29"/>
          <w:color w:val="auto"/>
        </w:rPr>
      </w:pPr>
    </w:p>
    <w:p>
      <w:pPr>
        <w:ind w:left="1220" w:hanging="327"/>
        <w:spacing w:after="0"/>
        <w:tabs>
          <w:tab w:leader="none" w:pos="1220" w:val="left"/>
        </w:tabs>
        <w:numPr>
          <w:ilvl w:val="2"/>
          <w:numId w:val="19"/>
        </w:numPr>
        <w:rPr>
          <w:rFonts w:ascii="Arial" w:cs="Arial" w:eastAsia="Arial" w:hAnsi="Arial"/>
          <w:sz w:val="22"/>
          <w:szCs w:val="22"/>
          <w:color w:val="auto"/>
        </w:rPr>
      </w:pPr>
      <w:r>
        <w:rPr>
          <w:rFonts w:ascii="Arial" w:cs="Arial" w:eastAsia="Arial" w:hAnsi="Arial"/>
          <w:sz w:val="29"/>
          <w:szCs w:val="29"/>
          <w:color w:val="auto"/>
        </w:rPr>
        <w:t>Brand sponsorships, USSD, advertising</w:t>
      </w:r>
    </w:p>
    <w:p>
      <w:pPr>
        <w:spacing w:after="0" w:line="7" w:lineRule="exact"/>
        <w:rPr>
          <w:rFonts w:ascii="Arial" w:cs="Arial" w:eastAsia="Arial" w:hAnsi="Arial"/>
          <w:sz w:val="22"/>
          <w:szCs w:val="22"/>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Add additional carriers in the territory</w:t>
      </w:r>
    </w:p>
    <w:p>
      <w:pPr>
        <w:spacing w:after="0" w:line="313" w:lineRule="exact"/>
        <w:rPr>
          <w:rFonts w:ascii="Arial" w:cs="Arial" w:eastAsia="Arial" w:hAnsi="Arial"/>
          <w:sz w:val="29"/>
          <w:szCs w:val="29"/>
          <w:color w:val="auto"/>
        </w:rPr>
      </w:pPr>
    </w:p>
    <w:p>
      <w:pPr>
        <w:ind w:left="380" w:hanging="255"/>
        <w:spacing w:after="0"/>
        <w:tabs>
          <w:tab w:leader="none" w:pos="380" w:val="left"/>
        </w:tabs>
        <w:numPr>
          <w:ilvl w:val="0"/>
          <w:numId w:val="19"/>
        </w:numPr>
        <w:rPr>
          <w:rFonts w:ascii="Arial" w:cs="Arial" w:eastAsia="Arial" w:hAnsi="Arial"/>
          <w:sz w:val="29"/>
          <w:szCs w:val="29"/>
          <w:color w:val="auto"/>
        </w:rPr>
      </w:pPr>
      <w:r>
        <w:rPr>
          <w:rFonts w:ascii="Arial" w:cs="Arial" w:eastAsia="Arial" w:hAnsi="Arial"/>
          <w:sz w:val="29"/>
          <w:szCs w:val="29"/>
          <w:b w:val="1"/>
          <w:bCs w:val="1"/>
          <w:color w:val="auto"/>
        </w:rPr>
        <w:t>Rolling out new countries and partners</w:t>
      </w:r>
    </w:p>
    <w:p>
      <w:pPr>
        <w:spacing w:after="0" w:line="43" w:lineRule="exact"/>
        <w:rPr>
          <w:rFonts w:ascii="Arial" w:cs="Arial" w:eastAsia="Arial" w:hAnsi="Arial"/>
          <w:sz w:val="29"/>
          <w:szCs w:val="29"/>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Continuous development of a rich pipeline</w:t>
      </w:r>
    </w:p>
    <w:p>
      <w:pPr>
        <w:spacing w:after="0" w:line="7" w:lineRule="exact"/>
        <w:rPr>
          <w:rFonts w:ascii="Arial" w:cs="Arial" w:eastAsia="Arial" w:hAnsi="Arial"/>
          <w:sz w:val="29"/>
          <w:szCs w:val="29"/>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Add 2-3 territories/partners per quarter</w:t>
      </w:r>
    </w:p>
    <w:p>
      <w:pPr>
        <w:spacing w:after="0" w:line="7" w:lineRule="exact"/>
        <w:rPr>
          <w:rFonts w:ascii="Arial" w:cs="Arial" w:eastAsia="Arial" w:hAnsi="Arial"/>
          <w:sz w:val="29"/>
          <w:szCs w:val="29"/>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Migration to wealthier markets</w:t>
      </w:r>
    </w:p>
    <w:p>
      <w:pPr>
        <w:spacing w:after="0" w:line="313" w:lineRule="exact"/>
        <w:rPr>
          <w:rFonts w:ascii="Arial" w:cs="Arial" w:eastAsia="Arial" w:hAnsi="Arial"/>
          <w:sz w:val="29"/>
          <w:szCs w:val="29"/>
          <w:color w:val="auto"/>
        </w:rPr>
      </w:pPr>
    </w:p>
    <w:p>
      <w:pPr>
        <w:ind w:left="380" w:hanging="255"/>
        <w:spacing w:after="0"/>
        <w:tabs>
          <w:tab w:leader="none" w:pos="380" w:val="left"/>
        </w:tabs>
        <w:numPr>
          <w:ilvl w:val="0"/>
          <w:numId w:val="19"/>
        </w:numPr>
        <w:rPr>
          <w:rFonts w:ascii="Arial" w:cs="Arial" w:eastAsia="Arial" w:hAnsi="Arial"/>
          <w:sz w:val="29"/>
          <w:szCs w:val="29"/>
          <w:color w:val="auto"/>
        </w:rPr>
      </w:pPr>
      <w:r>
        <w:rPr>
          <w:rFonts w:ascii="Arial" w:cs="Arial" w:eastAsia="Arial" w:hAnsi="Arial"/>
          <w:sz w:val="29"/>
          <w:szCs w:val="29"/>
          <w:b w:val="1"/>
          <w:bCs w:val="1"/>
          <w:color w:val="auto"/>
        </w:rPr>
        <w:t>Bring new monetization models into play</w:t>
      </w:r>
    </w:p>
    <w:p>
      <w:pPr>
        <w:spacing w:after="0" w:line="43" w:lineRule="exact"/>
        <w:rPr>
          <w:rFonts w:ascii="Arial" w:cs="Arial" w:eastAsia="Arial" w:hAnsi="Arial"/>
          <w:sz w:val="29"/>
          <w:szCs w:val="29"/>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Advertising-based Vringo may become important</w:t>
      </w:r>
    </w:p>
    <w:p>
      <w:pPr>
        <w:spacing w:after="0" w:line="7" w:lineRule="exact"/>
        <w:rPr>
          <w:rFonts w:ascii="Arial" w:cs="Arial" w:eastAsia="Arial" w:hAnsi="Arial"/>
          <w:sz w:val="29"/>
          <w:szCs w:val="29"/>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App stores and content bundles</w:t>
      </w:r>
    </w:p>
    <w:p>
      <w:pPr>
        <w:spacing w:after="0" w:line="7" w:lineRule="exact"/>
        <w:rPr>
          <w:rFonts w:ascii="Arial" w:cs="Arial" w:eastAsia="Arial" w:hAnsi="Arial"/>
          <w:sz w:val="29"/>
          <w:szCs w:val="29"/>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Brand supported apps</w:t>
      </w:r>
    </w:p>
    <w:p>
      <w:pPr>
        <w:spacing w:after="0" w:line="7" w:lineRule="exact"/>
        <w:rPr>
          <w:rFonts w:ascii="Arial" w:cs="Arial" w:eastAsia="Arial" w:hAnsi="Arial"/>
          <w:sz w:val="29"/>
          <w:szCs w:val="29"/>
          <w:color w:val="auto"/>
        </w:rPr>
      </w:pPr>
    </w:p>
    <w:p>
      <w:pPr>
        <w:ind w:left="840" w:hanging="320"/>
        <w:spacing w:after="0"/>
        <w:tabs>
          <w:tab w:leader="none" w:pos="840" w:val="left"/>
        </w:tabs>
        <w:numPr>
          <w:ilvl w:val="1"/>
          <w:numId w:val="19"/>
        </w:numPr>
        <w:rPr>
          <w:rFonts w:ascii="Arial" w:cs="Arial" w:eastAsia="Arial" w:hAnsi="Arial"/>
          <w:sz w:val="29"/>
          <w:szCs w:val="29"/>
          <w:color w:val="auto"/>
        </w:rPr>
      </w:pPr>
      <w:r>
        <w:rPr>
          <w:rFonts w:ascii="Arial" w:cs="Arial" w:eastAsia="Arial" w:hAnsi="Arial"/>
          <w:sz w:val="29"/>
          <w:szCs w:val="29"/>
          <w:color w:val="auto"/>
        </w:rPr>
        <w:t>Leverage carrier relationships for new services</w:t>
      </w:r>
    </w:p>
    <w:p>
      <w:pPr>
        <w:spacing w:after="0" w:line="200" w:lineRule="exact"/>
        <w:rPr>
          <w:rFonts w:ascii="Arial" w:cs="Arial" w:eastAsia="Arial" w:hAnsi="Arial"/>
          <w:sz w:val="29"/>
          <w:szCs w:val="29"/>
          <w:color w:val="auto"/>
        </w:rPr>
      </w:pPr>
    </w:p>
    <w:p>
      <w:pPr>
        <w:spacing w:after="0" w:line="200" w:lineRule="exact"/>
        <w:rPr>
          <w:rFonts w:ascii="Arial" w:cs="Arial" w:eastAsia="Arial" w:hAnsi="Arial"/>
          <w:sz w:val="29"/>
          <w:szCs w:val="29"/>
          <w:color w:val="auto"/>
        </w:rPr>
      </w:pPr>
    </w:p>
    <w:p>
      <w:pPr>
        <w:spacing w:after="0" w:line="360" w:lineRule="exact"/>
        <w:rPr>
          <w:rFonts w:ascii="Arial" w:cs="Arial" w:eastAsia="Arial" w:hAnsi="Arial"/>
          <w:sz w:val="29"/>
          <w:szCs w:val="29"/>
          <w:color w:val="auto"/>
        </w:rPr>
      </w:pPr>
    </w:p>
    <w:p>
      <w:pPr>
        <w:ind w:left="4660" w:hanging="75"/>
        <w:spacing w:after="0"/>
        <w:tabs>
          <w:tab w:leader="none" w:pos="4660" w:val="left"/>
        </w:tabs>
        <w:numPr>
          <w:ilvl w:val="3"/>
          <w:numId w:val="19"/>
        </w:numPr>
        <w:rPr>
          <w:rFonts w:ascii="Arial" w:cs="Arial" w:eastAsia="Arial" w:hAnsi="Arial"/>
          <w:sz w:val="13"/>
          <w:szCs w:val="13"/>
          <w:color w:val="FFFFFF"/>
        </w:rPr>
      </w:pPr>
      <w:r>
        <w:rPr>
          <w:rFonts w:ascii="Arial" w:cs="Arial" w:eastAsia="Arial" w:hAnsi="Arial"/>
          <w:sz w:val="13"/>
          <w:szCs w:val="13"/>
          <w:color w:val="FFFFFF"/>
        </w:rPr>
        <w:t>Page 24 -</w:t>
      </w:r>
    </w:p>
    <w:p>
      <w:pPr>
        <w:sectPr>
          <w:pgSz w:w="11900" w:h="16838" w:orient="portrait"/>
          <w:cols w:equalWidth="0" w:num="1">
            <w:col w:w="9879"/>
          </w:cols>
          <w:pgMar w:left="580" w:top="486" w:right="1440" w:bottom="1440" w:gutter="0" w:footer="0" w:header="0"/>
        </w:sectPr>
      </w:pPr>
    </w:p>
    <w:bookmarkStart w:id="27" w:name="page28"/>
    <w:bookmarkEnd w:id="27"/>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Vringo Cumulative Subscriber Growth Across All Carriers</w:t>
      </w:r>
    </w:p>
    <w:p>
      <w:pPr>
        <w:sectPr>
          <w:pgSz w:w="11900" w:h="16838" w:orient="portrait"/>
          <w:cols w:equalWidth="0" w:num="1">
            <w:col w:w="9980"/>
          </w:cols>
          <w:pgMar w:left="560" w:top="486"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FFFFFF"/>
        </w:rPr>
        <w:t>- Page 25 -</w:t>
      </w:r>
    </w:p>
    <w:p>
      <w:pPr>
        <w:sectPr>
          <w:pgSz w:w="11900" w:h="16838" w:orient="portrait"/>
          <w:cols w:equalWidth="0" w:num="1">
            <w:col w:w="9980"/>
          </w:cols>
          <w:pgMar w:left="560" w:top="486" w:right="1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Driving Subscriber Growth and Revenue</w:t>
      </w:r>
    </w:p>
    <w:p>
      <w:pPr>
        <w:sectPr>
          <w:pgSz w:w="11900" w:h="16838" w:orient="portrait"/>
          <w:cols w:equalWidth="0" w:num="1">
            <w:col w:w="10960"/>
          </w:cols>
          <w:pgMar w:left="560" w:top="48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26"/>
          <w:szCs w:val="26"/>
          <w:b w:val="1"/>
          <w:bCs w:val="1"/>
          <w:color w:val="FFFFFF"/>
        </w:rPr>
        <w:t>Initial Launches</w:t>
      </w:r>
    </w:p>
    <w:p>
      <w:pPr>
        <w:spacing w:after="0" w:line="41" w:lineRule="exact"/>
        <w:rPr>
          <w:sz w:val="20"/>
          <w:szCs w:val="20"/>
          <w:color w:val="auto"/>
        </w:rPr>
      </w:pPr>
    </w:p>
    <w:p>
      <w:pPr>
        <w:ind w:left="560" w:hanging="10"/>
        <w:spacing w:after="0" w:line="276" w:lineRule="auto"/>
        <w:rPr>
          <w:sz w:val="20"/>
          <w:szCs w:val="20"/>
          <w:color w:val="auto"/>
        </w:rPr>
      </w:pPr>
      <w:r>
        <w:rPr>
          <w:rFonts w:ascii="Arial" w:cs="Arial" w:eastAsia="Arial" w:hAnsi="Arial"/>
          <w:sz w:val="25"/>
          <w:szCs w:val="25"/>
          <w:b w:val="1"/>
          <w:bCs w:val="1"/>
          <w:color w:val="FFFFFF"/>
        </w:rPr>
        <w:t>demonstrate viable subscription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20" w:right="80" w:firstLine="11"/>
        <w:spacing w:after="0" w:line="301" w:lineRule="auto"/>
        <w:rPr>
          <w:sz w:val="20"/>
          <w:szCs w:val="20"/>
          <w:color w:val="auto"/>
        </w:rPr>
      </w:pPr>
      <w:r>
        <w:rPr>
          <w:rFonts w:ascii="Arial" w:cs="Arial" w:eastAsia="Arial" w:hAnsi="Arial"/>
          <w:sz w:val="25"/>
          <w:szCs w:val="25"/>
          <w:b w:val="1"/>
          <w:bCs w:val="1"/>
          <w:color w:val="FFFFFF"/>
        </w:rPr>
        <w:t>Moving to higher subscription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197" w:hanging="197"/>
        <w:spacing w:after="0"/>
        <w:tabs>
          <w:tab w:leader="none" w:pos="197" w:val="left"/>
        </w:tabs>
        <w:numPr>
          <w:ilvl w:val="0"/>
          <w:numId w:val="20"/>
        </w:numPr>
        <w:rPr>
          <w:rFonts w:ascii="Arial" w:cs="Arial" w:eastAsia="Arial" w:hAnsi="Arial"/>
          <w:sz w:val="19"/>
          <w:szCs w:val="19"/>
          <w:color w:val="auto"/>
        </w:rPr>
      </w:pPr>
      <w:r>
        <w:rPr>
          <w:rFonts w:ascii="Arial" w:cs="Arial" w:eastAsia="Arial" w:hAnsi="Arial"/>
          <w:sz w:val="25"/>
          <w:szCs w:val="25"/>
          <w:b w:val="1"/>
          <w:bCs w:val="1"/>
          <w:color w:val="auto"/>
        </w:rPr>
        <w:t>240,000 subscribers in paid subscription services world-wide</w:t>
      </w:r>
    </w:p>
    <w:p>
      <w:pPr>
        <w:spacing w:after="0" w:line="11" w:lineRule="exact"/>
        <w:rPr>
          <w:rFonts w:ascii="Arial" w:cs="Arial" w:eastAsia="Arial" w:hAnsi="Arial"/>
          <w:sz w:val="19"/>
          <w:szCs w:val="19"/>
          <w:color w:val="auto"/>
        </w:rPr>
      </w:pPr>
    </w:p>
    <w:p>
      <w:pPr>
        <w:ind w:left="197" w:right="800" w:hanging="197"/>
        <w:spacing w:after="0" w:line="209" w:lineRule="auto"/>
        <w:tabs>
          <w:tab w:leader="none" w:pos="197" w:val="left"/>
        </w:tabs>
        <w:numPr>
          <w:ilvl w:val="0"/>
          <w:numId w:val="20"/>
        </w:numPr>
        <w:rPr>
          <w:rFonts w:ascii="Arial" w:cs="Arial" w:eastAsia="Arial" w:hAnsi="Arial"/>
          <w:sz w:val="20"/>
          <w:szCs w:val="20"/>
          <w:color w:val="auto"/>
        </w:rPr>
      </w:pPr>
      <w:r>
        <w:rPr>
          <w:rFonts w:ascii="Arial" w:cs="Arial" w:eastAsia="Arial" w:hAnsi="Arial"/>
          <w:sz w:val="26"/>
          <w:szCs w:val="26"/>
          <w:b w:val="1"/>
          <w:bCs w:val="1"/>
          <w:color w:val="auto"/>
        </w:rPr>
        <w:t>Added 100,000 subscribers over last four months, 70% growth</w:t>
      </w:r>
    </w:p>
    <w:p>
      <w:pPr>
        <w:spacing w:after="0" w:line="1" w:lineRule="exact"/>
        <w:rPr>
          <w:rFonts w:ascii="Arial" w:cs="Arial" w:eastAsia="Arial" w:hAnsi="Arial"/>
          <w:sz w:val="20"/>
          <w:szCs w:val="20"/>
          <w:color w:val="auto"/>
        </w:rPr>
      </w:pPr>
    </w:p>
    <w:p>
      <w:pPr>
        <w:ind w:left="197" w:hanging="197"/>
        <w:spacing w:after="0" w:line="205" w:lineRule="auto"/>
        <w:tabs>
          <w:tab w:leader="none" w:pos="197" w:val="left"/>
        </w:tabs>
        <w:numPr>
          <w:ilvl w:val="0"/>
          <w:numId w:val="20"/>
        </w:numPr>
        <w:rPr>
          <w:rFonts w:ascii="Arial" w:cs="Arial" w:eastAsia="Arial" w:hAnsi="Arial"/>
          <w:sz w:val="20"/>
          <w:szCs w:val="20"/>
          <w:color w:val="auto"/>
        </w:rPr>
      </w:pPr>
      <w:r>
        <w:rPr>
          <w:rFonts w:ascii="Arial" w:cs="Arial" w:eastAsia="Arial" w:hAnsi="Arial"/>
          <w:sz w:val="26"/>
          <w:szCs w:val="26"/>
          <w:b w:val="1"/>
          <w:bCs w:val="1"/>
          <w:color w:val="auto"/>
        </w:rPr>
        <w:t>Average net monetization $0.13 per subscriber per month</w:t>
      </w:r>
    </w:p>
    <w:p>
      <w:pPr>
        <w:ind w:left="197" w:hanging="197"/>
        <w:spacing w:after="0"/>
        <w:tabs>
          <w:tab w:leader="none" w:pos="197" w:val="left"/>
        </w:tabs>
        <w:numPr>
          <w:ilvl w:val="0"/>
          <w:numId w:val="20"/>
        </w:numPr>
        <w:rPr>
          <w:rFonts w:ascii="Arial" w:cs="Arial" w:eastAsia="Arial" w:hAnsi="Arial"/>
          <w:sz w:val="20"/>
          <w:szCs w:val="20"/>
          <w:color w:val="auto"/>
        </w:rPr>
      </w:pPr>
      <w:r>
        <w:rPr>
          <w:rFonts w:ascii="Arial" w:cs="Arial" w:eastAsia="Arial" w:hAnsi="Arial"/>
          <w:sz w:val="26"/>
          <w:szCs w:val="26"/>
          <w:b w:val="1"/>
          <w:bCs w:val="1"/>
          <w:color w:val="auto"/>
        </w:rPr>
        <w:t>6 paid launches so farmany— more to come</w:t>
      </w:r>
    </w:p>
    <w:p>
      <w:pPr>
        <w:spacing w:after="0" w:line="394" w:lineRule="exact"/>
        <w:rPr>
          <w:rFonts w:ascii="Arial" w:cs="Arial" w:eastAsia="Arial" w:hAnsi="Arial"/>
          <w:sz w:val="20"/>
          <w:szCs w:val="20"/>
          <w:color w:val="auto"/>
        </w:rPr>
      </w:pPr>
    </w:p>
    <w:p>
      <w:pPr>
        <w:ind w:left="197" w:right="1160" w:hanging="197"/>
        <w:spacing w:after="0" w:line="231" w:lineRule="auto"/>
        <w:tabs>
          <w:tab w:leader="none" w:pos="197" w:val="left"/>
        </w:tabs>
        <w:numPr>
          <w:ilvl w:val="0"/>
          <w:numId w:val="20"/>
        </w:numPr>
        <w:rPr>
          <w:rFonts w:ascii="Arial" w:cs="Arial" w:eastAsia="Arial" w:hAnsi="Arial"/>
          <w:sz w:val="19"/>
          <w:szCs w:val="19"/>
          <w:color w:val="auto"/>
        </w:rPr>
      </w:pPr>
      <w:r>
        <w:rPr>
          <w:rFonts w:ascii="Arial" w:cs="Arial" w:eastAsia="Arial" w:hAnsi="Arial"/>
          <w:sz w:val="25"/>
          <w:szCs w:val="25"/>
          <w:b w:val="1"/>
          <w:bCs w:val="1"/>
          <w:color w:val="auto"/>
        </w:rPr>
        <w:t>Intend gradual shift in subscriber pricing to 4$.99.92 - monthly fee, depending on currency and territory</w:t>
      </w:r>
    </w:p>
    <w:p>
      <w:pPr>
        <w:spacing w:after="0" w:line="1" w:lineRule="exact"/>
        <w:rPr>
          <w:rFonts w:ascii="Arial" w:cs="Arial" w:eastAsia="Arial" w:hAnsi="Arial"/>
          <w:sz w:val="19"/>
          <w:szCs w:val="19"/>
          <w:color w:val="auto"/>
        </w:rPr>
      </w:pPr>
    </w:p>
    <w:p>
      <w:pPr>
        <w:ind w:left="197" w:right="620" w:hanging="197"/>
        <w:spacing w:after="0" w:line="209" w:lineRule="auto"/>
        <w:tabs>
          <w:tab w:leader="none" w:pos="197" w:val="left"/>
        </w:tabs>
        <w:numPr>
          <w:ilvl w:val="0"/>
          <w:numId w:val="20"/>
        </w:numPr>
        <w:rPr>
          <w:rFonts w:ascii="Arial" w:cs="Arial" w:eastAsia="Arial" w:hAnsi="Arial"/>
          <w:sz w:val="20"/>
          <w:szCs w:val="20"/>
          <w:color w:val="auto"/>
        </w:rPr>
      </w:pPr>
      <w:r>
        <w:rPr>
          <w:rFonts w:ascii="Arial" w:cs="Arial" w:eastAsia="Arial" w:hAnsi="Arial"/>
          <w:sz w:val="26"/>
          <w:szCs w:val="26"/>
          <w:b w:val="1"/>
          <w:bCs w:val="1"/>
          <w:color w:val="auto"/>
        </w:rPr>
        <w:t>Will start seeing revenue from more lucrative markets of North America and Western Europe</w:t>
      </w:r>
    </w:p>
    <w:p>
      <w:pPr>
        <w:spacing w:after="0" w:line="1" w:lineRule="exact"/>
        <w:rPr>
          <w:rFonts w:ascii="Arial" w:cs="Arial" w:eastAsia="Arial" w:hAnsi="Arial"/>
          <w:sz w:val="20"/>
          <w:szCs w:val="20"/>
          <w:color w:val="auto"/>
        </w:rPr>
      </w:pPr>
    </w:p>
    <w:p>
      <w:pPr>
        <w:ind w:left="197" w:right="780" w:hanging="197"/>
        <w:spacing w:after="0" w:line="222" w:lineRule="auto"/>
        <w:tabs>
          <w:tab w:leader="none" w:pos="197" w:val="left"/>
        </w:tabs>
        <w:numPr>
          <w:ilvl w:val="0"/>
          <w:numId w:val="20"/>
        </w:numPr>
        <w:rPr>
          <w:rFonts w:ascii="Arial" w:cs="Arial" w:eastAsia="Arial" w:hAnsi="Arial"/>
          <w:sz w:val="20"/>
          <w:szCs w:val="20"/>
          <w:color w:val="auto"/>
        </w:rPr>
      </w:pPr>
      <w:r>
        <w:rPr>
          <w:rFonts w:ascii="Arial" w:cs="Arial" w:eastAsia="Arial" w:hAnsi="Arial"/>
          <w:sz w:val="26"/>
          <w:szCs w:val="26"/>
          <w:b w:val="1"/>
          <w:bCs w:val="1"/>
          <w:color w:val="auto"/>
        </w:rPr>
        <w:t>Shift to these markets which are mostly post-paid, as opposed to pre-paid, will have positive effect on billing efficiency</w:t>
      </w:r>
    </w:p>
    <w:p>
      <w:pPr>
        <w:spacing w:after="0" w:line="200" w:lineRule="exact"/>
        <w:rPr>
          <w:sz w:val="20"/>
          <w:szCs w:val="20"/>
          <w:color w:val="auto"/>
        </w:rPr>
      </w:pPr>
    </w:p>
    <w:p>
      <w:pPr>
        <w:sectPr>
          <w:pgSz w:w="11900" w:h="16838" w:orient="portrait"/>
          <w:cols w:equalWidth="0" w:num="2">
            <w:col w:w="2920" w:space="383"/>
            <w:col w:w="7657"/>
          </w:cols>
          <w:pgMar w:left="560" w:top="486" w:right="379" w:bottom="1440" w:gutter="0" w:footer="0" w:header="0"/>
          <w:type w:val="continuous"/>
        </w:sect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1"/>
        </w:trPr>
        <w:tc>
          <w:tcPr>
            <w:tcW w:w="3200" w:type="dxa"/>
            <w:vAlign w:val="bottom"/>
            <w:gridSpan w:val="2"/>
          </w:tcPr>
          <w:p>
            <w:pPr>
              <w:jc w:val="right"/>
              <w:spacing w:after="0" w:line="171" w:lineRule="exact"/>
              <w:rPr>
                <w:sz w:val="20"/>
                <w:szCs w:val="20"/>
                <w:color w:val="auto"/>
              </w:rPr>
            </w:pPr>
            <w:r>
              <w:rPr>
                <w:rFonts w:ascii="Arial" w:cs="Arial" w:eastAsia="Arial" w:hAnsi="Arial"/>
                <w:sz w:val="19"/>
                <w:szCs w:val="19"/>
                <w:b w:val="1"/>
                <w:bCs w:val="1"/>
                <w:color w:val="FFFFFF"/>
              </w:rPr>
              <w:t>Leverage relationships for</w:t>
            </w:r>
          </w:p>
        </w:tc>
        <w:tc>
          <w:tcPr>
            <w:tcW w:w="0" w:type="dxa"/>
            <w:vAlign w:val="bottom"/>
          </w:tcPr>
          <w:p>
            <w:pPr>
              <w:spacing w:after="0"/>
              <w:rPr>
                <w:sz w:val="1"/>
                <w:szCs w:val="1"/>
                <w:color w:val="auto"/>
              </w:rPr>
            </w:pPr>
          </w:p>
        </w:tc>
      </w:tr>
      <w:tr>
        <w:trPr>
          <w:trHeight w:val="169"/>
        </w:trPr>
        <w:tc>
          <w:tcPr>
            <w:tcW w:w="2920" w:type="dxa"/>
            <w:vAlign w:val="bottom"/>
            <w:vMerge w:val="restart"/>
          </w:tcPr>
          <w:p>
            <w:pPr>
              <w:ind w:left="400"/>
              <w:spacing w:after="0"/>
              <w:rPr>
                <w:sz w:val="20"/>
                <w:szCs w:val="20"/>
                <w:color w:val="auto"/>
              </w:rPr>
            </w:pPr>
            <w:r>
              <w:rPr>
                <w:rFonts w:ascii="Arial" w:cs="Arial" w:eastAsia="Arial" w:hAnsi="Arial"/>
                <w:sz w:val="26"/>
                <w:szCs w:val="26"/>
                <w:b w:val="1"/>
                <w:bCs w:val="1"/>
                <w:color w:val="FFFFFF"/>
              </w:rPr>
              <w:t>additional services</w:t>
            </w:r>
          </w:p>
        </w:tc>
        <w:tc>
          <w:tcPr>
            <w:tcW w:w="280" w:type="dxa"/>
            <w:vAlign w:val="bottom"/>
          </w:tcPr>
          <w:p>
            <w:pPr>
              <w:jc w:val="right"/>
              <w:spacing w:after="0" w:line="169"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920" w:type="dxa"/>
            <w:vAlign w:val="bottom"/>
            <w:vMerge w:val="continue"/>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Will launch new Vringo services with carrier partners</w:t>
      </w:r>
    </w:p>
    <w:p>
      <w:pPr>
        <w:spacing w:after="0" w:line="214" w:lineRule="auto"/>
        <w:rPr>
          <w:sz w:val="20"/>
          <w:szCs w:val="20"/>
          <w:color w:val="auto"/>
        </w:rPr>
      </w:pPr>
      <w:r>
        <w:rPr>
          <w:rFonts w:ascii="Arial" w:cs="Arial" w:eastAsia="Arial" w:hAnsi="Arial"/>
          <w:sz w:val="26"/>
          <w:szCs w:val="26"/>
          <w:b w:val="1"/>
          <w:bCs w:val="1"/>
          <w:color w:val="auto"/>
        </w:rPr>
        <w:t>New services will also be on subscription basis</w:t>
      </w:r>
    </w:p>
    <w:p>
      <w:pPr>
        <w:spacing w:after="0" w:line="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New services developed in-house or acquired</w:t>
      </w:r>
    </w:p>
    <w:p>
      <w:pPr>
        <w:spacing w:after="0" w:line="200" w:lineRule="exact"/>
        <w:rPr>
          <w:sz w:val="20"/>
          <w:szCs w:val="20"/>
          <w:color w:val="auto"/>
        </w:rPr>
      </w:pPr>
    </w:p>
    <w:p>
      <w:pPr>
        <w:sectPr>
          <w:pgSz w:w="11900" w:h="16838" w:orient="portrait"/>
          <w:cols w:equalWidth="0" w:num="2">
            <w:col w:w="3380" w:space="120"/>
            <w:col w:w="7460"/>
          </w:cols>
          <w:pgMar w:left="560" w:top="48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0"/>
        <w:spacing w:after="0"/>
        <w:rPr>
          <w:sz w:val="20"/>
          <w:szCs w:val="20"/>
          <w:color w:val="auto"/>
        </w:rPr>
      </w:pPr>
      <w:r>
        <w:rPr>
          <w:rFonts w:ascii="Arial" w:cs="Arial" w:eastAsia="Arial" w:hAnsi="Arial"/>
          <w:sz w:val="12"/>
          <w:szCs w:val="12"/>
          <w:color w:val="FFFFFF"/>
        </w:rPr>
        <w:t>- Page 26 -</w:t>
      </w:r>
    </w:p>
    <w:p>
      <w:pPr>
        <w:sectPr>
          <w:pgSz w:w="11900" w:h="16838" w:orient="portrait"/>
          <w:cols w:equalWidth="0" w:num="1">
            <w:col w:w="10960"/>
          </w:cols>
          <w:pgMar w:left="560" w:top="486" w:right="379" w:bottom="1440" w:gutter="0" w:footer="0" w:header="0"/>
          <w:type w:val="continuous"/>
        </w:sectPr>
      </w:pPr>
    </w:p>
    <w:bookmarkStart w:id="29" w:name="page30"/>
    <w:bookmarkEnd w:id="29"/>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r>
    </w:p>
    <w:p>
      <w:pPr>
        <w:ind w:right="1040"/>
        <w:spacing w:after="0" w:line="293" w:lineRule="auto"/>
        <w:rPr>
          <w:sz w:val="20"/>
          <w:szCs w:val="20"/>
          <w:color w:val="auto"/>
        </w:rPr>
      </w:pPr>
      <w:r>
        <w:rPr>
          <w:rFonts w:ascii="Arial" w:cs="Arial" w:eastAsia="Arial" w:hAnsi="Arial"/>
          <w:sz w:val="34"/>
          <w:szCs w:val="34"/>
          <w:b w:val="1"/>
          <w:bCs w:val="1"/>
          <w:color w:val="auto"/>
        </w:rPr>
        <w:t>Deal with Everything Everywhere Ltd.; UK’s largest mobile company to launch Vringo together in the UK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340"/>
        <w:spacing w:after="0" w:line="263" w:lineRule="auto"/>
        <w:rPr>
          <w:sz w:val="20"/>
          <w:szCs w:val="20"/>
          <w:color w:val="auto"/>
        </w:rPr>
      </w:pPr>
      <w:r>
        <w:rPr>
          <w:rFonts w:ascii="Arial" w:cs="Arial" w:eastAsia="Arial" w:hAnsi="Arial"/>
          <w:sz w:val="29"/>
          <w:szCs w:val="29"/>
          <w:b w:val="1"/>
          <w:bCs w:val="1"/>
          <w:color w:val="auto"/>
        </w:rPr>
        <w:t>Everything Everywhere operates both Orange (UK) and T-Mobile (UK) with combined total of over 30 M subscribers, and is owned by France Telecom and Deutsche Telekom</w:t>
      </w:r>
    </w:p>
    <w:p>
      <w:pPr>
        <w:spacing w:after="0" w:line="200" w:lineRule="exact"/>
        <w:rPr>
          <w:sz w:val="20"/>
          <w:szCs w:val="20"/>
          <w:color w:val="auto"/>
        </w:rPr>
      </w:pPr>
    </w:p>
    <w:p>
      <w:pPr>
        <w:spacing w:after="0" w:line="250" w:lineRule="exact"/>
        <w:rPr>
          <w:sz w:val="20"/>
          <w:szCs w:val="20"/>
          <w:color w:val="auto"/>
        </w:rPr>
      </w:pPr>
    </w:p>
    <w:p>
      <w:pPr>
        <w:ind w:left="1280"/>
        <w:spacing w:after="0"/>
        <w:rPr>
          <w:sz w:val="20"/>
          <w:szCs w:val="20"/>
          <w:color w:val="auto"/>
        </w:rPr>
      </w:pPr>
      <w:r>
        <w:rPr>
          <w:rFonts w:ascii="Arial" w:cs="Arial" w:eastAsia="Arial" w:hAnsi="Arial"/>
          <w:sz w:val="34"/>
          <w:szCs w:val="34"/>
          <w:b w:val="1"/>
          <w:bCs w:val="1"/>
          <w:color w:val="auto"/>
        </w:rPr>
        <w:t>Have first launched with Orange</w:t>
      </w:r>
    </w:p>
    <w:p>
      <w:pPr>
        <w:spacing w:after="0" w:line="56" w:lineRule="exact"/>
        <w:rPr>
          <w:sz w:val="20"/>
          <w:szCs w:val="20"/>
          <w:color w:val="auto"/>
        </w:rPr>
      </w:pPr>
    </w:p>
    <w:p>
      <w:pPr>
        <w:ind w:left="1280"/>
        <w:spacing w:after="0"/>
        <w:rPr>
          <w:sz w:val="20"/>
          <w:szCs w:val="20"/>
          <w:color w:val="auto"/>
        </w:rPr>
      </w:pPr>
      <w:r>
        <w:rPr>
          <w:rFonts w:ascii="Arial" w:cs="Arial" w:eastAsia="Arial" w:hAnsi="Arial"/>
          <w:sz w:val="34"/>
          <w:szCs w:val="34"/>
          <w:b w:val="1"/>
          <w:bCs w:val="1"/>
          <w:color w:val="auto"/>
        </w:rPr>
        <w:t>(UK)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3"/>
          <w:szCs w:val="13"/>
          <w:color w:val="FFFFFF"/>
        </w:rPr>
        <w:t>- Page 27 -</w:t>
      </w:r>
    </w:p>
    <w:p>
      <w:pPr>
        <w:sectPr>
          <w:pgSz w:w="11900" w:h="16838" w:orient="portrait"/>
          <w:cols w:equalWidth="0" w:num="1">
            <w:col w:w="10520"/>
          </w:cols>
          <w:pgMar w:left="700" w:top="1440" w:right="679" w:bottom="1440" w:gutter="0" w:footer="0" w:header="0"/>
        </w:sectPr>
      </w:pPr>
    </w:p>
    <w:bookmarkStart w:id="30" w:name="page31"/>
    <w:bookmarkEnd w:id="30"/>
    <w:p>
      <w:pPr>
        <w:spacing w:after="0"/>
        <w:rPr>
          <w:sz w:val="20"/>
          <w:szCs w:val="20"/>
          <w:color w:val="auto"/>
        </w:rPr>
      </w:pPr>
      <w:r>
        <w:rPr>
          <w:rFonts w:ascii="Arial" w:cs="Arial" w:eastAsia="Arial" w:hAnsi="Arial"/>
          <w:sz w:val="39"/>
          <w:szCs w:val="39"/>
          <w:color w:val="FFC000"/>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Importance of Orange Launch</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0" w:hanging="249"/>
        <w:spacing w:after="0"/>
        <w:tabs>
          <w:tab w:leader="none" w:pos="480" w:val="left"/>
        </w:tabs>
        <w:numPr>
          <w:ilvl w:val="0"/>
          <w:numId w:val="21"/>
        </w:numPr>
        <w:rPr>
          <w:rFonts w:ascii="Arial" w:cs="Arial" w:eastAsia="Arial" w:hAnsi="Arial"/>
          <w:sz w:val="34"/>
          <w:szCs w:val="34"/>
          <w:color w:val="auto"/>
        </w:rPr>
      </w:pPr>
      <w:r>
        <w:rPr>
          <w:rFonts w:ascii="Arial" w:cs="Arial" w:eastAsia="Arial" w:hAnsi="Arial"/>
          <w:sz w:val="34"/>
          <w:szCs w:val="34"/>
          <w:b w:val="1"/>
          <w:bCs w:val="1"/>
          <w:color w:val="auto"/>
        </w:rPr>
        <w:t>First major launch in the strategic European market</w:t>
      </w:r>
    </w:p>
    <w:p>
      <w:pPr>
        <w:spacing w:after="0" w:line="270" w:lineRule="exact"/>
        <w:rPr>
          <w:rFonts w:ascii="Arial" w:cs="Arial" w:eastAsia="Arial" w:hAnsi="Arial"/>
          <w:sz w:val="34"/>
          <w:szCs w:val="34"/>
          <w:color w:val="auto"/>
        </w:rPr>
      </w:pPr>
    </w:p>
    <w:p>
      <w:pPr>
        <w:ind w:left="480" w:right="900" w:hanging="249"/>
        <w:spacing w:after="0" w:line="293" w:lineRule="auto"/>
        <w:tabs>
          <w:tab w:leader="none" w:pos="480" w:val="left"/>
        </w:tabs>
        <w:numPr>
          <w:ilvl w:val="0"/>
          <w:numId w:val="21"/>
        </w:numPr>
        <w:rPr>
          <w:rFonts w:ascii="Arial" w:cs="Arial" w:eastAsia="Arial" w:hAnsi="Arial"/>
          <w:sz w:val="34"/>
          <w:szCs w:val="34"/>
          <w:color w:val="auto"/>
        </w:rPr>
      </w:pPr>
      <w:r>
        <w:rPr>
          <w:rFonts w:ascii="Arial" w:cs="Arial" w:eastAsia="Arial" w:hAnsi="Arial"/>
          <w:sz w:val="34"/>
          <w:szCs w:val="34"/>
          <w:b w:val="1"/>
          <w:bCs w:val="1"/>
          <w:color w:val="auto"/>
        </w:rPr>
        <w:t>UK is a vibrant and active mobile content and application market</w:t>
      </w:r>
    </w:p>
    <w:p>
      <w:pPr>
        <w:spacing w:after="0" w:line="122" w:lineRule="exact"/>
        <w:rPr>
          <w:rFonts w:ascii="Arial" w:cs="Arial" w:eastAsia="Arial" w:hAnsi="Arial"/>
          <w:sz w:val="34"/>
          <w:szCs w:val="34"/>
          <w:color w:val="auto"/>
        </w:rPr>
      </w:pPr>
    </w:p>
    <w:p>
      <w:pPr>
        <w:ind w:left="480" w:hanging="249"/>
        <w:spacing w:after="0" w:line="286" w:lineRule="auto"/>
        <w:tabs>
          <w:tab w:leader="none" w:pos="480" w:val="left"/>
        </w:tabs>
        <w:numPr>
          <w:ilvl w:val="0"/>
          <w:numId w:val="21"/>
        </w:numPr>
        <w:rPr>
          <w:rFonts w:ascii="Arial" w:cs="Arial" w:eastAsia="Arial" w:hAnsi="Arial"/>
          <w:sz w:val="34"/>
          <w:szCs w:val="34"/>
          <w:color w:val="auto"/>
        </w:rPr>
      </w:pPr>
      <w:r>
        <w:rPr>
          <w:rFonts w:ascii="Arial" w:cs="Arial" w:eastAsia="Arial" w:hAnsi="Arial"/>
          <w:sz w:val="34"/>
          <w:szCs w:val="34"/>
          <w:b w:val="1"/>
          <w:bCs w:val="1"/>
          <w:color w:val="auto"/>
        </w:rPr>
        <w:t>Vringo has until now focused on proving its business model in smaller, less developed markets</w:t>
      </w:r>
    </w:p>
    <w:p>
      <w:pPr>
        <w:spacing w:after="0" w:line="145" w:lineRule="exact"/>
        <w:rPr>
          <w:rFonts w:ascii="Arial" w:cs="Arial" w:eastAsia="Arial" w:hAnsi="Arial"/>
          <w:sz w:val="34"/>
          <w:szCs w:val="34"/>
          <w:color w:val="auto"/>
        </w:rPr>
      </w:pPr>
    </w:p>
    <w:p>
      <w:pPr>
        <w:ind w:left="480" w:right="280" w:hanging="249"/>
        <w:spacing w:after="0" w:line="286" w:lineRule="auto"/>
        <w:tabs>
          <w:tab w:leader="none" w:pos="480" w:val="left"/>
        </w:tabs>
        <w:numPr>
          <w:ilvl w:val="0"/>
          <w:numId w:val="21"/>
        </w:numPr>
        <w:rPr>
          <w:rFonts w:ascii="Arial" w:cs="Arial" w:eastAsia="Arial" w:hAnsi="Arial"/>
          <w:sz w:val="34"/>
          <w:szCs w:val="34"/>
          <w:color w:val="auto"/>
        </w:rPr>
      </w:pPr>
      <w:r>
        <w:rPr>
          <w:rFonts w:ascii="Arial" w:cs="Arial" w:eastAsia="Arial" w:hAnsi="Arial"/>
          <w:sz w:val="34"/>
          <w:szCs w:val="34"/>
          <w:b w:val="1"/>
          <w:bCs w:val="1"/>
          <w:color w:val="auto"/>
        </w:rPr>
        <w:t>Terms: Orange branded service, revenue split, zero rating for data, promotion of service on Orange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0"/>
        <w:spacing w:after="0"/>
        <w:rPr>
          <w:sz w:val="20"/>
          <w:szCs w:val="20"/>
          <w:color w:val="auto"/>
        </w:rPr>
      </w:pPr>
      <w:r>
        <w:rPr>
          <w:rFonts w:ascii="Arial" w:cs="Arial" w:eastAsia="Arial" w:hAnsi="Arial"/>
          <w:sz w:val="13"/>
          <w:szCs w:val="13"/>
          <w:color w:val="FFFFFF"/>
        </w:rPr>
        <w:t>- Page 28 -</w:t>
      </w:r>
    </w:p>
    <w:p>
      <w:pPr>
        <w:sectPr>
          <w:pgSz w:w="11900" w:h="16838" w:orient="portrait"/>
          <w:cols w:equalWidth="0" w:num="1">
            <w:col w:w="10660"/>
          </w:cols>
          <w:pgMar w:left="560" w:top="529" w:right="679" w:bottom="1440" w:gutter="0" w:footer="0" w:header="0"/>
        </w:sectPr>
      </w:pPr>
    </w:p>
    <w:bookmarkStart w:id="31" w:name="page32"/>
    <w:bookmarkEnd w:id="31"/>
    <w:p>
      <w:pPr>
        <w:ind w:right="659"/>
        <w:spacing w:after="0" w:line="267" w:lineRule="auto"/>
        <w:rPr>
          <w:sz w:val="20"/>
          <w:szCs w:val="20"/>
          <w:color w:val="auto"/>
        </w:rPr>
      </w:pPr>
      <w:r>
        <w:rPr>
          <w:rFonts w:ascii="Arial" w:cs="Arial" w:eastAsia="Arial" w:hAnsi="Arial"/>
          <w:sz w:val="35"/>
          <w:szCs w:val="35"/>
          <w:color w:val="FFC000"/>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4565" cy="33020"/>
                    </a:xfrm>
                    <a:prstGeom prst="rect">
                      <a:avLst/>
                    </a:prstGeom>
                    <a:noFill/>
                  </pic:spPr>
                </pic:pic>
              </a:graphicData>
            </a:graphic>
          </wp:anchor>
        </w:drawing>
        <w:t>Orange UK Launch: Mobile Ecosystem Partners in Place to Maximize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-528320</wp:posOffset>
            </wp:positionV>
            <wp:extent cx="6510020" cy="4829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0020" cy="482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FFFFFF"/>
        </w:rPr>
        <w:t>- Page 29 -</w:t>
      </w:r>
    </w:p>
    <w:p>
      <w:pPr>
        <w:sectPr>
          <w:pgSz w:w="11900" w:h="16838" w:orient="portrait"/>
          <w:cols w:equalWidth="0" w:num="1">
            <w:col w:w="9899"/>
          </w:cols>
          <w:pgMar w:left="560" w:top="301" w:right="1440" w:bottom="1440" w:gutter="0" w:footer="0" w:header="0"/>
        </w:sectPr>
      </w:pPr>
    </w:p>
    <w:bookmarkStart w:id="32" w:name="page33"/>
    <w:bookmarkEnd w:id="32"/>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Vringo Platform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30 -</w:t>
      </w:r>
    </w:p>
    <w:p>
      <w:pPr>
        <w:sectPr>
          <w:pgSz w:w="11900" w:h="16838" w:orient="portrait"/>
          <w:cols w:equalWidth="0" w:num="1">
            <w:col w:w="9899"/>
          </w:cols>
          <w:pgMar w:left="560" w:top="529" w:right="1440" w:bottom="1440" w:gutter="0" w:footer="0" w:header="0"/>
        </w:sectPr>
      </w:pPr>
    </w:p>
    <w:bookmarkStart w:id="33" w:name="page34"/>
    <w:bookmarkEnd w:id="33"/>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Vringo LOI for Asset Purchase of m-Wise (OTC.BB: MWIS)</w:t>
      </w:r>
    </w:p>
    <w:p>
      <w:pPr>
        <w:spacing w:after="0" w:line="380" w:lineRule="exact"/>
        <w:rPr>
          <w:sz w:val="20"/>
          <w:szCs w:val="20"/>
          <w:color w:val="auto"/>
        </w:rPr>
      </w:pPr>
    </w:p>
    <w:p>
      <w:pPr>
        <w:ind w:left="260" w:hanging="253"/>
        <w:spacing w:after="0" w:line="294" w:lineRule="auto"/>
        <w:tabs>
          <w:tab w:leader="none" w:pos="260" w:val="left"/>
        </w:tabs>
        <w:numPr>
          <w:ilvl w:val="0"/>
          <w:numId w:val="22"/>
        </w:numPr>
        <w:rPr>
          <w:rFonts w:ascii="Arial" w:cs="Arial" w:eastAsia="Arial" w:hAnsi="Arial"/>
          <w:sz w:val="26"/>
          <w:szCs w:val="26"/>
          <w:color w:val="auto"/>
        </w:rPr>
      </w:pPr>
      <w:r>
        <w:rPr>
          <w:rFonts w:ascii="Arial" w:cs="Arial" w:eastAsia="Arial" w:hAnsi="Arial"/>
          <w:sz w:val="31"/>
          <w:szCs w:val="31"/>
          <w:b w:val="1"/>
          <w:bCs w:val="1"/>
          <w:color w:val="auto"/>
        </w:rPr>
        <w:t>Vringo has announced the signing of a non-binding Letter of Intent (“LOI”) that sets forth terms for asset purchase of m-Wise, Inc.</w:t>
      </w:r>
    </w:p>
    <w:p>
      <w:pPr>
        <w:spacing w:after="0" w:line="54" w:lineRule="exact"/>
        <w:rPr>
          <w:rFonts w:ascii="Arial" w:cs="Arial" w:eastAsia="Arial" w:hAnsi="Arial"/>
          <w:sz w:val="26"/>
          <w:szCs w:val="26"/>
          <w:color w:val="auto"/>
        </w:rPr>
      </w:pPr>
    </w:p>
    <w:p>
      <w:pPr>
        <w:ind w:left="260" w:right="180" w:hanging="253"/>
        <w:spacing w:after="0" w:line="287" w:lineRule="auto"/>
        <w:tabs>
          <w:tab w:leader="none" w:pos="260" w:val="left"/>
        </w:tabs>
        <w:numPr>
          <w:ilvl w:val="0"/>
          <w:numId w:val="22"/>
        </w:numPr>
        <w:rPr>
          <w:rFonts w:ascii="Arial" w:cs="Arial" w:eastAsia="Arial" w:hAnsi="Arial"/>
          <w:sz w:val="26"/>
          <w:szCs w:val="26"/>
          <w:color w:val="auto"/>
        </w:rPr>
      </w:pPr>
      <w:r>
        <w:rPr>
          <w:rFonts w:ascii="Arial" w:cs="Arial" w:eastAsia="Arial" w:hAnsi="Arial"/>
          <w:sz w:val="31"/>
          <w:szCs w:val="31"/>
          <w:b w:val="1"/>
          <w:bCs w:val="1"/>
          <w:color w:val="auto"/>
        </w:rPr>
        <w:t>Transaction is contingent on definitive agreement, approval of respective Boards and shareholders, and regulatory approval.</w:t>
      </w:r>
    </w:p>
    <w:p>
      <w:pPr>
        <w:spacing w:after="0" w:line="64" w:lineRule="exact"/>
        <w:rPr>
          <w:rFonts w:ascii="Arial" w:cs="Arial" w:eastAsia="Arial" w:hAnsi="Arial"/>
          <w:sz w:val="26"/>
          <w:szCs w:val="26"/>
          <w:color w:val="auto"/>
        </w:rPr>
      </w:pPr>
    </w:p>
    <w:p>
      <w:pPr>
        <w:ind w:left="260" w:right="760" w:hanging="253"/>
        <w:spacing w:after="0" w:line="269" w:lineRule="auto"/>
        <w:tabs>
          <w:tab w:leader="none" w:pos="260" w:val="left"/>
        </w:tabs>
        <w:numPr>
          <w:ilvl w:val="0"/>
          <w:numId w:val="22"/>
        </w:numPr>
        <w:rPr>
          <w:rFonts w:ascii="Arial" w:cs="Arial" w:eastAsia="Arial" w:hAnsi="Arial"/>
          <w:sz w:val="26"/>
          <w:szCs w:val="26"/>
          <w:color w:val="auto"/>
        </w:rPr>
      </w:pPr>
      <w:r>
        <w:rPr>
          <w:rFonts w:ascii="Arial" w:cs="Arial" w:eastAsia="Arial" w:hAnsi="Arial"/>
          <w:sz w:val="31"/>
          <w:szCs w:val="31"/>
          <w:b w:val="1"/>
          <w:bCs w:val="1"/>
          <w:color w:val="auto"/>
        </w:rPr>
        <w:t>m-Wise provides a mobile content management, delivery and monetization platform used by major suppliers of mobile content and services</w:t>
      </w:r>
    </w:p>
    <w:p>
      <w:pPr>
        <w:spacing w:after="0" w:line="102" w:lineRule="exact"/>
        <w:rPr>
          <w:rFonts w:ascii="Arial" w:cs="Arial" w:eastAsia="Arial" w:hAnsi="Arial"/>
          <w:sz w:val="26"/>
          <w:szCs w:val="26"/>
          <w:color w:val="auto"/>
        </w:rPr>
      </w:pPr>
    </w:p>
    <w:p>
      <w:pPr>
        <w:ind w:left="260" w:right="580" w:hanging="253"/>
        <w:spacing w:after="0" w:line="304" w:lineRule="auto"/>
        <w:tabs>
          <w:tab w:leader="none" w:pos="260" w:val="left"/>
        </w:tabs>
        <w:numPr>
          <w:ilvl w:val="0"/>
          <w:numId w:val="22"/>
        </w:numPr>
        <w:rPr>
          <w:rFonts w:ascii="Arial" w:cs="Arial" w:eastAsia="Arial" w:hAnsi="Arial"/>
          <w:sz w:val="25"/>
          <w:szCs w:val="25"/>
          <w:color w:val="auto"/>
        </w:rPr>
      </w:pPr>
      <w:r>
        <w:rPr>
          <w:rFonts w:ascii="Arial" w:cs="Arial" w:eastAsia="Arial" w:hAnsi="Arial"/>
          <w:sz w:val="30"/>
          <w:szCs w:val="30"/>
          <w:b w:val="1"/>
          <w:bCs w:val="1"/>
          <w:color w:val="auto"/>
        </w:rPr>
        <w:t>m-Wise platform is used for over 3 M daily mobile service transactions and has supported over 1 B such transactions cumulatively</w:t>
      </w:r>
    </w:p>
    <w:p>
      <w:pPr>
        <w:spacing w:after="0" w:line="43" w:lineRule="exact"/>
        <w:rPr>
          <w:rFonts w:ascii="Arial" w:cs="Arial" w:eastAsia="Arial" w:hAnsi="Arial"/>
          <w:sz w:val="25"/>
          <w:szCs w:val="25"/>
          <w:color w:val="auto"/>
        </w:rPr>
      </w:pPr>
    </w:p>
    <w:p>
      <w:pPr>
        <w:ind w:left="260" w:hanging="253"/>
        <w:spacing w:after="0"/>
        <w:tabs>
          <w:tab w:leader="none" w:pos="260" w:val="left"/>
        </w:tabs>
        <w:numPr>
          <w:ilvl w:val="0"/>
          <w:numId w:val="22"/>
        </w:numPr>
        <w:rPr>
          <w:rFonts w:ascii="Arial" w:cs="Arial" w:eastAsia="Arial" w:hAnsi="Arial"/>
          <w:sz w:val="26"/>
          <w:szCs w:val="26"/>
          <w:color w:val="auto"/>
        </w:rPr>
      </w:pPr>
      <w:r>
        <w:rPr>
          <w:rFonts w:ascii="Arial" w:cs="Arial" w:eastAsia="Arial" w:hAnsi="Arial"/>
          <w:sz w:val="31"/>
          <w:szCs w:val="31"/>
          <w:b w:val="1"/>
          <w:bCs w:val="1"/>
          <w:color w:val="auto"/>
        </w:rPr>
        <w:t>Nine months 2010 reported m-Wise revenue was $2.1 M</w:t>
      </w:r>
    </w:p>
    <w:p>
      <w:pPr>
        <w:spacing w:after="0" w:line="187" w:lineRule="exact"/>
        <w:rPr>
          <w:rFonts w:ascii="Arial" w:cs="Arial" w:eastAsia="Arial" w:hAnsi="Arial"/>
          <w:sz w:val="26"/>
          <w:szCs w:val="26"/>
          <w:color w:val="auto"/>
        </w:rPr>
      </w:pPr>
    </w:p>
    <w:p>
      <w:pPr>
        <w:ind w:left="260" w:right="300" w:hanging="253"/>
        <w:spacing w:after="0" w:line="265" w:lineRule="auto"/>
        <w:tabs>
          <w:tab w:leader="none" w:pos="260" w:val="left"/>
        </w:tabs>
        <w:numPr>
          <w:ilvl w:val="0"/>
          <w:numId w:val="22"/>
        </w:numPr>
        <w:rPr>
          <w:rFonts w:ascii="Arial" w:cs="Arial" w:eastAsia="Arial" w:hAnsi="Arial"/>
          <w:sz w:val="26"/>
          <w:szCs w:val="26"/>
          <w:color w:val="auto"/>
        </w:rPr>
      </w:pPr>
      <w:r>
        <w:rPr>
          <w:rFonts w:ascii="Arial" w:cs="Arial" w:eastAsia="Arial" w:hAnsi="Arial"/>
          <w:sz w:val="31"/>
          <w:szCs w:val="31"/>
          <w:b w:val="1"/>
          <w:bCs w:val="1"/>
          <w:color w:val="auto"/>
        </w:rPr>
        <w:t>Vringo will provide m-Wise with 1,900,000 shares, a management retention option of 500 K shares, cover $615 K expenses over two years and assume certain other liabilities of m-Wise , and provide a $325 K promissory note convertible into 200 K shares</w:t>
      </w:r>
    </w:p>
    <w:p>
      <w:pPr>
        <w:spacing w:after="0" w:line="249" w:lineRule="exact"/>
        <w:rPr>
          <w:rFonts w:ascii="Arial" w:cs="Arial" w:eastAsia="Arial" w:hAnsi="Arial"/>
          <w:sz w:val="26"/>
          <w:szCs w:val="26"/>
          <w:color w:val="auto"/>
        </w:rPr>
      </w:pPr>
    </w:p>
    <w:p>
      <w:pPr>
        <w:ind w:left="4680" w:hanging="75"/>
        <w:spacing w:after="0"/>
        <w:tabs>
          <w:tab w:leader="none" w:pos="4680" w:val="left"/>
        </w:tabs>
        <w:numPr>
          <w:ilvl w:val="1"/>
          <w:numId w:val="22"/>
        </w:numPr>
        <w:rPr>
          <w:rFonts w:ascii="Arial" w:cs="Arial" w:eastAsia="Arial" w:hAnsi="Arial"/>
          <w:sz w:val="13"/>
          <w:szCs w:val="13"/>
          <w:color w:val="FFFFFF"/>
        </w:rPr>
      </w:pPr>
      <w:r>
        <w:rPr>
          <w:rFonts w:ascii="Arial" w:cs="Arial" w:eastAsia="Arial" w:hAnsi="Arial"/>
          <w:sz w:val="13"/>
          <w:szCs w:val="13"/>
          <w:color w:val="FFFFFF"/>
        </w:rPr>
        <w:t>Page 31 -</w:t>
      </w:r>
    </w:p>
    <w:p>
      <w:pPr>
        <w:sectPr>
          <w:pgSz w:w="11900" w:h="16838" w:orient="portrait"/>
          <w:cols w:equalWidth="0" w:num="1">
            <w:col w:w="11200"/>
          </w:cols>
          <w:pgMar w:left="560" w:top="476" w:right="139" w:bottom="1440" w:gutter="0" w:footer="0" w:header="0"/>
        </w:sectPr>
      </w:pPr>
    </w:p>
    <w:bookmarkStart w:id="34" w:name="page35"/>
    <w:bookmarkEnd w:id="34"/>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Strategic and Market Rationale</w:t>
      </w:r>
    </w:p>
    <w:p>
      <w:pPr>
        <w:spacing w:after="0" w:line="220" w:lineRule="exact"/>
        <w:rPr>
          <w:sz w:val="20"/>
          <w:szCs w:val="20"/>
          <w:color w:val="auto"/>
        </w:rPr>
      </w:pPr>
    </w:p>
    <w:p>
      <w:pPr>
        <w:ind w:left="320" w:right="80" w:hanging="260"/>
        <w:spacing w:after="0" w:line="281"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9"/>
          <w:szCs w:val="29"/>
          <w:b w:val="1"/>
          <w:bCs w:val="1"/>
          <w:color w:val="auto"/>
        </w:rPr>
        <w:t>Mobile apps and services, in particular video and imaging, are fragmented and in need of consolidation</w:t>
      </w:r>
    </w:p>
    <w:p>
      <w:pPr>
        <w:spacing w:after="0" w:line="72" w:lineRule="exact"/>
        <w:rPr>
          <w:rFonts w:ascii="Arial" w:cs="Arial" w:eastAsia="Arial" w:hAnsi="Arial"/>
          <w:sz w:val="22"/>
          <w:szCs w:val="22"/>
          <w:color w:val="auto"/>
        </w:rPr>
      </w:pPr>
    </w:p>
    <w:p>
      <w:pPr>
        <w:ind w:left="320" w:hanging="260"/>
        <w:spacing w:after="0" w:line="263"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9"/>
          <w:szCs w:val="29"/>
          <w:b w:val="1"/>
          <w:bCs w:val="1"/>
          <w:color w:val="auto"/>
        </w:rPr>
        <w:t>Carriers, content owners and brands are seeking an end-to-end array of mobile turnkey services and want to buy these services from trusted suppliers due to lack of internal development resources</w:t>
      </w:r>
    </w:p>
    <w:p>
      <w:pPr>
        <w:spacing w:after="0" w:line="13" w:lineRule="exact"/>
        <w:rPr>
          <w:rFonts w:ascii="Arial" w:cs="Arial" w:eastAsia="Arial" w:hAnsi="Arial"/>
          <w:sz w:val="22"/>
          <w:szCs w:val="22"/>
          <w:color w:val="auto"/>
        </w:rPr>
      </w:pPr>
    </w:p>
    <w:p>
      <w:pPr>
        <w:ind w:left="320" w:right="400" w:hanging="260"/>
        <w:spacing w:after="0" w:line="276"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9"/>
          <w:szCs w:val="29"/>
          <w:b w:val="1"/>
          <w:bCs w:val="1"/>
          <w:color w:val="auto"/>
        </w:rPr>
        <w:t>Solutions are sought that include Server-side components, transport, client apps and wap properties</w:t>
      </w:r>
    </w:p>
    <w:p>
      <w:pPr>
        <w:spacing w:after="0" w:line="1" w:lineRule="exact"/>
        <w:rPr>
          <w:rFonts w:ascii="Arial" w:cs="Arial" w:eastAsia="Arial" w:hAnsi="Arial"/>
          <w:sz w:val="22"/>
          <w:szCs w:val="22"/>
          <w:color w:val="auto"/>
        </w:rPr>
      </w:pPr>
    </w:p>
    <w:p>
      <w:pPr>
        <w:ind w:left="320" w:right="560" w:hanging="260"/>
        <w:spacing w:after="0" w:line="276"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9"/>
          <w:szCs w:val="29"/>
          <w:b w:val="1"/>
          <w:bCs w:val="1"/>
          <w:color w:val="auto"/>
        </w:rPr>
        <w:t>Customers are focused on delivery of rich media services including video, imaging (pictures), music, social apps, etc.</w:t>
      </w:r>
    </w:p>
    <w:p>
      <w:pPr>
        <w:spacing w:after="0" w:line="1" w:lineRule="exact"/>
        <w:rPr>
          <w:rFonts w:ascii="Arial" w:cs="Arial" w:eastAsia="Arial" w:hAnsi="Arial"/>
          <w:sz w:val="22"/>
          <w:szCs w:val="22"/>
          <w:color w:val="auto"/>
        </w:rPr>
      </w:pPr>
    </w:p>
    <w:p>
      <w:pPr>
        <w:ind w:left="320" w:right="960" w:hanging="260"/>
        <w:spacing w:after="0" w:line="276"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9"/>
          <w:szCs w:val="29"/>
          <w:b w:val="1"/>
          <w:bCs w:val="1"/>
          <w:color w:val="auto"/>
        </w:rPr>
        <w:t>Traditional suppliers of these services have not moved effectively to the “cloud”or embraced the app revolution</w:t>
      </w:r>
    </w:p>
    <w:p>
      <w:pPr>
        <w:spacing w:after="0" w:line="1" w:lineRule="exact"/>
        <w:rPr>
          <w:rFonts w:ascii="Arial" w:cs="Arial" w:eastAsia="Arial" w:hAnsi="Arial"/>
          <w:sz w:val="22"/>
          <w:szCs w:val="22"/>
          <w:color w:val="auto"/>
        </w:rPr>
      </w:pPr>
    </w:p>
    <w:p>
      <w:pPr>
        <w:ind w:left="320" w:right="540" w:hanging="260"/>
        <w:spacing w:after="0" w:line="281"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9"/>
          <w:szCs w:val="29"/>
          <w:b w:val="1"/>
          <w:bCs w:val="1"/>
          <w:color w:val="auto"/>
        </w:rPr>
        <w:t>A company with strong server, transport, and application footprint will be a desirable partner for major customers</w:t>
      </w:r>
    </w:p>
    <w:p>
      <w:pPr>
        <w:spacing w:after="0" w:line="72" w:lineRule="exact"/>
        <w:rPr>
          <w:rFonts w:ascii="Arial" w:cs="Arial" w:eastAsia="Arial" w:hAnsi="Arial"/>
          <w:sz w:val="22"/>
          <w:szCs w:val="22"/>
          <w:color w:val="auto"/>
        </w:rPr>
      </w:pPr>
    </w:p>
    <w:p>
      <w:pPr>
        <w:ind w:left="320" w:right="2340" w:hanging="260"/>
        <w:spacing w:after="0" w:line="281"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9"/>
          <w:szCs w:val="29"/>
          <w:b w:val="1"/>
          <w:bCs w:val="1"/>
          <w:color w:val="auto"/>
        </w:rPr>
        <w:t>Servicesandcarriergroupsarelargelyglobal—onecanleverageinitial successes elsewhere</w:t>
      </w:r>
    </w:p>
    <w:p>
      <w:pPr>
        <w:spacing w:after="0" w:line="72" w:lineRule="exact"/>
        <w:rPr>
          <w:rFonts w:ascii="Arial" w:cs="Arial" w:eastAsia="Arial" w:hAnsi="Arial"/>
          <w:sz w:val="22"/>
          <w:szCs w:val="22"/>
          <w:color w:val="auto"/>
        </w:rPr>
      </w:pPr>
    </w:p>
    <w:p>
      <w:pPr>
        <w:ind w:left="320" w:hanging="260"/>
        <w:spacing w:after="0"/>
        <w:tabs>
          <w:tab w:leader="none" w:pos="320" w:val="left"/>
        </w:tabs>
        <w:numPr>
          <w:ilvl w:val="0"/>
          <w:numId w:val="23"/>
        </w:numPr>
        <w:rPr>
          <w:rFonts w:ascii="Arial" w:cs="Arial" w:eastAsia="Arial" w:hAnsi="Arial"/>
          <w:sz w:val="22"/>
          <w:szCs w:val="22"/>
          <w:color w:val="auto"/>
        </w:rPr>
      </w:pPr>
      <w:r>
        <w:rPr>
          <w:rFonts w:ascii="Arial" w:cs="Arial" w:eastAsia="Arial" w:hAnsi="Arial"/>
          <w:sz w:val="29"/>
          <w:szCs w:val="29"/>
          <w:b w:val="1"/>
          <w:bCs w:val="1"/>
          <w:color w:val="auto"/>
        </w:rPr>
        <w:t>We have already seen validation of this in initial discussions with customers</w:t>
      </w:r>
    </w:p>
    <w:p>
      <w:pPr>
        <w:spacing w:after="0" w:line="284" w:lineRule="exact"/>
        <w:rPr>
          <w:rFonts w:ascii="Arial" w:cs="Arial" w:eastAsia="Arial" w:hAnsi="Arial"/>
          <w:sz w:val="22"/>
          <w:szCs w:val="22"/>
          <w:color w:val="auto"/>
        </w:rPr>
      </w:pPr>
    </w:p>
    <w:p>
      <w:pPr>
        <w:ind w:left="4680" w:hanging="75"/>
        <w:spacing w:after="0"/>
        <w:tabs>
          <w:tab w:leader="none" w:pos="4680" w:val="left"/>
        </w:tabs>
        <w:numPr>
          <w:ilvl w:val="1"/>
          <w:numId w:val="23"/>
        </w:numPr>
        <w:rPr>
          <w:rFonts w:ascii="Arial" w:cs="Arial" w:eastAsia="Arial" w:hAnsi="Arial"/>
          <w:sz w:val="13"/>
          <w:szCs w:val="13"/>
          <w:color w:val="FFFFFF"/>
        </w:rPr>
      </w:pPr>
      <w:r>
        <w:rPr>
          <w:rFonts w:ascii="Arial" w:cs="Arial" w:eastAsia="Arial" w:hAnsi="Arial"/>
          <w:sz w:val="13"/>
          <w:szCs w:val="13"/>
          <w:color w:val="FFFFFF"/>
        </w:rPr>
        <w:t>Page 32 -</w:t>
      </w:r>
    </w:p>
    <w:p>
      <w:pPr>
        <w:sectPr>
          <w:pgSz w:w="11900" w:h="16838" w:orient="portrait"/>
          <w:cols w:equalWidth="0" w:num="1">
            <w:col w:w="11140"/>
          </w:cols>
          <w:pgMar w:left="560" w:top="476" w:right="199" w:bottom="1440" w:gutter="0" w:footer="0" w:header="0"/>
        </w:sectPr>
      </w:pPr>
    </w:p>
    <w:bookmarkStart w:id="35" w:name="page36"/>
    <w:bookmarkEnd w:id="35"/>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m-Wise: why?</w:t>
      </w:r>
    </w:p>
    <w:p>
      <w:pPr>
        <w:spacing w:after="0" w:line="167" w:lineRule="exact"/>
        <w:rPr>
          <w:sz w:val="20"/>
          <w:szCs w:val="20"/>
          <w:color w:val="auto"/>
        </w:rPr>
      </w:pPr>
    </w:p>
    <w:p>
      <w:pPr>
        <w:ind w:left="440" w:right="400" w:hanging="380"/>
        <w:spacing w:after="0" w:line="280" w:lineRule="auto"/>
        <w:tabs>
          <w:tab w:leader="none" w:pos="440" w:val="left"/>
        </w:tabs>
        <w:numPr>
          <w:ilvl w:val="0"/>
          <w:numId w:val="24"/>
        </w:numPr>
        <w:rPr>
          <w:rFonts w:ascii="Arial" w:cs="Arial" w:eastAsia="Arial" w:hAnsi="Arial"/>
          <w:sz w:val="26"/>
          <w:szCs w:val="26"/>
          <w:color w:val="auto"/>
        </w:rPr>
      </w:pPr>
      <w:r>
        <w:rPr>
          <w:rFonts w:ascii="Arial" w:cs="Arial" w:eastAsia="Arial" w:hAnsi="Arial"/>
          <w:sz w:val="31"/>
          <w:szCs w:val="31"/>
          <w:b w:val="1"/>
          <w:bCs w:val="1"/>
          <w:color w:val="auto"/>
        </w:rPr>
        <w:t>Powerful platform that will allow us to offer cloud based end-to-end mobile services and solutions to our customers</w:t>
      </w:r>
    </w:p>
    <w:p>
      <w:pPr>
        <w:ind w:left="440" w:right="140" w:hanging="380"/>
        <w:spacing w:after="0" w:line="283" w:lineRule="auto"/>
        <w:tabs>
          <w:tab w:leader="none" w:pos="440" w:val="left"/>
        </w:tabs>
        <w:numPr>
          <w:ilvl w:val="0"/>
          <w:numId w:val="24"/>
        </w:numPr>
        <w:rPr>
          <w:rFonts w:ascii="Arial" w:cs="Arial" w:eastAsia="Arial" w:hAnsi="Arial"/>
          <w:sz w:val="26"/>
          <w:szCs w:val="26"/>
          <w:color w:val="auto"/>
        </w:rPr>
      </w:pPr>
      <w:r>
        <w:rPr>
          <w:rFonts w:ascii="Arial" w:cs="Arial" w:eastAsia="Arial" w:hAnsi="Arial"/>
          <w:sz w:val="31"/>
          <w:szCs w:val="31"/>
          <w:b w:val="1"/>
          <w:bCs w:val="1"/>
          <w:color w:val="auto"/>
        </w:rPr>
        <w:t>Utilizing Vringo’s public currency will allow us to grow faster through acquisitions like m-Wise</w:t>
      </w:r>
    </w:p>
    <w:p>
      <w:pPr>
        <w:spacing w:after="0" w:line="2" w:lineRule="exact"/>
        <w:rPr>
          <w:rFonts w:ascii="Arial" w:cs="Arial" w:eastAsia="Arial" w:hAnsi="Arial"/>
          <w:sz w:val="26"/>
          <w:szCs w:val="26"/>
          <w:color w:val="auto"/>
        </w:rPr>
      </w:pPr>
    </w:p>
    <w:p>
      <w:pPr>
        <w:ind w:left="440" w:hanging="380"/>
        <w:spacing w:after="0"/>
        <w:tabs>
          <w:tab w:leader="none" w:pos="440" w:val="left"/>
        </w:tabs>
        <w:numPr>
          <w:ilvl w:val="0"/>
          <w:numId w:val="24"/>
        </w:numPr>
        <w:rPr>
          <w:rFonts w:ascii="Arial" w:cs="Arial" w:eastAsia="Arial" w:hAnsi="Arial"/>
          <w:sz w:val="26"/>
          <w:szCs w:val="26"/>
          <w:color w:val="auto"/>
        </w:rPr>
      </w:pPr>
      <w:r>
        <w:rPr>
          <w:rFonts w:ascii="Arial" w:cs="Arial" w:eastAsia="Arial" w:hAnsi="Arial"/>
          <w:sz w:val="31"/>
          <w:szCs w:val="31"/>
          <w:b w:val="1"/>
          <w:bCs w:val="1"/>
          <w:color w:val="auto"/>
        </w:rPr>
        <w:t>Few pure play mobile companies with pedigree public listings</w:t>
      </w:r>
    </w:p>
    <w:p>
      <w:pPr>
        <w:spacing w:after="0" w:line="102" w:lineRule="exact"/>
        <w:rPr>
          <w:rFonts w:ascii="Arial" w:cs="Arial" w:eastAsia="Arial" w:hAnsi="Arial"/>
          <w:sz w:val="26"/>
          <w:szCs w:val="26"/>
          <w:color w:val="auto"/>
        </w:rPr>
      </w:pPr>
    </w:p>
    <w:p>
      <w:pPr>
        <w:ind w:left="440" w:hanging="380"/>
        <w:spacing w:after="0"/>
        <w:tabs>
          <w:tab w:leader="none" w:pos="440" w:val="left"/>
        </w:tabs>
        <w:numPr>
          <w:ilvl w:val="0"/>
          <w:numId w:val="24"/>
        </w:numPr>
        <w:rPr>
          <w:rFonts w:ascii="Arial" w:cs="Arial" w:eastAsia="Arial" w:hAnsi="Arial"/>
          <w:sz w:val="26"/>
          <w:szCs w:val="26"/>
          <w:color w:val="auto"/>
        </w:rPr>
      </w:pPr>
      <w:r>
        <w:rPr>
          <w:rFonts w:ascii="Arial" w:cs="Arial" w:eastAsia="Arial" w:hAnsi="Arial"/>
          <w:sz w:val="31"/>
          <w:szCs w:val="31"/>
          <w:b w:val="1"/>
          <w:bCs w:val="1"/>
          <w:color w:val="auto"/>
        </w:rPr>
        <w:t>Strong Synergies:</w:t>
      </w:r>
    </w:p>
    <w:p>
      <w:pPr>
        <w:spacing w:after="0" w:line="102" w:lineRule="exact"/>
        <w:rPr>
          <w:rFonts w:ascii="Arial" w:cs="Arial" w:eastAsia="Arial" w:hAnsi="Arial"/>
          <w:sz w:val="26"/>
          <w:szCs w:val="26"/>
          <w:color w:val="auto"/>
        </w:rPr>
      </w:pPr>
    </w:p>
    <w:p>
      <w:pPr>
        <w:ind w:left="760" w:right="1060" w:hanging="316"/>
        <w:spacing w:after="0" w:line="280" w:lineRule="auto"/>
        <w:tabs>
          <w:tab w:leader="none" w:pos="760" w:val="left"/>
        </w:tabs>
        <w:numPr>
          <w:ilvl w:val="1"/>
          <w:numId w:val="24"/>
        </w:numPr>
        <w:rPr>
          <w:rFonts w:ascii="Arial" w:cs="Arial" w:eastAsia="Arial" w:hAnsi="Arial"/>
          <w:sz w:val="26"/>
          <w:szCs w:val="26"/>
          <w:color w:val="auto"/>
        </w:rPr>
      </w:pPr>
      <w:r>
        <w:rPr>
          <w:rFonts w:ascii="Arial" w:cs="Arial" w:eastAsia="Arial" w:hAnsi="Arial"/>
          <w:sz w:val="31"/>
          <w:szCs w:val="31"/>
          <w:b w:val="1"/>
          <w:bCs w:val="1"/>
          <w:color w:val="auto"/>
        </w:rPr>
        <w:t>Product Synergy: m-Wise back-end together with Vringo app expertise</w:t>
      </w:r>
    </w:p>
    <w:p>
      <w:pPr>
        <w:ind w:left="760" w:hanging="316"/>
        <w:spacing w:after="0" w:line="283" w:lineRule="auto"/>
        <w:tabs>
          <w:tab w:leader="none" w:pos="760" w:val="left"/>
        </w:tabs>
        <w:numPr>
          <w:ilvl w:val="1"/>
          <w:numId w:val="24"/>
        </w:numPr>
        <w:rPr>
          <w:rFonts w:ascii="Arial" w:cs="Arial" w:eastAsia="Arial" w:hAnsi="Arial"/>
          <w:sz w:val="26"/>
          <w:szCs w:val="26"/>
          <w:color w:val="auto"/>
        </w:rPr>
      </w:pPr>
      <w:r>
        <w:rPr>
          <w:rFonts w:ascii="Arial" w:cs="Arial" w:eastAsia="Arial" w:hAnsi="Arial"/>
          <w:sz w:val="31"/>
          <w:szCs w:val="31"/>
          <w:b w:val="1"/>
          <w:bCs w:val="1"/>
          <w:color w:val="auto"/>
        </w:rPr>
        <w:t>Customer Synergy: m-Wise has a good group of leading companies as customers</w:t>
      </w:r>
    </w:p>
    <w:p>
      <w:pPr>
        <w:spacing w:after="0" w:line="2" w:lineRule="exact"/>
        <w:rPr>
          <w:rFonts w:ascii="Arial" w:cs="Arial" w:eastAsia="Arial" w:hAnsi="Arial"/>
          <w:sz w:val="26"/>
          <w:szCs w:val="26"/>
          <w:color w:val="auto"/>
        </w:rPr>
      </w:pPr>
    </w:p>
    <w:p>
      <w:pPr>
        <w:ind w:left="760" w:hanging="316"/>
        <w:spacing w:after="0"/>
        <w:tabs>
          <w:tab w:leader="none" w:pos="760" w:val="left"/>
        </w:tabs>
        <w:numPr>
          <w:ilvl w:val="1"/>
          <w:numId w:val="24"/>
        </w:numPr>
        <w:rPr>
          <w:rFonts w:ascii="Arial" w:cs="Arial" w:eastAsia="Arial" w:hAnsi="Arial"/>
          <w:sz w:val="26"/>
          <w:szCs w:val="26"/>
          <w:color w:val="auto"/>
        </w:rPr>
      </w:pPr>
      <w:r>
        <w:rPr>
          <w:rFonts w:ascii="Arial" w:cs="Arial" w:eastAsia="Arial" w:hAnsi="Arial"/>
          <w:sz w:val="31"/>
          <w:szCs w:val="31"/>
          <w:b w:val="1"/>
          <w:bCs w:val="1"/>
          <w:color w:val="auto"/>
        </w:rPr>
        <w:t>Geographic Synergy: Focus on complimentary territories</w:t>
      </w:r>
    </w:p>
    <w:p>
      <w:pPr>
        <w:spacing w:after="0" w:line="102" w:lineRule="exact"/>
        <w:rPr>
          <w:rFonts w:ascii="Arial" w:cs="Arial" w:eastAsia="Arial" w:hAnsi="Arial"/>
          <w:sz w:val="26"/>
          <w:szCs w:val="26"/>
          <w:color w:val="auto"/>
        </w:rPr>
      </w:pPr>
    </w:p>
    <w:p>
      <w:pPr>
        <w:ind w:left="760" w:right="240" w:hanging="316"/>
        <w:spacing w:after="0" w:line="280" w:lineRule="auto"/>
        <w:tabs>
          <w:tab w:leader="none" w:pos="760" w:val="left"/>
        </w:tabs>
        <w:numPr>
          <w:ilvl w:val="1"/>
          <w:numId w:val="24"/>
        </w:numPr>
        <w:rPr>
          <w:rFonts w:ascii="Arial" w:cs="Arial" w:eastAsia="Arial" w:hAnsi="Arial"/>
          <w:sz w:val="26"/>
          <w:szCs w:val="26"/>
          <w:color w:val="auto"/>
        </w:rPr>
      </w:pPr>
      <w:r>
        <w:rPr>
          <w:rFonts w:ascii="Arial" w:cs="Arial" w:eastAsia="Arial" w:hAnsi="Arial"/>
          <w:sz w:val="31"/>
          <w:szCs w:val="31"/>
          <w:b w:val="1"/>
          <w:bCs w:val="1"/>
          <w:color w:val="auto"/>
        </w:rPr>
        <w:t>Revenue and Margin contribution: m-Wise will immediately impact our revenue and help us move towards profitability</w:t>
      </w:r>
    </w:p>
    <w:p>
      <w:pPr>
        <w:ind w:left="760" w:right="740" w:hanging="316"/>
        <w:spacing w:after="0" w:line="287" w:lineRule="auto"/>
        <w:tabs>
          <w:tab w:leader="none" w:pos="760" w:val="left"/>
        </w:tabs>
        <w:numPr>
          <w:ilvl w:val="1"/>
          <w:numId w:val="24"/>
        </w:numPr>
        <w:rPr>
          <w:rFonts w:ascii="Arial" w:cs="Arial" w:eastAsia="Arial" w:hAnsi="Arial"/>
          <w:sz w:val="26"/>
          <w:szCs w:val="26"/>
          <w:color w:val="auto"/>
        </w:rPr>
      </w:pPr>
      <w:r>
        <w:rPr>
          <w:rFonts w:ascii="Arial" w:cs="Arial" w:eastAsia="Arial" w:hAnsi="Arial"/>
          <w:sz w:val="31"/>
          <w:szCs w:val="31"/>
          <w:b w:val="1"/>
          <w:bCs w:val="1"/>
          <w:color w:val="auto"/>
        </w:rPr>
        <w:t>m-Wise platform is used to host app stores which is a frequent carrier request</w:t>
      </w:r>
    </w:p>
    <w:p>
      <w:pPr>
        <w:spacing w:after="0" w:line="234" w:lineRule="exact"/>
        <w:rPr>
          <w:rFonts w:ascii="Arial" w:cs="Arial" w:eastAsia="Arial" w:hAnsi="Arial"/>
          <w:sz w:val="26"/>
          <w:szCs w:val="26"/>
          <w:color w:val="auto"/>
        </w:rPr>
      </w:pPr>
    </w:p>
    <w:p>
      <w:pPr>
        <w:ind w:left="4680" w:hanging="75"/>
        <w:spacing w:after="0"/>
        <w:tabs>
          <w:tab w:leader="none" w:pos="4680" w:val="left"/>
        </w:tabs>
        <w:numPr>
          <w:ilvl w:val="2"/>
          <w:numId w:val="24"/>
        </w:numPr>
        <w:rPr>
          <w:rFonts w:ascii="Arial" w:cs="Arial" w:eastAsia="Arial" w:hAnsi="Arial"/>
          <w:sz w:val="13"/>
          <w:szCs w:val="13"/>
          <w:color w:val="FFFFFF"/>
        </w:rPr>
      </w:pPr>
      <w:r>
        <w:rPr>
          <w:rFonts w:ascii="Arial" w:cs="Arial" w:eastAsia="Arial" w:hAnsi="Arial"/>
          <w:sz w:val="13"/>
          <w:szCs w:val="13"/>
          <w:color w:val="FFFFFF"/>
        </w:rPr>
        <w:t>Page 33 -</w:t>
      </w:r>
    </w:p>
    <w:p>
      <w:pPr>
        <w:sectPr>
          <w:pgSz w:w="11900" w:h="16838" w:orient="portrait"/>
          <w:cols w:equalWidth="0" w:num="1">
            <w:col w:w="10740"/>
          </w:cols>
          <w:pgMar w:left="560" w:top="476" w:right="599" w:bottom="1440" w:gutter="0" w:footer="0" w:header="0"/>
        </w:sectPr>
      </w:pPr>
    </w:p>
    <w:bookmarkStart w:id="36" w:name="page37"/>
    <w:bookmarkEnd w:id="36"/>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m-Wise Client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34 -</w:t>
      </w:r>
    </w:p>
    <w:p>
      <w:pPr>
        <w:sectPr>
          <w:pgSz w:w="11900" w:h="16838" w:orient="portrait"/>
          <w:cols w:equalWidth="0" w:num="1">
            <w:col w:w="9899"/>
          </w:cols>
          <w:pgMar w:left="560" w:top="486" w:right="1440" w:bottom="1440" w:gutter="0" w:footer="0" w:header="0"/>
        </w:sectPr>
      </w:pPr>
    </w:p>
    <w:bookmarkStart w:id="37" w:name="page38"/>
    <w:bookmarkEnd w:id="37"/>
    <w:p>
      <w:pPr>
        <w:ind w:left="20"/>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Signed Revenue Deals: Initial Basis for Growth</w:t>
      </w:r>
    </w:p>
    <w:p>
      <w:pPr>
        <w:spacing w:after="0" w:line="360" w:lineRule="exact"/>
        <w:rPr>
          <w:sz w:val="20"/>
          <w:szCs w:val="20"/>
          <w:color w:val="auto"/>
        </w:rPr>
      </w:pPr>
    </w:p>
    <w:p>
      <w:pPr>
        <w:ind w:left="1780" w:right="219" w:hanging="596"/>
        <w:spacing w:after="0" w:line="311" w:lineRule="auto"/>
        <w:rPr>
          <w:sz w:val="20"/>
          <w:szCs w:val="20"/>
          <w:color w:val="auto"/>
        </w:rPr>
      </w:pPr>
      <w:r>
        <w:rPr>
          <w:rFonts w:ascii="Arial" w:cs="Arial" w:eastAsia="Arial" w:hAnsi="Arial"/>
          <w:sz w:val="25"/>
          <w:szCs w:val="25"/>
          <w:b w:val="1"/>
          <w:bCs w:val="1"/>
          <w:color w:val="auto"/>
        </w:rPr>
        <w:t>Markets in which we have launched or will launch our service through carriershaveseveralhundredmillionmobilesubscribers</w:t>
      </w:r>
      <w:r>
        <w:rPr>
          <w:rFonts w:ascii="Arial" w:cs="Arial" w:eastAsia="Arial" w:hAnsi="Arial"/>
          <w:sz w:val="33"/>
          <w:szCs w:val="33"/>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620" w:type="dxa"/>
            <w:vAlign w:val="bottom"/>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26"/>
                <w:szCs w:val="26"/>
                <w:b w:val="1"/>
                <w:bCs w:val="1"/>
                <w:color w:val="auto"/>
                <w:w w:val="98"/>
              </w:rPr>
              <w:t>Currently in discussions with several other carriers pursuing</w:t>
            </w:r>
          </w:p>
        </w:tc>
      </w:tr>
      <w:tr>
        <w:trPr>
          <w:trHeight w:val="362"/>
        </w:trPr>
        <w:tc>
          <w:tcPr>
            <w:tcW w:w="1620" w:type="dxa"/>
            <w:vAlign w:val="bottom"/>
          </w:tcPr>
          <w:p>
            <w:pPr>
              <w:spacing w:after="0"/>
              <w:rPr>
                <w:sz w:val="20"/>
                <w:szCs w:val="20"/>
                <w:color w:val="auto"/>
              </w:rPr>
            </w:pPr>
            <w:r>
              <w:rPr>
                <w:rFonts w:ascii="Arial" w:cs="Arial" w:eastAsia="Arial" w:hAnsi="Arial"/>
                <w:sz w:val="12"/>
                <w:szCs w:val="12"/>
                <w:b w:val="1"/>
                <w:bCs w:val="1"/>
                <w:color w:val="auto"/>
              </w:rPr>
              <w:t>(1) Source: United Nations</w:t>
            </w:r>
          </w:p>
        </w:tc>
        <w:tc>
          <w:tcPr>
            <w:tcW w:w="7500" w:type="dxa"/>
            <w:vAlign w:val="bottom"/>
          </w:tcPr>
          <w:p>
            <w:pPr>
              <w:jc w:val="center"/>
              <w:ind w:right="733"/>
              <w:spacing w:after="0"/>
              <w:rPr>
                <w:sz w:val="20"/>
                <w:szCs w:val="20"/>
                <w:color w:val="auto"/>
              </w:rPr>
            </w:pPr>
            <w:r>
              <w:rPr>
                <w:rFonts w:ascii="Arial" w:cs="Arial" w:eastAsia="Arial" w:hAnsi="Arial"/>
                <w:sz w:val="26"/>
                <w:szCs w:val="26"/>
                <w:b w:val="1"/>
                <w:bCs w:val="1"/>
                <w:color w:val="auto"/>
                <w:w w:val="93"/>
              </w:rPr>
              <w:t>additional agreements over the next2412months-</w:t>
            </w:r>
          </w:p>
        </w:tc>
      </w:tr>
      <w:tr>
        <w:trPr>
          <w:trHeight w:val="420"/>
        </w:trPr>
        <w:tc>
          <w:tcPr>
            <w:tcW w:w="1620" w:type="dxa"/>
            <w:vAlign w:val="bottom"/>
          </w:tcPr>
          <w:p>
            <w:pPr>
              <w:spacing w:after="0"/>
              <w:rPr>
                <w:sz w:val="24"/>
                <w:szCs w:val="24"/>
                <w:color w:val="auto"/>
              </w:rPr>
            </w:pPr>
          </w:p>
        </w:tc>
        <w:tc>
          <w:tcPr>
            <w:tcW w:w="7500" w:type="dxa"/>
            <w:vAlign w:val="bottom"/>
          </w:tcPr>
          <w:p>
            <w:pPr>
              <w:jc w:val="center"/>
              <w:ind w:right="793"/>
              <w:spacing w:after="0"/>
              <w:rPr>
                <w:sz w:val="20"/>
                <w:szCs w:val="20"/>
                <w:color w:val="auto"/>
              </w:rPr>
            </w:pPr>
            <w:r>
              <w:rPr>
                <w:rFonts w:ascii="Arial" w:cs="Arial" w:eastAsia="Arial" w:hAnsi="Arial"/>
                <w:sz w:val="13"/>
                <w:szCs w:val="13"/>
                <w:color w:val="FFFFFF"/>
                <w:w w:val="99"/>
              </w:rPr>
              <w:t>- Page 35 -</w:t>
            </w:r>
          </w:p>
        </w:tc>
      </w:tr>
    </w:tbl>
    <w:p>
      <w:pPr>
        <w:sectPr>
          <w:pgSz w:w="11900" w:h="16838" w:orient="portrait"/>
          <w:cols w:equalWidth="0" w:num="1">
            <w:col w:w="9899"/>
          </w:cols>
          <w:pgMar w:left="560" w:top="465" w:right="1440" w:bottom="1440" w:gutter="0" w:footer="0" w:header="0"/>
        </w:sectPr>
      </w:pPr>
    </w:p>
    <w:bookmarkStart w:id="38" w:name="page39"/>
    <w:bookmarkEnd w:id="38"/>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m-Wise Mobile Content Clients</w:t>
      </w:r>
    </w:p>
    <w:p>
      <w:pPr>
        <w:sectPr>
          <w:pgSz w:w="11900" w:h="16838" w:orient="portrait"/>
          <w:cols w:equalWidth="0" w:num="1">
            <w:col w:w="9899"/>
          </w:cols>
          <w:pgMar w:left="56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36 -</w:t>
      </w:r>
    </w:p>
    <w:p>
      <w:pPr>
        <w:sectPr>
          <w:pgSz w:w="11900" w:h="16838" w:orient="portrait"/>
          <w:cols w:equalWidth="0" w:num="1">
            <w:col w:w="9899"/>
          </w:cols>
          <w:pgMar w:left="560" w:top="486"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m-Wise Platform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37 -</w:t>
      </w:r>
    </w:p>
    <w:p>
      <w:pPr>
        <w:sectPr>
          <w:pgSz w:w="11900" w:h="16838" w:orient="portrait"/>
          <w:cols w:equalWidth="0" w:num="1">
            <w:col w:w="9899"/>
          </w:cols>
          <w:pgMar w:left="560" w:top="486" w:right="1440" w:bottom="1440" w:gutter="0" w:footer="0" w:header="0"/>
        </w:sectPr>
      </w:pPr>
    </w:p>
    <w:bookmarkStart w:id="40" w:name="page41"/>
    <w:bookmarkEnd w:id="40"/>
    <w:p>
      <w:pPr>
        <w:ind w:left="20"/>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m-Wise Platform Overview</w:t>
      </w:r>
    </w:p>
    <w:p>
      <w:pPr>
        <w:spacing w:after="0" w:line="208"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One-Stop-Shop for Online &amp; Mobile Content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FFFFFF"/>
        </w:rPr>
        <w:t>- Page 38 -</w:t>
      </w:r>
    </w:p>
    <w:p>
      <w:pPr>
        <w:sectPr>
          <w:pgSz w:w="11900" w:h="16838" w:orient="portrait"/>
          <w:cols w:equalWidth="0" w:num="1">
            <w:col w:w="9919"/>
          </w:cols>
          <w:pgMar w:left="540" w:top="486" w:right="1440" w:bottom="1440" w:gutter="0" w:footer="0" w:header="0"/>
        </w:sectPr>
      </w:pPr>
    </w:p>
    <w:bookmarkStart w:id="41" w:name="page42"/>
    <w:bookmarkEnd w:id="41"/>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MOMA Service Delivery Platform</w:t>
      </w:r>
    </w:p>
    <w:p>
      <w:pPr>
        <w:sectPr>
          <w:pgSz w:w="11900" w:h="16838" w:orient="portrait"/>
          <w:cols w:equalWidth="0" w:num="1">
            <w:col w:w="9899"/>
          </w:cols>
          <w:pgMar w:left="56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FFFFFF"/>
        </w:rPr>
        <w:t>- Page 39 -</w:t>
      </w:r>
    </w:p>
    <w:p>
      <w:pPr>
        <w:sectPr>
          <w:pgSz w:w="11900" w:h="16838" w:orient="portrait"/>
          <w:cols w:equalWidth="0" w:num="1">
            <w:col w:w="9899"/>
          </w:cols>
          <w:pgMar w:left="560" w:top="486"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The MOMA SDP Main– Functionality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35"/>
          <w:szCs w:val="35"/>
          <w:b w:val="1"/>
          <w:bCs w:val="1"/>
          <w:color w:val="3366CC"/>
        </w:rPr>
        <w:t>The MOMA Service Delivery Platform (SDP)</w:t>
      </w:r>
    </w:p>
    <w:p>
      <w:pPr>
        <w:spacing w:after="0" w:line="196" w:lineRule="exact"/>
        <w:rPr>
          <w:sz w:val="20"/>
          <w:szCs w:val="20"/>
          <w:color w:val="auto"/>
        </w:rPr>
      </w:pPr>
    </w:p>
    <w:p>
      <w:pPr>
        <w:ind w:left="340" w:right="440" w:hanging="195"/>
        <w:spacing w:after="0" w:line="247" w:lineRule="auto"/>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Multi-territory, multi-country, multi-currency, multi-lingual, multi-timezone, cross network platform messaging and billing</w:t>
      </w:r>
    </w:p>
    <w:p>
      <w:pPr>
        <w:spacing w:after="0" w:line="6" w:lineRule="exact"/>
        <w:rPr>
          <w:rFonts w:ascii="Arial" w:cs="Arial" w:eastAsia="Arial" w:hAnsi="Arial"/>
          <w:sz w:val="27"/>
          <w:szCs w:val="27"/>
          <w:color w:val="auto"/>
        </w:rPr>
      </w:pPr>
    </w:p>
    <w:p>
      <w:pPr>
        <w:ind w:left="340" w:hanging="195"/>
        <w:spacing w:after="0"/>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Central management and maintenance</w:t>
      </w:r>
    </w:p>
    <w:p>
      <w:pPr>
        <w:spacing w:after="0" w:line="67" w:lineRule="exact"/>
        <w:rPr>
          <w:rFonts w:ascii="Arial" w:cs="Arial" w:eastAsia="Arial" w:hAnsi="Arial"/>
          <w:sz w:val="27"/>
          <w:szCs w:val="27"/>
          <w:color w:val="auto"/>
        </w:rPr>
      </w:pPr>
    </w:p>
    <w:p>
      <w:pPr>
        <w:ind w:left="340" w:hanging="195"/>
        <w:spacing w:after="0"/>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Service provisioning (Quiz, Voting, Binary content, coupons, etc…)</w:t>
      </w:r>
    </w:p>
    <w:p>
      <w:pPr>
        <w:spacing w:after="0" w:line="78" w:lineRule="exact"/>
        <w:rPr>
          <w:rFonts w:ascii="Arial" w:cs="Arial" w:eastAsia="Arial" w:hAnsi="Arial"/>
          <w:sz w:val="27"/>
          <w:szCs w:val="27"/>
          <w:color w:val="auto"/>
        </w:rPr>
      </w:pPr>
    </w:p>
    <w:p>
      <w:pPr>
        <w:ind w:left="340" w:right="200" w:hanging="195"/>
        <w:spacing w:after="0" w:line="247" w:lineRule="auto"/>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Management and delivery of any type of binary content, including music, videos, pictures, games and applications</w:t>
      </w:r>
    </w:p>
    <w:p>
      <w:pPr>
        <w:spacing w:after="0" w:line="6" w:lineRule="exact"/>
        <w:rPr>
          <w:rFonts w:ascii="Arial" w:cs="Arial" w:eastAsia="Arial" w:hAnsi="Arial"/>
          <w:sz w:val="27"/>
          <w:szCs w:val="27"/>
          <w:color w:val="auto"/>
        </w:rPr>
      </w:pPr>
    </w:p>
    <w:p>
      <w:pPr>
        <w:ind w:left="340" w:right="1060" w:hanging="195"/>
        <w:spacing w:after="0" w:line="245" w:lineRule="auto"/>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Medium independentoperates– on SMS, MMS, WAP, web, IVR, and email simultaneously</w:t>
      </w:r>
    </w:p>
    <w:p>
      <w:pPr>
        <w:spacing w:after="0" w:line="1" w:lineRule="exact"/>
        <w:rPr>
          <w:rFonts w:ascii="Arial" w:cs="Arial" w:eastAsia="Arial" w:hAnsi="Arial"/>
          <w:sz w:val="27"/>
          <w:szCs w:val="27"/>
          <w:color w:val="auto"/>
        </w:rPr>
      </w:pPr>
    </w:p>
    <w:p>
      <w:pPr>
        <w:ind w:left="340" w:hanging="195"/>
        <w:spacing w:after="0"/>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Flexible rating, pricing and billing</w:t>
      </w:r>
    </w:p>
    <w:p>
      <w:pPr>
        <w:spacing w:after="0" w:line="78" w:lineRule="exact"/>
        <w:rPr>
          <w:rFonts w:ascii="Arial" w:cs="Arial" w:eastAsia="Arial" w:hAnsi="Arial"/>
          <w:sz w:val="27"/>
          <w:szCs w:val="27"/>
          <w:color w:val="auto"/>
        </w:rPr>
      </w:pPr>
    </w:p>
    <w:p>
      <w:pPr>
        <w:ind w:left="340" w:hanging="195"/>
        <w:spacing w:after="0"/>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Comprehensive reporting, analytics and CDRs records</w:t>
      </w:r>
    </w:p>
    <w:p>
      <w:pPr>
        <w:spacing w:after="0" w:line="67" w:lineRule="exact"/>
        <w:rPr>
          <w:rFonts w:ascii="Arial" w:cs="Arial" w:eastAsia="Arial" w:hAnsi="Arial"/>
          <w:sz w:val="27"/>
          <w:szCs w:val="27"/>
          <w:color w:val="auto"/>
        </w:rPr>
      </w:pPr>
    </w:p>
    <w:p>
      <w:pPr>
        <w:ind w:left="340" w:hanging="195"/>
        <w:spacing w:after="0"/>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Extensive customer care tools</w:t>
      </w:r>
    </w:p>
    <w:p>
      <w:pPr>
        <w:spacing w:after="0" w:line="61" w:lineRule="exact"/>
        <w:rPr>
          <w:rFonts w:ascii="Arial" w:cs="Arial" w:eastAsia="Arial" w:hAnsi="Arial"/>
          <w:sz w:val="27"/>
          <w:szCs w:val="27"/>
          <w:color w:val="auto"/>
        </w:rPr>
      </w:pPr>
    </w:p>
    <w:p>
      <w:pPr>
        <w:ind w:left="340" w:right="2400" w:hanging="195"/>
        <w:spacing w:after="0" w:line="219" w:lineRule="auto"/>
        <w:tabs>
          <w:tab w:leader="none" w:pos="340" w:val="left"/>
        </w:tabs>
        <w:numPr>
          <w:ilvl w:val="0"/>
          <w:numId w:val="25"/>
        </w:numPr>
        <w:rPr>
          <w:rFonts w:ascii="Arial" w:cs="Arial" w:eastAsia="Arial" w:hAnsi="Arial"/>
          <w:sz w:val="27"/>
          <w:szCs w:val="27"/>
          <w:color w:val="auto"/>
        </w:rPr>
      </w:pPr>
      <w:r>
        <w:rPr>
          <w:rFonts w:ascii="Arial" w:cs="Arial" w:eastAsia="Arial" w:hAnsi="Arial"/>
          <w:sz w:val="34"/>
          <w:szCs w:val="34"/>
          <w:b w:val="1"/>
          <w:bCs w:val="1"/>
          <w:color w:val="auto"/>
        </w:rPr>
        <w:t>OpenAPIforweb/WAPdevelopers,3</w:t>
      </w:r>
      <w:r>
        <w:rPr>
          <w:rFonts w:ascii="Arial" w:cs="Arial" w:eastAsia="Arial" w:hAnsi="Arial"/>
          <w:sz w:val="44"/>
          <w:szCs w:val="44"/>
          <w:b w:val="1"/>
          <w:bCs w:val="1"/>
          <w:color w:val="auto"/>
          <w:vertAlign w:val="superscript"/>
        </w:rPr>
        <w:t>rd</w:t>
      </w:r>
      <w:r>
        <w:rPr>
          <w:rFonts w:ascii="Arial" w:cs="Arial" w:eastAsia="Arial" w:hAnsi="Arial"/>
          <w:sz w:val="34"/>
          <w:szCs w:val="34"/>
          <w:b w:val="1"/>
          <w:bCs w:val="1"/>
          <w:color w:val="auto"/>
        </w:rPr>
        <w:t xml:space="preserve"> partiesapplication developers</w:t>
      </w:r>
    </w:p>
    <w:p>
      <w:pPr>
        <w:spacing w:after="0" w:line="200" w:lineRule="exact"/>
        <w:rPr>
          <w:rFonts w:ascii="Arial" w:cs="Arial" w:eastAsia="Arial" w:hAnsi="Arial"/>
          <w:sz w:val="27"/>
          <w:szCs w:val="27"/>
          <w:color w:val="auto"/>
        </w:rPr>
      </w:pPr>
    </w:p>
    <w:p>
      <w:pPr>
        <w:spacing w:after="0" w:line="257" w:lineRule="exact"/>
        <w:rPr>
          <w:rFonts w:ascii="Arial" w:cs="Arial" w:eastAsia="Arial" w:hAnsi="Arial"/>
          <w:sz w:val="27"/>
          <w:szCs w:val="27"/>
          <w:color w:val="auto"/>
        </w:rPr>
      </w:pPr>
    </w:p>
    <w:p>
      <w:pPr>
        <w:ind w:left="4680" w:hanging="75"/>
        <w:spacing w:after="0"/>
        <w:tabs>
          <w:tab w:leader="none" w:pos="4680" w:val="left"/>
        </w:tabs>
        <w:numPr>
          <w:ilvl w:val="1"/>
          <w:numId w:val="25"/>
        </w:numPr>
        <w:rPr>
          <w:rFonts w:ascii="Arial" w:cs="Arial" w:eastAsia="Arial" w:hAnsi="Arial"/>
          <w:sz w:val="13"/>
          <w:szCs w:val="13"/>
          <w:color w:val="FFFFFF"/>
        </w:rPr>
      </w:pPr>
      <w:r>
        <w:rPr>
          <w:rFonts w:ascii="Arial" w:cs="Arial" w:eastAsia="Arial" w:hAnsi="Arial"/>
          <w:sz w:val="13"/>
          <w:szCs w:val="13"/>
          <w:color w:val="FFFFFF"/>
        </w:rPr>
        <w:t>Page 40 -</w:t>
      </w:r>
    </w:p>
    <w:p>
      <w:pPr>
        <w:sectPr>
          <w:pgSz w:w="11900" w:h="16838" w:orient="portrait"/>
          <w:cols w:equalWidth="0" w:num="1">
            <w:col w:w="11200"/>
          </w:cols>
          <w:pgMar w:left="560" w:top="486" w:right="139" w:bottom="1440" w:gutter="0" w:footer="0" w:header="0"/>
        </w:sectPr>
      </w:pPr>
    </w:p>
    <w:bookmarkStart w:id="43" w:name="page44"/>
    <w:bookmarkEnd w:id="43"/>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Vringo Financial Position</w:t>
      </w:r>
    </w:p>
    <w:p>
      <w:pPr>
        <w:spacing w:after="0" w:line="200" w:lineRule="exact"/>
        <w:rPr>
          <w:sz w:val="20"/>
          <w:szCs w:val="20"/>
          <w:color w:val="auto"/>
        </w:rPr>
      </w:pPr>
    </w:p>
    <w:p>
      <w:pPr>
        <w:spacing w:after="0" w:line="362" w:lineRule="exact"/>
        <w:rPr>
          <w:sz w:val="20"/>
          <w:szCs w:val="20"/>
          <w:color w:val="auto"/>
        </w:rPr>
      </w:pPr>
    </w:p>
    <w:tbl>
      <w:tblPr>
        <w:tblLayout w:type="fixed"/>
        <w:tblInd w:w="620" w:type="dxa"/>
        <w:tblCellMar>
          <w:top w:w="0" w:type="dxa"/>
          <w:left w:w="0" w:type="dxa"/>
          <w:bottom w:w="0" w:type="dxa"/>
          <w:right w:w="0" w:type="dxa"/>
        </w:tblCellMar>
      </w:tblPr>
      <w:tr>
        <w:trPr>
          <w:trHeight w:val="317"/>
        </w:trPr>
        <w:tc>
          <w:tcPr>
            <w:tcW w:w="4220" w:type="dxa"/>
            <w:vAlign w:val="bottom"/>
          </w:tcPr>
          <w:p>
            <w:pPr>
              <w:ind w:left="40"/>
              <w:spacing w:after="0"/>
              <w:rPr>
                <w:sz w:val="20"/>
                <w:szCs w:val="20"/>
                <w:color w:val="auto"/>
              </w:rPr>
            </w:pPr>
            <w:r>
              <w:rPr>
                <w:rFonts w:ascii="Arial" w:cs="Arial" w:eastAsia="Arial" w:hAnsi="Arial"/>
                <w:sz w:val="22"/>
                <w:szCs w:val="22"/>
                <w:color w:val="auto"/>
              </w:rPr>
              <w:t>($ 000)</w:t>
            </w:r>
          </w:p>
        </w:tc>
        <w:tc>
          <w:tcPr>
            <w:tcW w:w="2440" w:type="dxa"/>
            <w:vAlign w:val="bottom"/>
          </w:tcPr>
          <w:p>
            <w:pPr>
              <w:jc w:val="right"/>
              <w:ind w:right="24"/>
              <w:spacing w:after="0"/>
              <w:rPr>
                <w:sz w:val="20"/>
                <w:szCs w:val="20"/>
                <w:color w:val="auto"/>
              </w:rPr>
            </w:pPr>
            <w:r>
              <w:rPr>
                <w:rFonts w:ascii="Arial" w:cs="Arial" w:eastAsia="Arial" w:hAnsi="Arial"/>
                <w:sz w:val="26"/>
                <w:szCs w:val="26"/>
                <w:b w:val="1"/>
                <w:bCs w:val="1"/>
                <w:color w:val="auto"/>
              </w:rPr>
              <w:t>September 30,</w:t>
            </w:r>
          </w:p>
        </w:tc>
        <w:tc>
          <w:tcPr>
            <w:tcW w:w="1840" w:type="dxa"/>
            <w:vAlign w:val="bottom"/>
          </w:tcPr>
          <w:p>
            <w:pPr>
              <w:jc w:val="right"/>
              <w:spacing w:after="0"/>
              <w:rPr>
                <w:sz w:val="20"/>
                <w:szCs w:val="20"/>
                <w:color w:val="auto"/>
              </w:rPr>
            </w:pPr>
            <w:r>
              <w:rPr>
                <w:rFonts w:ascii="Arial" w:cs="Arial" w:eastAsia="Arial" w:hAnsi="Arial"/>
                <w:sz w:val="26"/>
                <w:szCs w:val="26"/>
                <w:b w:val="1"/>
                <w:bCs w:val="1"/>
                <w:color w:val="auto"/>
              </w:rPr>
              <w:t>December 31,</w:t>
            </w:r>
          </w:p>
        </w:tc>
      </w:tr>
      <w:tr>
        <w:trPr>
          <w:trHeight w:val="329"/>
        </w:trPr>
        <w:tc>
          <w:tcPr>
            <w:tcW w:w="4220" w:type="dxa"/>
            <w:vAlign w:val="bottom"/>
          </w:tcPr>
          <w:p>
            <w:pPr>
              <w:spacing w:after="0"/>
              <w:rPr>
                <w:sz w:val="24"/>
                <w:szCs w:val="24"/>
                <w:color w:val="auto"/>
              </w:rPr>
            </w:pPr>
          </w:p>
        </w:tc>
        <w:tc>
          <w:tcPr>
            <w:tcW w:w="2440" w:type="dxa"/>
            <w:vAlign w:val="bottom"/>
          </w:tcPr>
          <w:p>
            <w:pPr>
              <w:jc w:val="center"/>
              <w:ind w:left="84"/>
              <w:spacing w:after="0"/>
              <w:rPr>
                <w:sz w:val="20"/>
                <w:szCs w:val="20"/>
                <w:color w:val="auto"/>
              </w:rPr>
            </w:pPr>
            <w:r>
              <w:rPr>
                <w:rFonts w:ascii="Arial" w:cs="Arial" w:eastAsia="Arial" w:hAnsi="Arial"/>
                <w:sz w:val="26"/>
                <w:szCs w:val="26"/>
                <w:b w:val="1"/>
                <w:bCs w:val="1"/>
                <w:color w:val="auto"/>
              </w:rPr>
              <w:t>2010</w:t>
            </w:r>
          </w:p>
        </w:tc>
        <w:tc>
          <w:tcPr>
            <w:tcW w:w="1840" w:type="dxa"/>
            <w:vAlign w:val="bottom"/>
          </w:tcPr>
          <w:p>
            <w:pPr>
              <w:jc w:val="right"/>
              <w:ind w:right="484"/>
              <w:spacing w:after="0"/>
              <w:rPr>
                <w:sz w:val="20"/>
                <w:szCs w:val="20"/>
                <w:color w:val="auto"/>
              </w:rPr>
            </w:pPr>
            <w:r>
              <w:rPr>
                <w:rFonts w:ascii="Arial" w:cs="Arial" w:eastAsia="Arial" w:hAnsi="Arial"/>
                <w:sz w:val="26"/>
                <w:szCs w:val="26"/>
                <w:b w:val="1"/>
                <w:bCs w:val="1"/>
                <w:color w:val="auto"/>
              </w:rPr>
              <w:t>2009</w:t>
            </w:r>
          </w:p>
        </w:tc>
      </w:tr>
      <w:tr>
        <w:trPr>
          <w:trHeight w:val="254"/>
        </w:trPr>
        <w:tc>
          <w:tcPr>
            <w:tcW w:w="4220" w:type="dxa"/>
            <w:vAlign w:val="bottom"/>
          </w:tcPr>
          <w:p>
            <w:pPr>
              <w:spacing w:after="0"/>
              <w:rPr>
                <w:sz w:val="22"/>
                <w:szCs w:val="22"/>
                <w:color w:val="auto"/>
              </w:rPr>
            </w:pPr>
          </w:p>
        </w:tc>
        <w:tc>
          <w:tcPr>
            <w:tcW w:w="2440" w:type="dxa"/>
            <w:vAlign w:val="bottom"/>
          </w:tcPr>
          <w:p>
            <w:pPr>
              <w:jc w:val="center"/>
              <w:ind w:left="4"/>
              <w:spacing w:after="0"/>
              <w:rPr>
                <w:sz w:val="20"/>
                <w:szCs w:val="20"/>
                <w:color w:val="auto"/>
              </w:rPr>
            </w:pPr>
            <w:r>
              <w:rPr>
                <w:rFonts w:ascii="Arial" w:cs="Arial" w:eastAsia="Arial" w:hAnsi="Arial"/>
                <w:sz w:val="20"/>
                <w:szCs w:val="20"/>
                <w:color w:val="auto"/>
              </w:rPr>
              <w:t>(Unaudited)</w:t>
            </w:r>
          </w:p>
        </w:tc>
        <w:tc>
          <w:tcPr>
            <w:tcW w:w="1840" w:type="dxa"/>
            <w:vAlign w:val="bottom"/>
          </w:tcPr>
          <w:p>
            <w:pPr>
              <w:jc w:val="right"/>
              <w:ind w:right="344"/>
              <w:spacing w:after="0"/>
              <w:rPr>
                <w:sz w:val="20"/>
                <w:szCs w:val="20"/>
                <w:color w:val="auto"/>
              </w:rPr>
            </w:pPr>
            <w:r>
              <w:rPr>
                <w:rFonts w:ascii="Arial" w:cs="Arial" w:eastAsia="Arial" w:hAnsi="Arial"/>
                <w:sz w:val="20"/>
                <w:szCs w:val="20"/>
                <w:color w:val="auto"/>
              </w:rPr>
              <w:t>(Audited</w:t>
            </w:r>
            <w:r>
              <w:rPr>
                <w:rFonts w:ascii="Arial" w:cs="Arial" w:eastAsia="Arial" w:hAnsi="Arial"/>
                <w:sz w:val="19"/>
                <w:szCs w:val="19"/>
                <w:color w:val="auto"/>
              </w:rPr>
              <w:t>)</w:t>
            </w:r>
          </w:p>
        </w:tc>
      </w:tr>
      <w:tr>
        <w:trPr>
          <w:trHeight w:val="485"/>
        </w:trPr>
        <w:tc>
          <w:tcPr>
            <w:tcW w:w="4220" w:type="dxa"/>
            <w:vAlign w:val="bottom"/>
          </w:tcPr>
          <w:p>
            <w:pPr>
              <w:spacing w:after="0"/>
              <w:rPr>
                <w:sz w:val="20"/>
                <w:szCs w:val="20"/>
                <w:color w:val="auto"/>
              </w:rPr>
            </w:pPr>
            <w:r>
              <w:rPr>
                <w:rFonts w:ascii="Arial" w:cs="Arial" w:eastAsia="Arial" w:hAnsi="Arial"/>
                <w:sz w:val="29"/>
                <w:szCs w:val="29"/>
                <w:b w:val="1"/>
                <w:bCs w:val="1"/>
                <w:color w:val="auto"/>
              </w:rPr>
              <w:t>Cash and cash equivalents</w:t>
            </w:r>
          </w:p>
        </w:tc>
        <w:tc>
          <w:tcPr>
            <w:tcW w:w="2440" w:type="dxa"/>
            <w:vAlign w:val="bottom"/>
          </w:tcPr>
          <w:p>
            <w:pPr>
              <w:jc w:val="center"/>
              <w:ind w:left="24"/>
              <w:spacing w:after="0"/>
              <w:rPr>
                <w:sz w:val="20"/>
                <w:szCs w:val="20"/>
                <w:color w:val="auto"/>
              </w:rPr>
            </w:pPr>
            <w:r>
              <w:rPr>
                <w:rFonts w:ascii="Arial" w:cs="Arial" w:eastAsia="Arial" w:hAnsi="Arial"/>
                <w:sz w:val="29"/>
                <w:szCs w:val="29"/>
                <w:b w:val="1"/>
                <w:bCs w:val="1"/>
                <w:color w:val="auto"/>
                <w:w w:val="99"/>
              </w:rPr>
              <w:t>7,394</w:t>
            </w:r>
          </w:p>
        </w:tc>
        <w:tc>
          <w:tcPr>
            <w:tcW w:w="1840" w:type="dxa"/>
            <w:vAlign w:val="bottom"/>
          </w:tcPr>
          <w:p>
            <w:pPr>
              <w:jc w:val="right"/>
              <w:ind w:right="524"/>
              <w:spacing w:after="0"/>
              <w:rPr>
                <w:sz w:val="20"/>
                <w:szCs w:val="20"/>
                <w:color w:val="auto"/>
              </w:rPr>
            </w:pPr>
            <w:r>
              <w:rPr>
                <w:rFonts w:ascii="Arial" w:cs="Arial" w:eastAsia="Arial" w:hAnsi="Arial"/>
                <w:sz w:val="29"/>
                <w:szCs w:val="29"/>
                <w:color w:val="auto"/>
              </w:rPr>
              <w:t>744</w:t>
            </w:r>
          </w:p>
        </w:tc>
      </w:tr>
      <w:tr>
        <w:trPr>
          <w:trHeight w:val="683"/>
        </w:trPr>
        <w:tc>
          <w:tcPr>
            <w:tcW w:w="4220" w:type="dxa"/>
            <w:vAlign w:val="bottom"/>
          </w:tcPr>
          <w:p>
            <w:pPr>
              <w:spacing w:after="0"/>
              <w:rPr>
                <w:sz w:val="20"/>
                <w:szCs w:val="20"/>
                <w:color w:val="auto"/>
              </w:rPr>
            </w:pPr>
            <w:r>
              <w:rPr>
                <w:rFonts w:ascii="Arial" w:cs="Arial" w:eastAsia="Arial" w:hAnsi="Arial"/>
                <w:sz w:val="29"/>
                <w:szCs w:val="29"/>
                <w:color w:val="auto"/>
              </w:rPr>
              <w:t>Total current assets</w:t>
            </w:r>
          </w:p>
        </w:tc>
        <w:tc>
          <w:tcPr>
            <w:tcW w:w="2440" w:type="dxa"/>
            <w:vAlign w:val="bottom"/>
          </w:tcPr>
          <w:p>
            <w:pPr>
              <w:jc w:val="center"/>
              <w:ind w:left="24"/>
              <w:spacing w:after="0"/>
              <w:rPr>
                <w:sz w:val="20"/>
                <w:szCs w:val="20"/>
                <w:color w:val="auto"/>
              </w:rPr>
            </w:pPr>
            <w:r>
              <w:rPr>
                <w:rFonts w:ascii="Arial" w:cs="Arial" w:eastAsia="Arial" w:hAnsi="Arial"/>
                <w:sz w:val="29"/>
                <w:szCs w:val="29"/>
                <w:color w:val="auto"/>
                <w:w w:val="99"/>
              </w:rPr>
              <w:t>7,704</w:t>
            </w:r>
          </w:p>
        </w:tc>
        <w:tc>
          <w:tcPr>
            <w:tcW w:w="1840" w:type="dxa"/>
            <w:vAlign w:val="bottom"/>
          </w:tcPr>
          <w:p>
            <w:pPr>
              <w:jc w:val="right"/>
              <w:ind w:right="504"/>
              <w:spacing w:after="0"/>
              <w:rPr>
                <w:sz w:val="20"/>
                <w:szCs w:val="20"/>
                <w:color w:val="auto"/>
              </w:rPr>
            </w:pPr>
            <w:r>
              <w:rPr>
                <w:rFonts w:ascii="Arial" w:cs="Arial" w:eastAsia="Arial" w:hAnsi="Arial"/>
                <w:sz w:val="29"/>
                <w:szCs w:val="29"/>
                <w:color w:val="auto"/>
              </w:rPr>
              <w:t>3,518</w:t>
            </w:r>
          </w:p>
        </w:tc>
      </w:tr>
      <w:tr>
        <w:trPr>
          <w:trHeight w:val="683"/>
        </w:trPr>
        <w:tc>
          <w:tcPr>
            <w:tcW w:w="4220" w:type="dxa"/>
            <w:vAlign w:val="bottom"/>
          </w:tcPr>
          <w:p>
            <w:pPr>
              <w:spacing w:after="0"/>
              <w:rPr>
                <w:sz w:val="20"/>
                <w:szCs w:val="20"/>
                <w:color w:val="auto"/>
              </w:rPr>
            </w:pPr>
            <w:r>
              <w:rPr>
                <w:rFonts w:ascii="Arial" w:cs="Arial" w:eastAsia="Arial" w:hAnsi="Arial"/>
                <w:sz w:val="29"/>
                <w:szCs w:val="29"/>
                <w:color w:val="auto"/>
              </w:rPr>
              <w:t>Total assets</w:t>
            </w:r>
          </w:p>
        </w:tc>
        <w:tc>
          <w:tcPr>
            <w:tcW w:w="2440" w:type="dxa"/>
            <w:vAlign w:val="bottom"/>
          </w:tcPr>
          <w:p>
            <w:pPr>
              <w:jc w:val="center"/>
              <w:ind w:left="24"/>
              <w:spacing w:after="0"/>
              <w:rPr>
                <w:sz w:val="20"/>
                <w:szCs w:val="20"/>
                <w:color w:val="auto"/>
              </w:rPr>
            </w:pPr>
            <w:r>
              <w:rPr>
                <w:rFonts w:ascii="Arial" w:cs="Arial" w:eastAsia="Arial" w:hAnsi="Arial"/>
                <w:sz w:val="29"/>
                <w:szCs w:val="29"/>
                <w:color w:val="auto"/>
                <w:w w:val="99"/>
              </w:rPr>
              <w:t>7,982</w:t>
            </w:r>
          </w:p>
        </w:tc>
        <w:tc>
          <w:tcPr>
            <w:tcW w:w="1840" w:type="dxa"/>
            <w:vAlign w:val="bottom"/>
          </w:tcPr>
          <w:p>
            <w:pPr>
              <w:jc w:val="right"/>
              <w:ind w:right="504"/>
              <w:spacing w:after="0"/>
              <w:rPr>
                <w:sz w:val="20"/>
                <w:szCs w:val="20"/>
                <w:color w:val="auto"/>
              </w:rPr>
            </w:pPr>
            <w:r>
              <w:rPr>
                <w:rFonts w:ascii="Arial" w:cs="Arial" w:eastAsia="Arial" w:hAnsi="Arial"/>
                <w:sz w:val="29"/>
                <w:szCs w:val="29"/>
                <w:color w:val="auto"/>
              </w:rPr>
              <w:t>3,789</w:t>
            </w:r>
          </w:p>
        </w:tc>
      </w:tr>
      <w:tr>
        <w:trPr>
          <w:trHeight w:val="683"/>
        </w:trPr>
        <w:tc>
          <w:tcPr>
            <w:tcW w:w="4220" w:type="dxa"/>
            <w:vAlign w:val="bottom"/>
          </w:tcPr>
          <w:p>
            <w:pPr>
              <w:spacing w:after="0"/>
              <w:rPr>
                <w:sz w:val="20"/>
                <w:szCs w:val="20"/>
                <w:color w:val="auto"/>
              </w:rPr>
            </w:pPr>
            <w:r>
              <w:rPr>
                <w:rFonts w:ascii="Arial" w:cs="Arial" w:eastAsia="Arial" w:hAnsi="Arial"/>
                <w:sz w:val="29"/>
                <w:szCs w:val="29"/>
                <w:color w:val="auto"/>
              </w:rPr>
              <w:t>Total current liabilities</w:t>
            </w:r>
          </w:p>
        </w:tc>
        <w:tc>
          <w:tcPr>
            <w:tcW w:w="2440" w:type="dxa"/>
            <w:vAlign w:val="bottom"/>
          </w:tcPr>
          <w:p>
            <w:pPr>
              <w:jc w:val="center"/>
              <w:ind w:left="24"/>
              <w:spacing w:after="0"/>
              <w:rPr>
                <w:sz w:val="20"/>
                <w:szCs w:val="20"/>
                <w:color w:val="auto"/>
              </w:rPr>
            </w:pPr>
            <w:r>
              <w:rPr>
                <w:rFonts w:ascii="Arial" w:cs="Arial" w:eastAsia="Arial" w:hAnsi="Arial"/>
                <w:sz w:val="29"/>
                <w:szCs w:val="29"/>
                <w:color w:val="auto"/>
                <w:w w:val="99"/>
              </w:rPr>
              <w:t>2,076</w:t>
            </w:r>
          </w:p>
        </w:tc>
        <w:tc>
          <w:tcPr>
            <w:tcW w:w="1840" w:type="dxa"/>
            <w:vAlign w:val="bottom"/>
          </w:tcPr>
          <w:p>
            <w:pPr>
              <w:jc w:val="right"/>
              <w:ind w:right="504"/>
              <w:spacing w:after="0"/>
              <w:rPr>
                <w:sz w:val="20"/>
                <w:szCs w:val="20"/>
                <w:color w:val="auto"/>
              </w:rPr>
            </w:pPr>
            <w:r>
              <w:rPr>
                <w:rFonts w:ascii="Arial" w:cs="Arial" w:eastAsia="Arial" w:hAnsi="Arial"/>
                <w:sz w:val="29"/>
                <w:szCs w:val="29"/>
                <w:color w:val="auto"/>
              </w:rPr>
              <w:t>3,649</w:t>
            </w:r>
          </w:p>
        </w:tc>
      </w:tr>
      <w:tr>
        <w:trPr>
          <w:trHeight w:val="683"/>
        </w:trPr>
        <w:tc>
          <w:tcPr>
            <w:tcW w:w="4220" w:type="dxa"/>
            <w:vAlign w:val="bottom"/>
          </w:tcPr>
          <w:p>
            <w:pPr>
              <w:spacing w:after="0"/>
              <w:rPr>
                <w:sz w:val="20"/>
                <w:szCs w:val="20"/>
                <w:color w:val="auto"/>
              </w:rPr>
            </w:pPr>
            <w:r>
              <w:rPr>
                <w:rFonts w:ascii="Arial" w:cs="Arial" w:eastAsia="Arial" w:hAnsi="Arial"/>
                <w:sz w:val="29"/>
                <w:szCs w:val="29"/>
                <w:color w:val="auto"/>
              </w:rPr>
              <w:t>Total long-term liabilities</w:t>
            </w:r>
          </w:p>
        </w:tc>
        <w:tc>
          <w:tcPr>
            <w:tcW w:w="2440" w:type="dxa"/>
            <w:vAlign w:val="bottom"/>
          </w:tcPr>
          <w:p>
            <w:pPr>
              <w:jc w:val="center"/>
              <w:ind w:left="24"/>
              <w:spacing w:after="0"/>
              <w:rPr>
                <w:sz w:val="20"/>
                <w:szCs w:val="20"/>
                <w:color w:val="auto"/>
              </w:rPr>
            </w:pPr>
            <w:r>
              <w:rPr>
                <w:rFonts w:ascii="Arial" w:cs="Arial" w:eastAsia="Arial" w:hAnsi="Arial"/>
                <w:sz w:val="29"/>
                <w:szCs w:val="29"/>
                <w:color w:val="auto"/>
                <w:w w:val="99"/>
              </w:rPr>
              <w:t>5,830</w:t>
            </w:r>
          </w:p>
        </w:tc>
        <w:tc>
          <w:tcPr>
            <w:tcW w:w="1840" w:type="dxa"/>
            <w:vAlign w:val="bottom"/>
          </w:tcPr>
          <w:p>
            <w:pPr>
              <w:jc w:val="right"/>
              <w:ind w:right="504"/>
              <w:spacing w:after="0"/>
              <w:rPr>
                <w:sz w:val="20"/>
                <w:szCs w:val="20"/>
                <w:color w:val="auto"/>
              </w:rPr>
            </w:pPr>
            <w:r>
              <w:rPr>
                <w:rFonts w:ascii="Arial" w:cs="Arial" w:eastAsia="Arial" w:hAnsi="Arial"/>
                <w:sz w:val="29"/>
                <w:szCs w:val="29"/>
                <w:color w:val="auto"/>
              </w:rPr>
              <w:t>4,550</w:t>
            </w:r>
          </w:p>
        </w:tc>
      </w:tr>
      <w:tr>
        <w:trPr>
          <w:trHeight w:val="683"/>
        </w:trPr>
        <w:tc>
          <w:tcPr>
            <w:tcW w:w="4220" w:type="dxa"/>
            <w:vAlign w:val="bottom"/>
          </w:tcPr>
          <w:p>
            <w:pPr>
              <w:spacing w:after="0"/>
              <w:rPr>
                <w:sz w:val="20"/>
                <w:szCs w:val="20"/>
                <w:color w:val="auto"/>
              </w:rPr>
            </w:pPr>
            <w:r>
              <w:rPr>
                <w:rFonts w:ascii="Arial" w:cs="Arial" w:eastAsia="Arial" w:hAnsi="Arial"/>
                <w:sz w:val="29"/>
                <w:szCs w:val="29"/>
                <w:color w:val="auto"/>
              </w:rPr>
              <w:t>Total stockholders’equity</w:t>
            </w:r>
          </w:p>
        </w:tc>
        <w:tc>
          <w:tcPr>
            <w:tcW w:w="2440" w:type="dxa"/>
            <w:vAlign w:val="bottom"/>
          </w:tcPr>
          <w:p>
            <w:pPr>
              <w:jc w:val="right"/>
              <w:ind w:right="664"/>
              <w:spacing w:after="0"/>
              <w:rPr>
                <w:sz w:val="20"/>
                <w:szCs w:val="20"/>
                <w:color w:val="auto"/>
              </w:rPr>
            </w:pPr>
            <w:r>
              <w:rPr>
                <w:rFonts w:ascii="Arial" w:cs="Arial" w:eastAsia="Arial" w:hAnsi="Arial"/>
                <w:sz w:val="29"/>
                <w:szCs w:val="29"/>
                <w:color w:val="auto"/>
              </w:rPr>
              <w:t>76</w:t>
            </w:r>
          </w:p>
        </w:tc>
        <w:tc>
          <w:tcPr>
            <w:tcW w:w="1840" w:type="dxa"/>
            <w:vAlign w:val="bottom"/>
          </w:tcPr>
          <w:p>
            <w:pPr>
              <w:jc w:val="right"/>
              <w:ind w:right="464"/>
              <w:spacing w:after="0"/>
              <w:rPr>
                <w:sz w:val="20"/>
                <w:szCs w:val="20"/>
                <w:color w:val="auto"/>
              </w:rPr>
            </w:pPr>
            <w:r>
              <w:rPr>
                <w:rFonts w:ascii="Arial" w:cs="Arial" w:eastAsia="Arial" w:hAnsi="Arial"/>
                <w:sz w:val="29"/>
                <w:szCs w:val="29"/>
                <w:color w:val="auto"/>
              </w:rPr>
              <w:t>(16,378)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FFFFFF"/>
        </w:rPr>
        <w:t>- Page 41 -</w:t>
      </w:r>
    </w:p>
    <w:p>
      <w:pPr>
        <w:sectPr>
          <w:pgSz w:w="11900" w:h="16838" w:orient="portrait"/>
          <w:cols w:equalWidth="0" w:num="1">
            <w:col w:w="9899"/>
          </w:cols>
          <w:pgMar w:left="560" w:top="529" w:right="1440" w:bottom="1440" w:gutter="0" w:footer="0" w:header="0"/>
        </w:sectPr>
      </w:pPr>
    </w:p>
    <w:bookmarkStart w:id="44" w:name="page45"/>
    <w:bookmarkEnd w:id="44"/>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Company Snapshot</w:t>
      </w:r>
    </w:p>
    <w:p>
      <w:pPr>
        <w:spacing w:after="0" w:line="200" w:lineRule="exact"/>
        <w:rPr>
          <w:sz w:val="20"/>
          <w:szCs w:val="20"/>
          <w:color w:val="auto"/>
        </w:rPr>
      </w:pP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308"/>
        </w:trPr>
        <w:tc>
          <w:tcPr>
            <w:tcW w:w="5260" w:type="dxa"/>
            <w:vAlign w:val="bottom"/>
          </w:tcPr>
          <w:p>
            <w:pPr>
              <w:spacing w:after="0"/>
              <w:rPr>
                <w:sz w:val="20"/>
                <w:szCs w:val="20"/>
                <w:color w:val="auto"/>
              </w:rPr>
            </w:pPr>
            <w:r>
              <w:rPr>
                <w:rFonts w:ascii="Arial" w:cs="Arial" w:eastAsia="Arial" w:hAnsi="Arial"/>
                <w:sz w:val="26"/>
                <w:szCs w:val="26"/>
                <w:color w:val="auto"/>
              </w:rPr>
              <w:t>Stock Exchange/Ticker:</w:t>
            </w:r>
          </w:p>
        </w:tc>
        <w:tc>
          <w:tcPr>
            <w:tcW w:w="3340" w:type="dxa"/>
            <w:vAlign w:val="bottom"/>
            <w:gridSpan w:val="2"/>
          </w:tcPr>
          <w:p>
            <w:pPr>
              <w:jc w:val="right"/>
              <w:spacing w:after="0"/>
              <w:rPr>
                <w:sz w:val="20"/>
                <w:szCs w:val="20"/>
                <w:color w:val="auto"/>
              </w:rPr>
            </w:pPr>
            <w:r>
              <w:rPr>
                <w:rFonts w:ascii="Arial" w:cs="Arial" w:eastAsia="Arial" w:hAnsi="Arial"/>
                <w:sz w:val="26"/>
                <w:szCs w:val="26"/>
                <w:color w:val="auto"/>
              </w:rPr>
              <w:t>NYSE Amex: VRNG</w:t>
            </w:r>
          </w:p>
        </w:tc>
      </w:tr>
      <w:tr>
        <w:trPr>
          <w:trHeight w:val="405"/>
        </w:trPr>
        <w:tc>
          <w:tcPr>
            <w:tcW w:w="5260" w:type="dxa"/>
            <w:vAlign w:val="bottom"/>
          </w:tcPr>
          <w:p>
            <w:pPr>
              <w:spacing w:after="0"/>
              <w:rPr>
                <w:sz w:val="20"/>
                <w:szCs w:val="20"/>
                <w:color w:val="auto"/>
              </w:rPr>
            </w:pPr>
            <w:r>
              <w:rPr>
                <w:rFonts w:ascii="Arial" w:cs="Arial" w:eastAsia="Arial" w:hAnsi="Arial"/>
                <w:sz w:val="26"/>
                <w:szCs w:val="26"/>
                <w:color w:val="auto"/>
              </w:rPr>
              <w:t>VRNG Recent Price (3/8/11):</w:t>
            </w:r>
          </w:p>
        </w:tc>
        <w:tc>
          <w:tcPr>
            <w:tcW w:w="1700" w:type="dxa"/>
            <w:vAlign w:val="bottom"/>
          </w:tcPr>
          <w:p>
            <w:pPr>
              <w:spacing w:after="0"/>
              <w:rPr>
                <w:sz w:val="24"/>
                <w:szCs w:val="24"/>
                <w:color w:val="auto"/>
              </w:rPr>
            </w:pPr>
          </w:p>
        </w:tc>
        <w:tc>
          <w:tcPr>
            <w:tcW w:w="1640" w:type="dxa"/>
            <w:vAlign w:val="bottom"/>
          </w:tcPr>
          <w:p>
            <w:pPr>
              <w:jc w:val="center"/>
              <w:ind w:left="152"/>
              <w:spacing w:after="0"/>
              <w:rPr>
                <w:sz w:val="20"/>
                <w:szCs w:val="20"/>
                <w:color w:val="auto"/>
              </w:rPr>
            </w:pPr>
            <w:r>
              <w:rPr>
                <w:rFonts w:ascii="Arial" w:cs="Arial" w:eastAsia="Arial" w:hAnsi="Arial"/>
                <w:sz w:val="26"/>
                <w:szCs w:val="26"/>
                <w:color w:val="auto"/>
                <w:w w:val="98"/>
              </w:rPr>
              <w:t>$2.10</w:t>
            </w:r>
          </w:p>
        </w:tc>
      </w:tr>
      <w:tr>
        <w:trPr>
          <w:trHeight w:val="491"/>
        </w:trPr>
        <w:tc>
          <w:tcPr>
            <w:tcW w:w="5260" w:type="dxa"/>
            <w:vAlign w:val="bottom"/>
          </w:tcPr>
          <w:p>
            <w:pPr>
              <w:spacing w:after="0"/>
              <w:rPr>
                <w:sz w:val="20"/>
                <w:szCs w:val="20"/>
                <w:color w:val="auto"/>
              </w:rPr>
            </w:pPr>
            <w:r>
              <w:rPr>
                <w:rFonts w:ascii="Arial" w:cs="Arial" w:eastAsia="Arial" w:hAnsi="Arial"/>
                <w:sz w:val="26"/>
                <w:szCs w:val="26"/>
                <w:color w:val="auto"/>
              </w:rPr>
              <w:t>Shares Outstanding: (3/8/11)</w:t>
            </w:r>
          </w:p>
        </w:tc>
        <w:tc>
          <w:tcPr>
            <w:tcW w:w="1700" w:type="dxa"/>
            <w:vAlign w:val="bottom"/>
          </w:tcPr>
          <w:p>
            <w:pPr>
              <w:spacing w:after="0"/>
              <w:rPr>
                <w:sz w:val="24"/>
                <w:szCs w:val="24"/>
                <w:color w:val="auto"/>
              </w:rPr>
            </w:pPr>
          </w:p>
        </w:tc>
        <w:tc>
          <w:tcPr>
            <w:tcW w:w="1640" w:type="dxa"/>
            <w:vAlign w:val="bottom"/>
          </w:tcPr>
          <w:p>
            <w:pPr>
              <w:jc w:val="center"/>
              <w:ind w:left="112"/>
              <w:spacing w:after="0"/>
              <w:rPr>
                <w:sz w:val="20"/>
                <w:szCs w:val="20"/>
                <w:color w:val="auto"/>
              </w:rPr>
            </w:pPr>
            <w:r>
              <w:rPr>
                <w:rFonts w:ascii="Arial" w:cs="Arial" w:eastAsia="Arial" w:hAnsi="Arial"/>
                <w:sz w:val="26"/>
                <w:szCs w:val="26"/>
                <w:color w:val="auto"/>
                <w:w w:val="98"/>
              </w:rPr>
              <w:t>5.7 M</w:t>
            </w:r>
          </w:p>
        </w:tc>
      </w:tr>
      <w:tr>
        <w:trPr>
          <w:trHeight w:val="416"/>
        </w:trPr>
        <w:tc>
          <w:tcPr>
            <w:tcW w:w="5260" w:type="dxa"/>
            <w:vAlign w:val="bottom"/>
          </w:tcPr>
          <w:p>
            <w:pPr>
              <w:spacing w:after="0"/>
              <w:rPr>
                <w:sz w:val="20"/>
                <w:szCs w:val="20"/>
                <w:color w:val="auto"/>
              </w:rPr>
            </w:pPr>
            <w:r>
              <w:rPr>
                <w:rFonts w:ascii="Arial" w:cs="Arial" w:eastAsia="Arial" w:hAnsi="Arial"/>
                <w:sz w:val="26"/>
                <w:szCs w:val="26"/>
                <w:color w:val="auto"/>
              </w:rPr>
              <w:t>Market Cap:</w:t>
            </w:r>
          </w:p>
        </w:tc>
        <w:tc>
          <w:tcPr>
            <w:tcW w:w="170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Arial" w:cs="Arial" w:eastAsia="Arial" w:hAnsi="Arial"/>
                <w:sz w:val="26"/>
                <w:szCs w:val="26"/>
                <w:color w:val="auto"/>
                <w:w w:val="99"/>
              </w:rPr>
              <w:t>$12 M</w:t>
            </w:r>
          </w:p>
        </w:tc>
      </w:tr>
      <w:tr>
        <w:trPr>
          <w:trHeight w:val="416"/>
        </w:trPr>
        <w:tc>
          <w:tcPr>
            <w:tcW w:w="5260" w:type="dxa"/>
            <w:vAlign w:val="bottom"/>
          </w:tcPr>
          <w:p>
            <w:pPr>
              <w:spacing w:after="0"/>
              <w:rPr>
                <w:sz w:val="20"/>
                <w:szCs w:val="20"/>
                <w:color w:val="auto"/>
              </w:rPr>
            </w:pPr>
            <w:r>
              <w:rPr>
                <w:rFonts w:ascii="Arial" w:cs="Arial" w:eastAsia="Arial" w:hAnsi="Arial"/>
                <w:sz w:val="26"/>
                <w:szCs w:val="26"/>
                <w:color w:val="auto"/>
              </w:rPr>
              <w:t>3Q10 Revenue / Sequential growth rate:</w:t>
            </w:r>
          </w:p>
        </w:tc>
        <w:tc>
          <w:tcPr>
            <w:tcW w:w="1700" w:type="dxa"/>
            <w:vAlign w:val="bottom"/>
          </w:tcPr>
          <w:p>
            <w:pPr>
              <w:spacing w:after="0"/>
              <w:rPr>
                <w:sz w:val="24"/>
                <w:szCs w:val="24"/>
                <w:color w:val="auto"/>
              </w:rPr>
            </w:pPr>
          </w:p>
        </w:tc>
        <w:tc>
          <w:tcPr>
            <w:tcW w:w="1640" w:type="dxa"/>
            <w:vAlign w:val="bottom"/>
          </w:tcPr>
          <w:p>
            <w:pPr>
              <w:jc w:val="right"/>
              <w:ind w:right="112"/>
              <w:spacing w:after="0"/>
              <w:rPr>
                <w:sz w:val="20"/>
                <w:szCs w:val="20"/>
                <w:color w:val="auto"/>
              </w:rPr>
            </w:pPr>
            <w:r>
              <w:rPr>
                <w:rFonts w:ascii="Arial" w:cs="Arial" w:eastAsia="Arial" w:hAnsi="Arial"/>
                <w:sz w:val="26"/>
                <w:szCs w:val="26"/>
                <w:color w:val="auto"/>
                <w:w w:val="97"/>
              </w:rPr>
              <w:t>$54 K / 23%</w:t>
            </w:r>
          </w:p>
        </w:tc>
      </w:tr>
      <w:tr>
        <w:trPr>
          <w:trHeight w:val="405"/>
        </w:trPr>
        <w:tc>
          <w:tcPr>
            <w:tcW w:w="6960" w:type="dxa"/>
            <w:vAlign w:val="bottom"/>
            <w:gridSpan w:val="2"/>
          </w:tcPr>
          <w:p>
            <w:pPr>
              <w:spacing w:after="0"/>
              <w:rPr>
                <w:sz w:val="20"/>
                <w:szCs w:val="20"/>
                <w:color w:val="auto"/>
              </w:rPr>
            </w:pPr>
            <w:r>
              <w:rPr>
                <w:rFonts w:ascii="Arial" w:cs="Arial" w:eastAsia="Arial" w:hAnsi="Arial"/>
                <w:sz w:val="26"/>
                <w:szCs w:val="26"/>
                <w:color w:val="auto"/>
                <w:w w:val="98"/>
              </w:rPr>
              <w:t>Special Bridge/Bank warrants at $2.75 exercise price (3/8/11)</w:t>
            </w:r>
          </w:p>
        </w:tc>
        <w:tc>
          <w:tcPr>
            <w:tcW w:w="1640" w:type="dxa"/>
            <w:vAlign w:val="bottom"/>
          </w:tcPr>
          <w:p>
            <w:pPr>
              <w:jc w:val="center"/>
              <w:ind w:left="172"/>
              <w:spacing w:after="0"/>
              <w:rPr>
                <w:sz w:val="20"/>
                <w:szCs w:val="20"/>
                <w:color w:val="auto"/>
              </w:rPr>
            </w:pPr>
            <w:r>
              <w:rPr>
                <w:rFonts w:ascii="Arial" w:cs="Arial" w:eastAsia="Arial" w:hAnsi="Arial"/>
                <w:sz w:val="26"/>
                <w:szCs w:val="26"/>
                <w:color w:val="auto"/>
              </w:rPr>
              <w:t>1.1M</w:t>
            </w:r>
          </w:p>
        </w:tc>
      </w:tr>
      <w:tr>
        <w:trPr>
          <w:trHeight w:val="405"/>
        </w:trPr>
        <w:tc>
          <w:tcPr>
            <w:tcW w:w="5260" w:type="dxa"/>
            <w:vAlign w:val="bottom"/>
          </w:tcPr>
          <w:p>
            <w:pPr>
              <w:spacing w:after="0"/>
              <w:rPr>
                <w:sz w:val="20"/>
                <w:szCs w:val="20"/>
                <w:color w:val="auto"/>
              </w:rPr>
            </w:pPr>
            <w:r>
              <w:rPr>
                <w:rFonts w:ascii="Arial" w:cs="Arial" w:eastAsia="Arial" w:hAnsi="Arial"/>
                <w:sz w:val="26"/>
                <w:szCs w:val="26"/>
                <w:color w:val="auto"/>
              </w:rPr>
              <w:t>Out-of-the-money warrants (3/8/11)</w:t>
            </w:r>
          </w:p>
        </w:tc>
        <w:tc>
          <w:tcPr>
            <w:tcW w:w="1700" w:type="dxa"/>
            <w:vAlign w:val="bottom"/>
          </w:tcPr>
          <w:p>
            <w:pPr>
              <w:spacing w:after="0"/>
              <w:rPr>
                <w:sz w:val="24"/>
                <w:szCs w:val="24"/>
                <w:color w:val="auto"/>
              </w:rPr>
            </w:pPr>
          </w:p>
        </w:tc>
        <w:tc>
          <w:tcPr>
            <w:tcW w:w="1640" w:type="dxa"/>
            <w:vAlign w:val="bottom"/>
          </w:tcPr>
          <w:p>
            <w:pPr>
              <w:jc w:val="center"/>
              <w:ind w:left="112"/>
              <w:spacing w:after="0"/>
              <w:rPr>
                <w:sz w:val="20"/>
                <w:szCs w:val="20"/>
                <w:color w:val="auto"/>
              </w:rPr>
            </w:pPr>
            <w:r>
              <w:rPr>
                <w:rFonts w:ascii="Arial" w:cs="Arial" w:eastAsia="Arial" w:hAnsi="Arial"/>
                <w:sz w:val="26"/>
                <w:szCs w:val="26"/>
                <w:color w:val="auto"/>
                <w:w w:val="98"/>
              </w:rPr>
              <w:t>6.6 M</w:t>
            </w:r>
          </w:p>
        </w:tc>
      </w:tr>
      <w:tr>
        <w:trPr>
          <w:trHeight w:val="416"/>
        </w:trPr>
        <w:tc>
          <w:tcPr>
            <w:tcW w:w="5260" w:type="dxa"/>
            <w:vAlign w:val="bottom"/>
          </w:tcPr>
          <w:p>
            <w:pPr>
              <w:spacing w:after="0"/>
              <w:rPr>
                <w:sz w:val="20"/>
                <w:szCs w:val="20"/>
                <w:color w:val="auto"/>
              </w:rPr>
            </w:pPr>
            <w:r>
              <w:rPr>
                <w:rFonts w:ascii="Arial" w:cs="Arial" w:eastAsia="Arial" w:hAnsi="Arial"/>
                <w:sz w:val="26"/>
                <w:szCs w:val="26"/>
                <w:color w:val="auto"/>
              </w:rPr>
              <w:t>3Q 10 Net Income (Loss):</w:t>
            </w:r>
          </w:p>
        </w:tc>
        <w:tc>
          <w:tcPr>
            <w:tcW w:w="1700" w:type="dxa"/>
            <w:vAlign w:val="bottom"/>
          </w:tcPr>
          <w:p>
            <w:pPr>
              <w:spacing w:after="0"/>
              <w:rPr>
                <w:sz w:val="24"/>
                <w:szCs w:val="24"/>
                <w:color w:val="auto"/>
              </w:rPr>
            </w:pPr>
          </w:p>
        </w:tc>
        <w:tc>
          <w:tcPr>
            <w:tcW w:w="1640" w:type="dxa"/>
            <w:vAlign w:val="bottom"/>
          </w:tcPr>
          <w:p>
            <w:pPr>
              <w:jc w:val="right"/>
              <w:ind w:right="212"/>
              <w:spacing w:after="0"/>
              <w:rPr>
                <w:sz w:val="20"/>
                <w:szCs w:val="20"/>
                <w:color w:val="auto"/>
              </w:rPr>
            </w:pPr>
            <w:r>
              <w:rPr>
                <w:rFonts w:ascii="Arial" w:cs="Arial" w:eastAsia="Arial" w:hAnsi="Arial"/>
                <w:sz w:val="26"/>
                <w:szCs w:val="26"/>
                <w:color w:val="auto"/>
              </w:rPr>
              <w:t>($2.8 M)</w:t>
            </w:r>
          </w:p>
        </w:tc>
      </w:tr>
      <w:tr>
        <w:trPr>
          <w:trHeight w:val="405"/>
        </w:trPr>
        <w:tc>
          <w:tcPr>
            <w:tcW w:w="5260" w:type="dxa"/>
            <w:vAlign w:val="bottom"/>
          </w:tcPr>
          <w:p>
            <w:pPr>
              <w:spacing w:after="0"/>
              <w:rPr>
                <w:sz w:val="20"/>
                <w:szCs w:val="20"/>
                <w:color w:val="auto"/>
              </w:rPr>
            </w:pPr>
            <w:r>
              <w:rPr>
                <w:rFonts w:ascii="Arial" w:cs="Arial" w:eastAsia="Arial" w:hAnsi="Arial"/>
                <w:sz w:val="26"/>
                <w:szCs w:val="26"/>
                <w:color w:val="auto"/>
              </w:rPr>
              <w:t>Net Granted stock options</w:t>
            </w:r>
          </w:p>
        </w:tc>
        <w:tc>
          <w:tcPr>
            <w:tcW w:w="1700" w:type="dxa"/>
            <w:vAlign w:val="bottom"/>
          </w:tcPr>
          <w:p>
            <w:pPr>
              <w:spacing w:after="0"/>
              <w:rPr>
                <w:sz w:val="24"/>
                <w:szCs w:val="24"/>
                <w:color w:val="auto"/>
              </w:rPr>
            </w:pPr>
          </w:p>
        </w:tc>
        <w:tc>
          <w:tcPr>
            <w:tcW w:w="1640" w:type="dxa"/>
            <w:vAlign w:val="bottom"/>
          </w:tcPr>
          <w:p>
            <w:pPr>
              <w:jc w:val="center"/>
              <w:ind w:left="112"/>
              <w:spacing w:after="0"/>
              <w:rPr>
                <w:sz w:val="20"/>
                <w:szCs w:val="20"/>
                <w:color w:val="auto"/>
              </w:rPr>
            </w:pPr>
            <w:r>
              <w:rPr>
                <w:rFonts w:ascii="Arial" w:cs="Arial" w:eastAsia="Arial" w:hAnsi="Arial"/>
                <w:sz w:val="26"/>
                <w:szCs w:val="26"/>
                <w:color w:val="auto"/>
                <w:w w:val="98"/>
              </w:rPr>
              <w:t>3.1 M</w:t>
            </w:r>
          </w:p>
        </w:tc>
      </w:tr>
      <w:tr>
        <w:trPr>
          <w:trHeight w:val="416"/>
        </w:trPr>
        <w:tc>
          <w:tcPr>
            <w:tcW w:w="5260" w:type="dxa"/>
            <w:vAlign w:val="bottom"/>
          </w:tcPr>
          <w:p>
            <w:pPr>
              <w:spacing w:after="0"/>
              <w:rPr>
                <w:sz w:val="20"/>
                <w:szCs w:val="20"/>
                <w:color w:val="auto"/>
              </w:rPr>
            </w:pPr>
            <w:r>
              <w:rPr>
                <w:rFonts w:ascii="Arial" w:cs="Arial" w:eastAsia="Arial" w:hAnsi="Arial"/>
                <w:sz w:val="26"/>
                <w:szCs w:val="26"/>
                <w:color w:val="auto"/>
              </w:rPr>
              <w:t>Director and Officer Ownership:</w:t>
            </w:r>
          </w:p>
        </w:tc>
        <w:tc>
          <w:tcPr>
            <w:tcW w:w="1700" w:type="dxa"/>
            <w:vAlign w:val="bottom"/>
          </w:tcPr>
          <w:p>
            <w:pPr>
              <w:spacing w:after="0"/>
              <w:rPr>
                <w:sz w:val="24"/>
                <w:szCs w:val="24"/>
                <w:color w:val="auto"/>
              </w:rPr>
            </w:pPr>
          </w:p>
        </w:tc>
        <w:tc>
          <w:tcPr>
            <w:tcW w:w="1640" w:type="dxa"/>
            <w:vAlign w:val="bottom"/>
          </w:tcPr>
          <w:p>
            <w:pPr>
              <w:jc w:val="right"/>
              <w:ind w:right="212"/>
              <w:spacing w:after="0"/>
              <w:rPr>
                <w:sz w:val="20"/>
                <w:szCs w:val="20"/>
                <w:color w:val="auto"/>
              </w:rPr>
            </w:pPr>
            <w:r>
              <w:rPr>
                <w:rFonts w:ascii="Arial" w:cs="Arial" w:eastAsia="Arial" w:hAnsi="Arial"/>
                <w:sz w:val="26"/>
                <w:szCs w:val="26"/>
                <w:color w:val="auto"/>
              </w:rPr>
              <w:t>8.7%</w:t>
            </w:r>
          </w:p>
        </w:tc>
      </w:tr>
      <w:tr>
        <w:trPr>
          <w:trHeight w:val="437"/>
        </w:trPr>
        <w:tc>
          <w:tcPr>
            <w:tcW w:w="5260" w:type="dxa"/>
            <w:vAlign w:val="bottom"/>
          </w:tcPr>
          <w:p>
            <w:pPr>
              <w:spacing w:after="0"/>
              <w:rPr>
                <w:sz w:val="20"/>
                <w:szCs w:val="20"/>
                <w:color w:val="auto"/>
              </w:rPr>
            </w:pPr>
            <w:r>
              <w:rPr>
                <w:rFonts w:ascii="Arial" w:cs="Arial" w:eastAsia="Arial" w:hAnsi="Arial"/>
                <w:sz w:val="26"/>
                <w:szCs w:val="26"/>
                <w:color w:val="auto"/>
              </w:rPr>
              <w:t>Warrant Exchange/Ticker:</w:t>
            </w:r>
          </w:p>
        </w:tc>
        <w:tc>
          <w:tcPr>
            <w:tcW w:w="3340" w:type="dxa"/>
            <w:vAlign w:val="bottom"/>
            <w:gridSpan w:val="2"/>
          </w:tcPr>
          <w:p>
            <w:pPr>
              <w:jc w:val="right"/>
              <w:spacing w:after="0"/>
              <w:rPr>
                <w:sz w:val="20"/>
                <w:szCs w:val="20"/>
                <w:color w:val="auto"/>
              </w:rPr>
            </w:pPr>
            <w:r>
              <w:rPr>
                <w:rFonts w:ascii="Arial" w:cs="Arial" w:eastAsia="Arial" w:hAnsi="Arial"/>
                <w:sz w:val="26"/>
                <w:szCs w:val="26"/>
                <w:color w:val="auto"/>
              </w:rPr>
              <w:t>NYSE Amex: VRNG-W</w:t>
            </w:r>
          </w:p>
        </w:tc>
      </w:tr>
      <w:tr>
        <w:trPr>
          <w:trHeight w:val="416"/>
        </w:trPr>
        <w:tc>
          <w:tcPr>
            <w:tcW w:w="5260" w:type="dxa"/>
            <w:vAlign w:val="bottom"/>
          </w:tcPr>
          <w:p>
            <w:pPr>
              <w:spacing w:after="0"/>
              <w:rPr>
                <w:sz w:val="20"/>
                <w:szCs w:val="20"/>
                <w:color w:val="auto"/>
              </w:rPr>
            </w:pPr>
            <w:r>
              <w:rPr>
                <w:rFonts w:ascii="Arial" w:cs="Arial" w:eastAsia="Arial" w:hAnsi="Arial"/>
                <w:sz w:val="26"/>
                <w:szCs w:val="26"/>
                <w:color w:val="auto"/>
              </w:rPr>
              <w:t>VRNG-W Recent Price (3/8/11):</w:t>
            </w:r>
          </w:p>
        </w:tc>
        <w:tc>
          <w:tcPr>
            <w:tcW w:w="1700" w:type="dxa"/>
            <w:vAlign w:val="bottom"/>
          </w:tcPr>
          <w:p>
            <w:pPr>
              <w:spacing w:after="0"/>
              <w:rPr>
                <w:sz w:val="24"/>
                <w:szCs w:val="24"/>
                <w:color w:val="auto"/>
              </w:rPr>
            </w:pPr>
          </w:p>
        </w:tc>
        <w:tc>
          <w:tcPr>
            <w:tcW w:w="1640" w:type="dxa"/>
            <w:vAlign w:val="bottom"/>
          </w:tcPr>
          <w:p>
            <w:pPr>
              <w:jc w:val="center"/>
              <w:ind w:left="152"/>
              <w:spacing w:after="0"/>
              <w:rPr>
                <w:sz w:val="20"/>
                <w:szCs w:val="20"/>
                <w:color w:val="auto"/>
              </w:rPr>
            </w:pPr>
            <w:r>
              <w:rPr>
                <w:rFonts w:ascii="Arial" w:cs="Arial" w:eastAsia="Arial" w:hAnsi="Arial"/>
                <w:sz w:val="26"/>
                <w:szCs w:val="26"/>
                <w:color w:val="auto"/>
                <w:w w:val="98"/>
              </w:rPr>
              <w:t>$0.14</w:t>
            </w:r>
          </w:p>
        </w:tc>
      </w:tr>
      <w:tr>
        <w:trPr>
          <w:trHeight w:val="437"/>
        </w:trPr>
        <w:tc>
          <w:tcPr>
            <w:tcW w:w="5260" w:type="dxa"/>
            <w:vAlign w:val="bottom"/>
          </w:tcPr>
          <w:p>
            <w:pPr>
              <w:spacing w:after="0"/>
              <w:rPr>
                <w:sz w:val="20"/>
                <w:szCs w:val="20"/>
                <w:color w:val="auto"/>
              </w:rPr>
            </w:pPr>
            <w:r>
              <w:rPr>
                <w:rFonts w:ascii="Arial" w:cs="Arial" w:eastAsia="Arial" w:hAnsi="Arial"/>
                <w:sz w:val="26"/>
                <w:szCs w:val="26"/>
                <w:color w:val="auto"/>
              </w:rPr>
              <w:t>VRNG-W exercise price &amp; expiration</w:t>
            </w:r>
          </w:p>
        </w:tc>
        <w:tc>
          <w:tcPr>
            <w:tcW w:w="3340" w:type="dxa"/>
            <w:vAlign w:val="bottom"/>
            <w:gridSpan w:val="2"/>
          </w:tcPr>
          <w:p>
            <w:pPr>
              <w:jc w:val="right"/>
              <w:ind w:right="192"/>
              <w:spacing w:after="0"/>
              <w:rPr>
                <w:sz w:val="20"/>
                <w:szCs w:val="20"/>
                <w:color w:val="auto"/>
              </w:rPr>
            </w:pPr>
            <w:r>
              <w:rPr>
                <w:rFonts w:ascii="Arial" w:cs="Arial" w:eastAsia="Arial" w:hAnsi="Arial"/>
                <w:sz w:val="26"/>
                <w:szCs w:val="26"/>
                <w:color w:val="auto"/>
              </w:rPr>
              <w:t>$5.06; 6/21/15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FFFFFF"/>
        </w:rPr>
        <w:t>- Page 42 -</w:t>
      </w:r>
    </w:p>
    <w:p>
      <w:pPr>
        <w:sectPr>
          <w:pgSz w:w="11900" w:h="16838" w:orient="portrait"/>
          <w:cols w:equalWidth="0" w:num="1">
            <w:col w:w="9899"/>
          </w:cols>
          <w:pgMar w:left="560" w:top="529" w:right="1440" w:bottom="1440" w:gutter="0" w:footer="0" w:header="0"/>
        </w:sectPr>
      </w:pPr>
    </w:p>
    <w:bookmarkStart w:id="45" w:name="page46"/>
    <w:bookmarkEnd w:id="45"/>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4972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4565" cy="4972050"/>
                    </a:xfrm>
                    <a:prstGeom prst="rect">
                      <a:avLst/>
                    </a:prstGeom>
                    <a:noFill/>
                  </pic:spPr>
                </pic:pic>
              </a:graphicData>
            </a:graphic>
          </wp:anchor>
        </w:drawing>
        <w:t>Investment Highlights: Recap</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99"/>
        </w:trPr>
        <w:tc>
          <w:tcPr>
            <w:tcW w:w="314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0"/>
              <w:spacing w:after="0"/>
              <w:rPr>
                <w:sz w:val="20"/>
                <w:szCs w:val="20"/>
                <w:color w:val="auto"/>
              </w:rPr>
            </w:pPr>
            <w:r>
              <w:rPr>
                <w:rFonts w:ascii="Arial" w:cs="Arial" w:eastAsia="Arial" w:hAnsi="Arial"/>
                <w:sz w:val="26"/>
                <w:szCs w:val="26"/>
                <w:b w:val="1"/>
                <w:bCs w:val="1"/>
                <w:color w:val="auto"/>
              </w:rPr>
              <w:t>Proven technology and products</w:t>
            </w:r>
          </w:p>
        </w:tc>
        <w:tc>
          <w:tcPr>
            <w:tcW w:w="0" w:type="dxa"/>
            <w:vAlign w:val="bottom"/>
          </w:tcPr>
          <w:p>
            <w:pPr>
              <w:spacing w:after="0"/>
              <w:rPr>
                <w:sz w:val="1"/>
                <w:szCs w:val="1"/>
                <w:color w:val="auto"/>
              </w:rPr>
            </w:pPr>
          </w:p>
        </w:tc>
      </w:tr>
      <w:tr>
        <w:trPr>
          <w:trHeight w:val="264"/>
        </w:trPr>
        <w:tc>
          <w:tcPr>
            <w:tcW w:w="314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0"/>
              <w:spacing w:after="0" w:line="263" w:lineRule="exact"/>
              <w:rPr>
                <w:sz w:val="20"/>
                <w:szCs w:val="20"/>
                <w:color w:val="auto"/>
              </w:rPr>
            </w:pPr>
            <w:r>
              <w:rPr>
                <w:rFonts w:ascii="Arial" w:cs="Arial" w:eastAsia="Arial" w:hAnsi="Arial"/>
                <w:sz w:val="26"/>
                <w:szCs w:val="26"/>
                <w:b w:val="1"/>
                <w:bCs w:val="1"/>
                <w:color w:val="auto"/>
              </w:rPr>
              <w:t>Scalable business model</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0"/>
              <w:spacing w:after="0" w:line="256" w:lineRule="exact"/>
              <w:rPr>
                <w:sz w:val="20"/>
                <w:szCs w:val="20"/>
                <w:color w:val="auto"/>
              </w:rPr>
            </w:pPr>
            <w:r>
              <w:rPr>
                <w:rFonts w:ascii="Arial" w:cs="Arial" w:eastAsia="Arial" w:hAnsi="Arial"/>
                <w:sz w:val="26"/>
                <w:szCs w:val="26"/>
                <w:b w:val="1"/>
                <w:bCs w:val="1"/>
                <w:color w:val="auto"/>
              </w:rPr>
              <w:t>Major contracts signed with international mobile carriers</w:t>
            </w:r>
          </w:p>
        </w:tc>
        <w:tc>
          <w:tcPr>
            <w:tcW w:w="0" w:type="dxa"/>
            <w:vAlign w:val="bottom"/>
          </w:tcPr>
          <w:p>
            <w:pPr>
              <w:spacing w:after="0"/>
              <w:rPr>
                <w:sz w:val="1"/>
                <w:szCs w:val="1"/>
                <w:color w:val="auto"/>
              </w:rPr>
            </w:pPr>
          </w:p>
        </w:tc>
      </w:tr>
      <w:tr>
        <w:trPr>
          <w:trHeight w:val="267"/>
        </w:trPr>
        <w:tc>
          <w:tcPr>
            <w:tcW w:w="3380" w:type="dxa"/>
            <w:vAlign w:val="bottom"/>
            <w:gridSpan w:val="2"/>
          </w:tcPr>
          <w:p>
            <w:pPr>
              <w:jc w:val="center"/>
              <w:spacing w:after="0" w:line="267" w:lineRule="exact"/>
              <w:rPr>
                <w:sz w:val="20"/>
                <w:szCs w:val="20"/>
                <w:color w:val="auto"/>
              </w:rPr>
            </w:pPr>
            <w:r>
              <w:rPr>
                <w:rFonts w:ascii="Arial" w:cs="Arial" w:eastAsia="Arial" w:hAnsi="Arial"/>
                <w:sz w:val="26"/>
                <w:szCs w:val="26"/>
                <w:b w:val="1"/>
                <w:bCs w:val="1"/>
                <w:color w:val="FFFFFF"/>
                <w:w w:val="98"/>
              </w:rPr>
              <w:t>Strong Platform for Growth</w:t>
            </w:r>
          </w:p>
        </w:tc>
        <w:tc>
          <w:tcPr>
            <w:tcW w:w="7280" w:type="dxa"/>
            <w:vAlign w:val="bottom"/>
          </w:tcPr>
          <w:p>
            <w:pPr>
              <w:ind w:left="40"/>
              <w:spacing w:after="0" w:line="267" w:lineRule="exact"/>
              <w:rPr>
                <w:sz w:val="20"/>
                <w:szCs w:val="20"/>
                <w:color w:val="auto"/>
              </w:rPr>
            </w:pPr>
            <w:r>
              <w:rPr>
                <w:rFonts w:ascii="Arial" w:cs="Arial" w:eastAsia="Arial" w:hAnsi="Arial"/>
                <w:sz w:val="26"/>
                <w:szCs w:val="26"/>
                <w:b w:val="1"/>
                <w:bCs w:val="1"/>
                <w:color w:val="auto"/>
              </w:rPr>
              <w:t>and content providers</w:t>
            </w:r>
          </w:p>
        </w:tc>
        <w:tc>
          <w:tcPr>
            <w:tcW w:w="0" w:type="dxa"/>
            <w:vAlign w:val="bottom"/>
          </w:tcPr>
          <w:p>
            <w:pPr>
              <w:spacing w:after="0"/>
              <w:rPr>
                <w:sz w:val="1"/>
                <w:szCs w:val="1"/>
                <w:color w:val="auto"/>
              </w:rPr>
            </w:pPr>
          </w:p>
        </w:tc>
      </w:tr>
      <w:tr>
        <w:trPr>
          <w:trHeight w:val="340"/>
        </w:trPr>
        <w:tc>
          <w:tcPr>
            <w:tcW w:w="314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0"/>
              <w:spacing w:after="0"/>
              <w:rPr>
                <w:sz w:val="20"/>
                <w:szCs w:val="20"/>
                <w:color w:val="auto"/>
              </w:rPr>
            </w:pPr>
            <w:r>
              <w:rPr>
                <w:rFonts w:ascii="Arial" w:cs="Arial" w:eastAsia="Arial" w:hAnsi="Arial"/>
                <w:sz w:val="26"/>
                <w:szCs w:val="26"/>
                <w:b w:val="1"/>
                <w:bCs w:val="1"/>
                <w:color w:val="auto"/>
                <w:w w:val="98"/>
              </w:rPr>
              <w:t>Robust Video Ringtone platform ready to deploy as turnkey</w:t>
            </w:r>
          </w:p>
        </w:tc>
        <w:tc>
          <w:tcPr>
            <w:tcW w:w="0" w:type="dxa"/>
            <w:vAlign w:val="bottom"/>
          </w:tcPr>
          <w:p>
            <w:pPr>
              <w:spacing w:after="0"/>
              <w:rPr>
                <w:sz w:val="1"/>
                <w:szCs w:val="1"/>
                <w:color w:val="auto"/>
              </w:rPr>
            </w:pPr>
          </w:p>
        </w:tc>
      </w:tr>
      <w:tr>
        <w:trPr>
          <w:trHeight w:val="482"/>
        </w:trPr>
        <w:tc>
          <w:tcPr>
            <w:tcW w:w="3140" w:type="dxa"/>
            <w:vAlign w:val="bottom"/>
          </w:tcPr>
          <w:p>
            <w:pPr>
              <w:spacing w:after="0"/>
              <w:rPr>
                <w:sz w:val="24"/>
                <w:szCs w:val="24"/>
                <w:color w:val="auto"/>
              </w:rPr>
            </w:pPr>
          </w:p>
        </w:tc>
        <w:tc>
          <w:tcPr>
            <w:tcW w:w="2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3340"/>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78"/>
        </w:trPr>
        <w:tc>
          <w:tcPr>
            <w:tcW w:w="314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FFFFFF"/>
              </w:rPr>
              <w:t>Fast Growing Markets</w:t>
            </w:r>
          </w:p>
        </w:tc>
        <w:tc>
          <w:tcPr>
            <w:tcW w:w="240" w:type="dxa"/>
            <w:vAlign w:val="bottom"/>
            <w:vMerge w:val="continue"/>
          </w:tcPr>
          <w:p>
            <w:pPr>
              <w:spacing w:after="0"/>
              <w:rPr>
                <w:sz w:val="6"/>
                <w:szCs w:val="6"/>
                <w:color w:val="auto"/>
              </w:rPr>
            </w:pPr>
          </w:p>
        </w:tc>
        <w:tc>
          <w:tcPr>
            <w:tcW w:w="7280" w:type="dxa"/>
            <w:vAlign w:val="bottom"/>
          </w:tcPr>
          <w:p>
            <w:pPr>
              <w:ind w:left="40"/>
              <w:spacing w:after="0" w:line="78" w:lineRule="exact"/>
              <w:rPr>
                <w:sz w:val="20"/>
                <w:szCs w:val="20"/>
                <w:color w:val="auto"/>
              </w:rPr>
            </w:pPr>
            <w:r>
              <w:rPr>
                <w:rFonts w:ascii="Arial" w:cs="Arial" w:eastAsia="Arial" w:hAnsi="Arial"/>
                <w:sz w:val="9"/>
                <w:szCs w:val="9"/>
                <w:b w:val="1"/>
                <w:bCs w:val="1"/>
                <w:color w:val="auto"/>
              </w:rPr>
              <w:t>4.6 B global mobile subscribers</w:t>
            </w:r>
          </w:p>
        </w:tc>
        <w:tc>
          <w:tcPr>
            <w:tcW w:w="0" w:type="dxa"/>
            <w:vAlign w:val="bottom"/>
          </w:tcPr>
          <w:p>
            <w:pPr>
              <w:spacing w:after="0"/>
              <w:rPr>
                <w:sz w:val="1"/>
                <w:szCs w:val="1"/>
                <w:color w:val="auto"/>
              </w:rPr>
            </w:pPr>
          </w:p>
        </w:tc>
      </w:tr>
      <w:tr>
        <w:trPr>
          <w:trHeight w:val="35"/>
        </w:trPr>
        <w:tc>
          <w:tcPr>
            <w:tcW w:w="3140" w:type="dxa"/>
            <w:vAlign w:val="bottom"/>
            <w:vMerge w:val="continue"/>
          </w:tcPr>
          <w:p>
            <w:pPr>
              <w:spacing w:after="0"/>
              <w:rPr>
                <w:sz w:val="3"/>
                <w:szCs w:val="3"/>
                <w:color w:val="auto"/>
              </w:rPr>
            </w:pPr>
          </w:p>
        </w:tc>
        <w:tc>
          <w:tcPr>
            <w:tcW w:w="240" w:type="dxa"/>
            <w:vAlign w:val="bottom"/>
          </w:tcPr>
          <w:p>
            <w:pPr>
              <w:ind w:left="80"/>
              <w:spacing w:after="0" w:line="35" w:lineRule="exact"/>
              <w:rPr>
                <w:sz w:val="20"/>
                <w:szCs w:val="20"/>
                <w:color w:val="auto"/>
              </w:rPr>
            </w:pPr>
            <w:r>
              <w:rPr>
                <w:rFonts w:ascii="Arial" w:cs="Arial" w:eastAsia="Arial" w:hAnsi="Arial"/>
                <w:sz w:val="4"/>
                <w:szCs w:val="4"/>
                <w:color w:val="auto"/>
              </w:rPr>
              <w:t>•</w:t>
            </w:r>
          </w:p>
        </w:tc>
        <w:tc>
          <w:tcPr>
            <w:tcW w:w="7280" w:type="dxa"/>
            <w:vAlign w:val="bottom"/>
          </w:tcPr>
          <w:p>
            <w:pPr>
              <w:ind w:left="40"/>
              <w:spacing w:after="0" w:line="35" w:lineRule="exact"/>
              <w:rPr>
                <w:sz w:val="20"/>
                <w:szCs w:val="20"/>
                <w:color w:val="auto"/>
              </w:rPr>
            </w:pPr>
            <w:r>
              <w:rPr>
                <w:rFonts w:ascii="Arial" w:cs="Arial" w:eastAsia="Arial" w:hAnsi="Arial"/>
                <w:sz w:val="4"/>
                <w:szCs w:val="4"/>
                <w:b w:val="1"/>
                <w:bCs w:val="1"/>
                <w:color w:val="auto"/>
              </w:rPr>
              <w:t>534 M global mobile video subscribers by 2014</w:t>
            </w:r>
          </w:p>
        </w:tc>
        <w:tc>
          <w:tcPr>
            <w:tcW w:w="0" w:type="dxa"/>
            <w:vAlign w:val="bottom"/>
          </w:tcPr>
          <w:p>
            <w:pPr>
              <w:spacing w:after="0" w:line="20" w:lineRule="exact"/>
              <w:rPr>
                <w:sz w:val="1"/>
                <w:szCs w:val="1"/>
                <w:color w:val="auto"/>
              </w:rPr>
            </w:pPr>
          </w:p>
        </w:tc>
      </w:tr>
      <w:tr>
        <w:trPr>
          <w:trHeight w:val="221"/>
        </w:trPr>
        <w:tc>
          <w:tcPr>
            <w:tcW w:w="3140" w:type="dxa"/>
            <w:vAlign w:val="bottom"/>
          </w:tcPr>
          <w:p>
            <w:pPr>
              <w:spacing w:after="0"/>
              <w:rPr>
                <w:sz w:val="19"/>
                <w:szCs w:val="19"/>
                <w:color w:val="auto"/>
              </w:rPr>
            </w:pPr>
          </w:p>
        </w:tc>
        <w:tc>
          <w:tcPr>
            <w:tcW w:w="2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5000"/>
              <w:spacing w:after="0"/>
              <w:rPr>
                <w:sz w:val="20"/>
                <w:szCs w:val="20"/>
                <w:color w:val="auto"/>
              </w:rPr>
            </w:pPr>
            <w:r>
              <w:rPr>
                <w:rFonts w:ascii="Arial" w:cs="Arial" w:eastAsia="Arial" w:hAnsi="Arial"/>
                <w:sz w:val="17"/>
                <w:szCs w:val="17"/>
                <w:b w:val="1"/>
                <w:bCs w:val="1"/>
                <w:color w:val="auto"/>
              </w:rPr>
              <w:t>(2)(4)</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7280" w:type="dxa"/>
            <w:vAlign w:val="bottom"/>
          </w:tcPr>
          <w:p>
            <w:pPr>
              <w:ind w:left="40"/>
              <w:spacing w:after="0" w:line="35" w:lineRule="exact"/>
              <w:rPr>
                <w:sz w:val="20"/>
                <w:szCs w:val="20"/>
                <w:color w:val="auto"/>
              </w:rPr>
            </w:pPr>
            <w:r>
              <w:rPr>
                <w:rFonts w:ascii="Arial" w:cs="Arial" w:eastAsia="Arial" w:hAnsi="Arial"/>
                <w:sz w:val="4"/>
                <w:szCs w:val="4"/>
                <w:b w:val="1"/>
                <w:bCs w:val="1"/>
                <w:color w:val="auto"/>
              </w:rPr>
              <w:t>$25 B mobile application market by 2014</w:t>
            </w:r>
          </w:p>
        </w:tc>
        <w:tc>
          <w:tcPr>
            <w:tcW w:w="0" w:type="dxa"/>
            <w:vAlign w:val="bottom"/>
          </w:tcPr>
          <w:p>
            <w:pPr>
              <w:spacing w:after="0" w:line="20" w:lineRule="exact"/>
              <w:rPr>
                <w:sz w:val="1"/>
                <w:szCs w:val="1"/>
                <w:color w:val="auto"/>
              </w:rPr>
            </w:pPr>
          </w:p>
        </w:tc>
      </w:tr>
      <w:tr>
        <w:trPr>
          <w:trHeight w:val="224"/>
        </w:trPr>
        <w:tc>
          <w:tcPr>
            <w:tcW w:w="3140" w:type="dxa"/>
            <w:vAlign w:val="bottom"/>
          </w:tcPr>
          <w:p>
            <w:pPr>
              <w:spacing w:after="0"/>
              <w:rPr>
                <w:sz w:val="19"/>
                <w:szCs w:val="19"/>
                <w:color w:val="auto"/>
              </w:rPr>
            </w:pPr>
          </w:p>
        </w:tc>
        <w:tc>
          <w:tcPr>
            <w:tcW w:w="2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7280" w:type="dxa"/>
            <w:vAlign w:val="bottom"/>
          </w:tcPr>
          <w:p>
            <w:pPr>
              <w:ind w:left="4380"/>
              <w:spacing w:after="0"/>
              <w:rPr>
                <w:sz w:val="20"/>
                <w:szCs w:val="20"/>
                <w:color w:val="auto"/>
              </w:rPr>
            </w:pPr>
            <w:r>
              <w:rPr>
                <w:rFonts w:ascii="Arial" w:cs="Arial" w:eastAsia="Arial" w:hAnsi="Arial"/>
                <w:sz w:val="17"/>
                <w:szCs w:val="17"/>
                <w:b w:val="1"/>
                <w:bCs w:val="1"/>
                <w:color w:val="auto"/>
              </w:rPr>
              <w:t>(3)(5)</w:t>
            </w:r>
          </w:p>
        </w:tc>
        <w:tc>
          <w:tcPr>
            <w:tcW w:w="0" w:type="dxa"/>
            <w:vAlign w:val="bottom"/>
          </w:tcPr>
          <w:p>
            <w:pPr>
              <w:spacing w:after="0"/>
              <w:rPr>
                <w:sz w:val="1"/>
                <w:szCs w:val="1"/>
                <w:color w:val="auto"/>
              </w:rPr>
            </w:pPr>
          </w:p>
        </w:tc>
      </w:tr>
      <w:tr>
        <w:trPr>
          <w:trHeight w:val="42"/>
        </w:trPr>
        <w:tc>
          <w:tcPr>
            <w:tcW w:w="31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7280" w:type="dxa"/>
            <w:vAlign w:val="bottom"/>
          </w:tcPr>
          <w:p>
            <w:pPr>
              <w:ind w:left="40"/>
              <w:spacing w:after="0" w:line="43" w:lineRule="exact"/>
              <w:rPr>
                <w:sz w:val="20"/>
                <w:szCs w:val="20"/>
                <w:color w:val="auto"/>
              </w:rPr>
            </w:pPr>
            <w:r>
              <w:rPr>
                <w:rFonts w:ascii="Arial" w:cs="Arial" w:eastAsia="Arial" w:hAnsi="Arial"/>
                <w:sz w:val="4"/>
                <w:szCs w:val="4"/>
                <w:b w:val="1"/>
                <w:bCs w:val="1"/>
                <w:color w:val="auto"/>
              </w:rPr>
              <w:t>$29 B mobile content market by 2012</w:t>
            </w:r>
          </w:p>
        </w:tc>
        <w:tc>
          <w:tcPr>
            <w:tcW w:w="0" w:type="dxa"/>
            <w:vAlign w:val="bottom"/>
          </w:tcPr>
          <w:p>
            <w:pPr>
              <w:spacing w:after="0"/>
              <w:rPr>
                <w:sz w:val="1"/>
                <w:szCs w:val="1"/>
                <w:color w:val="auto"/>
              </w:rPr>
            </w:pPr>
          </w:p>
        </w:tc>
      </w:tr>
      <w:tr>
        <w:trPr>
          <w:trHeight w:val="224"/>
        </w:trPr>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tcPr>
          <w:p>
            <w:pPr>
              <w:ind w:left="4020"/>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680"/>
        </w:trPr>
        <w:tc>
          <w:tcPr>
            <w:tcW w:w="3140" w:type="dxa"/>
            <w:vAlign w:val="bottom"/>
            <w:vMerge w:val="restart"/>
          </w:tcPr>
          <w:p>
            <w:pPr>
              <w:jc w:val="center"/>
              <w:spacing w:after="0"/>
              <w:rPr>
                <w:sz w:val="20"/>
                <w:szCs w:val="20"/>
                <w:color w:val="auto"/>
              </w:rPr>
            </w:pPr>
            <w:r>
              <w:rPr>
                <w:rFonts w:ascii="Arial" w:cs="Arial" w:eastAsia="Arial" w:hAnsi="Arial"/>
                <w:sz w:val="26"/>
                <w:szCs w:val="26"/>
                <w:b w:val="1"/>
                <w:bCs w:val="1"/>
                <w:color w:val="FFFFFF"/>
                <w:w w:val="98"/>
              </w:rPr>
              <w:t>Established and Well</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7280" w:type="dxa"/>
            <w:vAlign w:val="bottom"/>
          </w:tcPr>
          <w:p>
            <w:pPr>
              <w:ind w:left="60"/>
              <w:spacing w:after="0"/>
              <w:rPr>
                <w:sz w:val="20"/>
                <w:szCs w:val="20"/>
                <w:color w:val="auto"/>
              </w:rPr>
            </w:pPr>
            <w:r>
              <w:rPr>
                <w:rFonts w:ascii="Arial" w:cs="Arial" w:eastAsia="Arial" w:hAnsi="Arial"/>
                <w:sz w:val="26"/>
                <w:szCs w:val="26"/>
                <w:b w:val="1"/>
                <w:bCs w:val="1"/>
                <w:color w:val="auto"/>
              </w:rPr>
              <w:t>Strong management team and BOD with experience in the</w:t>
            </w:r>
          </w:p>
        </w:tc>
        <w:tc>
          <w:tcPr>
            <w:tcW w:w="0" w:type="dxa"/>
            <w:vAlign w:val="bottom"/>
          </w:tcPr>
          <w:p>
            <w:pPr>
              <w:spacing w:after="0"/>
              <w:rPr>
                <w:sz w:val="1"/>
                <w:szCs w:val="1"/>
                <w:color w:val="auto"/>
              </w:rPr>
            </w:pPr>
          </w:p>
        </w:tc>
      </w:tr>
      <w:tr>
        <w:trPr>
          <w:trHeight w:val="264"/>
        </w:trPr>
        <w:tc>
          <w:tcPr>
            <w:tcW w:w="31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280" w:type="dxa"/>
            <w:vAlign w:val="bottom"/>
          </w:tcPr>
          <w:p>
            <w:pPr>
              <w:ind w:left="60"/>
              <w:spacing w:after="0" w:line="263" w:lineRule="exact"/>
              <w:rPr>
                <w:sz w:val="20"/>
                <w:szCs w:val="20"/>
                <w:color w:val="auto"/>
              </w:rPr>
            </w:pPr>
            <w:r>
              <w:rPr>
                <w:rFonts w:ascii="Arial" w:cs="Arial" w:eastAsia="Arial" w:hAnsi="Arial"/>
                <w:sz w:val="26"/>
                <w:szCs w:val="26"/>
                <w:b w:val="1"/>
                <w:bCs w:val="1"/>
                <w:color w:val="auto"/>
              </w:rPr>
              <w:t>U.S. financial markets</w:t>
            </w:r>
          </w:p>
        </w:tc>
        <w:tc>
          <w:tcPr>
            <w:tcW w:w="0" w:type="dxa"/>
            <w:vAlign w:val="bottom"/>
          </w:tcPr>
          <w:p>
            <w:pPr>
              <w:spacing w:after="0"/>
              <w:rPr>
                <w:sz w:val="1"/>
                <w:szCs w:val="1"/>
                <w:color w:val="auto"/>
              </w:rPr>
            </w:pPr>
          </w:p>
        </w:tc>
      </w:tr>
      <w:tr>
        <w:trPr>
          <w:trHeight w:val="288"/>
        </w:trPr>
        <w:tc>
          <w:tcPr>
            <w:tcW w:w="3140" w:type="dxa"/>
            <w:vAlign w:val="bottom"/>
          </w:tcPr>
          <w:p>
            <w:pPr>
              <w:jc w:val="center"/>
              <w:spacing w:after="0" w:line="288" w:lineRule="exact"/>
              <w:rPr>
                <w:sz w:val="20"/>
                <w:szCs w:val="20"/>
                <w:color w:val="auto"/>
              </w:rPr>
            </w:pPr>
            <w:r>
              <w:rPr>
                <w:rFonts w:ascii="Arial" w:cs="Arial" w:eastAsia="Arial" w:hAnsi="Arial"/>
                <w:sz w:val="26"/>
                <w:szCs w:val="26"/>
                <w:b w:val="1"/>
                <w:bCs w:val="1"/>
                <w:color w:val="FFFFFF"/>
                <w:w w:val="98"/>
              </w:rPr>
              <w:t>Seasoned Management</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7280" w:type="dxa"/>
            <w:vAlign w:val="bottom"/>
          </w:tcPr>
          <w:p>
            <w:pPr>
              <w:ind w:left="60"/>
              <w:spacing w:after="0" w:line="288" w:lineRule="exact"/>
              <w:rPr>
                <w:sz w:val="20"/>
                <w:szCs w:val="20"/>
                <w:color w:val="auto"/>
              </w:rPr>
            </w:pPr>
            <w:r>
              <w:rPr>
                <w:rFonts w:ascii="Arial" w:cs="Arial" w:eastAsia="Arial" w:hAnsi="Arial"/>
                <w:sz w:val="26"/>
                <w:szCs w:val="26"/>
                <w:b w:val="1"/>
                <w:bCs w:val="1"/>
                <w:color w:val="auto"/>
              </w:rPr>
              <w:t>Track record of creating, running, investing and exiting</w:t>
            </w:r>
          </w:p>
        </w:tc>
        <w:tc>
          <w:tcPr>
            <w:tcW w:w="0" w:type="dxa"/>
            <w:vAlign w:val="bottom"/>
          </w:tcPr>
          <w:p>
            <w:pPr>
              <w:spacing w:after="0"/>
              <w:rPr>
                <w:sz w:val="1"/>
                <w:szCs w:val="1"/>
                <w:color w:val="auto"/>
              </w:rPr>
            </w:pPr>
          </w:p>
        </w:tc>
      </w:tr>
      <w:tr>
        <w:trPr>
          <w:trHeight w:val="340"/>
        </w:trPr>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80" w:type="dxa"/>
            <w:vAlign w:val="bottom"/>
          </w:tcPr>
          <w:p>
            <w:pPr>
              <w:ind w:left="60"/>
              <w:spacing w:after="0"/>
              <w:rPr>
                <w:sz w:val="20"/>
                <w:szCs w:val="20"/>
                <w:color w:val="auto"/>
              </w:rPr>
            </w:pPr>
            <w:r>
              <w:rPr>
                <w:rFonts w:ascii="Arial" w:cs="Arial" w:eastAsia="Arial" w:hAnsi="Arial"/>
                <w:sz w:val="26"/>
                <w:szCs w:val="26"/>
                <w:b w:val="1"/>
                <w:bCs w:val="1"/>
                <w:color w:val="auto"/>
              </w:rPr>
              <w:t>successful technology companies</w:t>
            </w:r>
          </w:p>
        </w:tc>
        <w:tc>
          <w:tcPr>
            <w:tcW w:w="0" w:type="dxa"/>
            <w:vAlign w:val="bottom"/>
          </w:tcPr>
          <w:p>
            <w:pPr>
              <w:spacing w:after="0"/>
              <w:rPr>
                <w:sz w:val="1"/>
                <w:szCs w:val="1"/>
                <w:color w:val="auto"/>
              </w:rPr>
            </w:pPr>
          </w:p>
        </w:tc>
      </w:tr>
    </w:tbl>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20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26"/>
                <w:szCs w:val="26"/>
                <w:b w:val="1"/>
                <w:bCs w:val="1"/>
                <w:color w:val="FFFFFF"/>
                <w:w w:val="98"/>
              </w:rPr>
              <w:t>Will grow organically and</w:t>
            </w:r>
          </w:p>
        </w:tc>
        <w:tc>
          <w:tcPr>
            <w:tcW w:w="7300" w:type="dxa"/>
            <w:vAlign w:val="bottom"/>
          </w:tcPr>
          <w:p>
            <w:pPr>
              <w:ind w:left="20"/>
              <w:spacing w:after="0"/>
              <w:rPr>
                <w:sz w:val="20"/>
                <w:szCs w:val="20"/>
                <w:color w:val="auto"/>
              </w:rPr>
            </w:pPr>
            <w:r>
              <w:rPr>
                <w:rFonts w:ascii="Arial" w:cs="Arial" w:eastAsia="Arial" w:hAnsi="Arial"/>
                <w:sz w:val="26"/>
                <w:szCs w:val="26"/>
                <w:color w:val="auto"/>
              </w:rPr>
              <w:t xml:space="preserve">• </w:t>
            </w:r>
            <w:r>
              <w:rPr>
                <w:rFonts w:ascii="Arial" w:cs="Arial" w:eastAsia="Arial" w:hAnsi="Arial"/>
                <w:sz w:val="26"/>
                <w:szCs w:val="26"/>
                <w:b w:val="1"/>
                <w:bCs w:val="1"/>
                <w:color w:val="auto"/>
              </w:rPr>
              <w:t>Have announced signing of LOI for m-Wise acquisition</w:t>
            </w:r>
          </w:p>
        </w:tc>
      </w:tr>
      <w:tr>
        <w:trPr>
          <w:trHeight w:val="361"/>
        </w:trPr>
        <w:tc>
          <w:tcPr>
            <w:tcW w:w="200" w:type="dxa"/>
            <w:vAlign w:val="bottom"/>
          </w:tcPr>
          <w:p>
            <w:pPr>
              <w:spacing w:after="0"/>
              <w:rPr>
                <w:sz w:val="24"/>
                <w:szCs w:val="24"/>
                <w:color w:val="auto"/>
              </w:rPr>
            </w:pPr>
          </w:p>
        </w:tc>
        <w:tc>
          <w:tcPr>
            <w:tcW w:w="3140" w:type="dxa"/>
            <w:vAlign w:val="bottom"/>
            <w:gridSpan w:val="3"/>
          </w:tcPr>
          <w:p>
            <w:pPr>
              <w:ind w:left="320"/>
              <w:spacing w:after="0"/>
              <w:rPr>
                <w:sz w:val="20"/>
                <w:szCs w:val="20"/>
                <w:color w:val="auto"/>
              </w:rPr>
            </w:pPr>
            <w:r>
              <w:rPr>
                <w:rFonts w:ascii="Arial" w:cs="Arial" w:eastAsia="Arial" w:hAnsi="Arial"/>
                <w:sz w:val="26"/>
                <w:szCs w:val="26"/>
                <w:b w:val="1"/>
                <w:bCs w:val="1"/>
                <w:color w:val="FFFFFF"/>
              </w:rPr>
              <w:t>through acquisition</w:t>
            </w:r>
          </w:p>
        </w:tc>
        <w:tc>
          <w:tcPr>
            <w:tcW w:w="7300" w:type="dxa"/>
            <w:vAlign w:val="bottom"/>
          </w:tcPr>
          <w:p>
            <w:pPr>
              <w:ind w:left="20"/>
              <w:spacing w:after="0"/>
              <w:rPr>
                <w:sz w:val="20"/>
                <w:szCs w:val="20"/>
                <w:color w:val="auto"/>
              </w:rPr>
            </w:pPr>
            <w:r>
              <w:rPr>
                <w:rFonts w:ascii="Arial" w:cs="Arial" w:eastAsia="Arial" w:hAnsi="Arial"/>
                <w:sz w:val="26"/>
                <w:szCs w:val="26"/>
                <w:color w:val="auto"/>
                <w:w w:val="98"/>
              </w:rPr>
              <w:t xml:space="preserve">• </w:t>
            </w:r>
            <w:r>
              <w:rPr>
                <w:rFonts w:ascii="Arial" w:cs="Arial" w:eastAsia="Arial" w:hAnsi="Arial"/>
                <w:sz w:val="26"/>
                <w:szCs w:val="26"/>
                <w:b w:val="1"/>
                <w:bCs w:val="1"/>
                <w:color w:val="auto"/>
                <w:w w:val="98"/>
              </w:rPr>
              <w:t>Real opportunity for consolidation in mobile service arena</w:t>
            </w:r>
          </w:p>
        </w:tc>
      </w:tr>
      <w:tr>
        <w:trPr>
          <w:trHeight w:val="476"/>
        </w:trPr>
        <w:tc>
          <w:tcPr>
            <w:tcW w:w="200" w:type="dxa"/>
            <w:vAlign w:val="bottom"/>
          </w:tcPr>
          <w:p>
            <w:pPr>
              <w:jc w:val="right"/>
              <w:spacing w:after="0"/>
              <w:rPr>
                <w:sz w:val="20"/>
                <w:szCs w:val="20"/>
                <w:color w:val="auto"/>
              </w:rPr>
            </w:pPr>
            <w:r>
              <w:rPr>
                <w:rFonts w:ascii="Arial" w:cs="Arial" w:eastAsia="Arial" w:hAnsi="Arial"/>
                <w:sz w:val="14"/>
                <w:szCs w:val="14"/>
                <w:color w:val="auto"/>
                <w:w w:val="93"/>
              </w:rPr>
              <w:t>(1)</w:t>
            </w:r>
          </w:p>
        </w:tc>
        <w:tc>
          <w:tcPr>
            <w:tcW w:w="1660" w:type="dxa"/>
            <w:vAlign w:val="bottom"/>
          </w:tcPr>
          <w:p>
            <w:pPr>
              <w:spacing w:after="0"/>
              <w:rPr>
                <w:sz w:val="20"/>
                <w:szCs w:val="20"/>
                <w:color w:val="auto"/>
              </w:rPr>
            </w:pPr>
            <w:r>
              <w:rPr>
                <w:rFonts w:ascii="Arial" w:cs="Arial" w:eastAsia="Arial" w:hAnsi="Arial"/>
                <w:sz w:val="14"/>
                <w:szCs w:val="14"/>
                <w:color w:val="auto"/>
              </w:rPr>
              <w:t>United Nations estimate</w:t>
            </w: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120" w:type="dxa"/>
            <w:vAlign w:val="bottom"/>
          </w:tcPr>
          <w:p>
            <w:pPr>
              <w:ind w:left="20"/>
              <w:spacing w:after="0"/>
              <w:rPr>
                <w:sz w:val="20"/>
                <w:szCs w:val="20"/>
                <w:color w:val="auto"/>
              </w:rPr>
            </w:pPr>
            <w:r>
              <w:rPr>
                <w:rFonts w:ascii="Arial" w:cs="Arial" w:eastAsia="Arial" w:hAnsi="Arial"/>
                <w:sz w:val="14"/>
                <w:szCs w:val="14"/>
                <w:color w:val="auto"/>
                <w:w w:val="98"/>
              </w:rPr>
              <w:t>Juniper Research</w:t>
            </w:r>
          </w:p>
        </w:tc>
        <w:tc>
          <w:tcPr>
            <w:tcW w:w="7300" w:type="dxa"/>
            <w:vAlign w:val="bottom"/>
          </w:tcPr>
          <w:p>
            <w:pPr>
              <w:spacing w:after="0"/>
              <w:rPr>
                <w:sz w:val="24"/>
                <w:szCs w:val="24"/>
                <w:color w:val="auto"/>
              </w:rPr>
            </w:pPr>
          </w:p>
        </w:tc>
      </w:tr>
      <w:tr>
        <w:trPr>
          <w:trHeight w:val="171"/>
        </w:trPr>
        <w:tc>
          <w:tcPr>
            <w:tcW w:w="20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660" w:type="dxa"/>
            <w:vAlign w:val="bottom"/>
          </w:tcPr>
          <w:p>
            <w:pPr>
              <w:spacing w:after="0"/>
              <w:rPr>
                <w:sz w:val="20"/>
                <w:szCs w:val="20"/>
                <w:color w:val="auto"/>
              </w:rPr>
            </w:pPr>
            <w:r>
              <w:rPr>
                <w:rFonts w:ascii="Arial" w:cs="Arial" w:eastAsia="Arial" w:hAnsi="Arial"/>
                <w:sz w:val="14"/>
                <w:szCs w:val="14"/>
                <w:color w:val="auto"/>
              </w:rPr>
              <w:t>Multimedia Intelligence</w:t>
            </w: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8420" w:type="dxa"/>
            <w:vAlign w:val="bottom"/>
            <w:gridSpan w:val="2"/>
          </w:tcPr>
          <w:p>
            <w:pPr>
              <w:ind w:left="20"/>
              <w:spacing w:after="0"/>
              <w:rPr>
                <w:sz w:val="20"/>
                <w:szCs w:val="20"/>
                <w:color w:val="auto"/>
              </w:rPr>
            </w:pPr>
            <w:r>
              <w:rPr>
                <w:rFonts w:ascii="Arial" w:cs="Arial" w:eastAsia="Arial" w:hAnsi="Arial"/>
                <w:sz w:val="14"/>
                <w:szCs w:val="14"/>
                <w:color w:val="auto"/>
              </w:rPr>
              <w:t>Not a projection for Vringo subscribers</w:t>
            </w:r>
          </w:p>
        </w:tc>
      </w:tr>
      <w:tr>
        <w:trPr>
          <w:trHeight w:val="171"/>
        </w:trPr>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8420" w:type="dxa"/>
            <w:vAlign w:val="bottom"/>
            <w:gridSpan w:val="2"/>
          </w:tcPr>
          <w:p>
            <w:pPr>
              <w:ind w:left="20"/>
              <w:spacing w:after="0"/>
              <w:rPr>
                <w:sz w:val="20"/>
                <w:szCs w:val="20"/>
                <w:color w:val="auto"/>
              </w:rPr>
            </w:pPr>
            <w:r>
              <w:rPr>
                <w:rFonts w:ascii="Arial" w:cs="Arial" w:eastAsia="Arial" w:hAnsi="Arial"/>
                <w:sz w:val="14"/>
                <w:szCs w:val="14"/>
                <w:color w:val="auto"/>
              </w:rPr>
              <w:t>Not a projection for Vringo market size</w:t>
            </w:r>
          </w:p>
        </w:tc>
      </w:tr>
    </w:tbl>
    <w:p>
      <w:pPr>
        <w:spacing w:after="0" w:line="346" w:lineRule="exact"/>
        <w:rPr>
          <w:sz w:val="20"/>
          <w:szCs w:val="20"/>
          <w:color w:val="auto"/>
        </w:rPr>
      </w:pPr>
    </w:p>
    <w:p>
      <w:pPr>
        <w:ind w:left="4600"/>
        <w:spacing w:after="0"/>
        <w:rPr>
          <w:sz w:val="20"/>
          <w:szCs w:val="20"/>
          <w:color w:val="auto"/>
        </w:rPr>
      </w:pPr>
      <w:r>
        <w:rPr>
          <w:rFonts w:ascii="Arial" w:cs="Arial" w:eastAsia="Arial" w:hAnsi="Arial"/>
          <w:sz w:val="13"/>
          <w:szCs w:val="13"/>
          <w:color w:val="FFFFFF"/>
        </w:rPr>
        <w:t>- Page 43 -</w:t>
      </w:r>
    </w:p>
    <w:sectPr>
      <w:pgSz w:w="11900" w:h="16838" w:orient="portrait"/>
      <w:cols w:equalWidth="0" w:num="1">
        <w:col w:w="10780"/>
      </w:cols>
      <w:pgMar w:left="560" w:top="48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7">
    <w:nsid w:val="4E6AFB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
      <w:numFmt w:val="bullet"/>
      <w:start w:val="1"/>
    </w:lvl>
  </w:abstractNum>
  <w:abstractNum w:abstractNumId="18">
    <w:nsid w:val="721DA317"/>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lvl w:ilvl="1">
      <w:lvlJc w:val="left"/>
      <w:lvlText w:val="-"/>
      <w:numFmt w:val="bullet"/>
      <w:start w:val="1"/>
    </w:lvl>
  </w:abstractNum>
  <w:abstractNum w:abstractNumId="22">
    <w:nsid w:val="75A2A8D4"/>
    <w:multiLevelType w:val="hybridMultilevel"/>
    <w:lvl w:ilvl="0">
      <w:lvlJc w:val="left"/>
      <w:lvlText w:val="•"/>
      <w:numFmt w:val="bullet"/>
      <w:start w:val="1"/>
    </w:lvl>
    <w:lvl w:ilvl="1">
      <w:lvlJc w:val="left"/>
      <w:lvlText w:val="-"/>
      <w:numFmt w:val="bullet"/>
      <w:start w:val="1"/>
    </w:lvl>
  </w:abstractNum>
  <w:abstractNum w:abstractNumId="23">
    <w:nsid w:val="8EDBD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79838CB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2019-12-11T06:44:50Z</dcterms:created>
  <dcterms:modified xsi:type="dcterms:W3CDTF">2019-12-11T06:44:50Z</dcterms:modified>
</cp:coreProperties>
</file>