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001-34785</w:t>
        </w:r>
      </w:hyperlink>
    </w:p>
    <w:p>
      <w:pPr>
        <w:spacing w:after="0" w:line="125" w:lineRule="exact"/>
        <w:rPr>
          <w:sz w:val="24"/>
          <w:szCs w:val="24"/>
          <w:color w:val="auto"/>
        </w:rPr>
      </w:pPr>
    </w:p>
    <w:p>
      <w:pPr>
        <w:ind w:left="3940"/>
        <w:spacing w:after="0"/>
        <w:tabs>
          <w:tab w:leader="none" w:pos="49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Vringo Inc</w:t>
        </w:r>
      </w:hyperlink>
    </w:p>
    <w:p>
      <w:pPr>
        <w:spacing w:after="0" w:line="44" w:lineRule="exact"/>
        <w:rPr>
          <w:sz w:val="24"/>
          <w:szCs w:val="24"/>
          <w:color w:val="auto"/>
        </w:rPr>
      </w:pPr>
    </w:p>
    <w:p>
      <w:pPr>
        <w:ind w:left="3940"/>
        <w:spacing w:after="0"/>
        <w:rPr>
          <w:sz w:val="20"/>
          <w:szCs w:val="20"/>
          <w:color w:val="auto"/>
        </w:rPr>
      </w:pPr>
      <w:r>
        <w:rPr>
          <w:rFonts w:ascii="Arial" w:cs="Arial" w:eastAsia="Arial" w:hAnsi="Arial"/>
          <w:sz w:val="22"/>
          <w:szCs w:val="22"/>
          <w:color w:val="auto"/>
        </w:rPr>
        <w:t>Exchange: NYSE Amex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00"/>
        <w:spacing w:after="0"/>
        <w:rPr>
          <w:sz w:val="20"/>
          <w:szCs w:val="20"/>
          <w:color w:val="auto"/>
        </w:rPr>
      </w:pPr>
      <w:r>
        <w:rPr>
          <w:rFonts w:ascii="Arial" w:cs="Arial" w:eastAsia="Arial" w:hAnsi="Arial"/>
          <w:sz w:val="22"/>
          <w:szCs w:val="22"/>
          <w:color w:val="auto"/>
        </w:rPr>
        <w:t>Address: 18 EAST 16TH STREET</w:t>
      </w:r>
    </w:p>
    <w:p>
      <w:pPr>
        <w:spacing w:after="0" w:line="44" w:lineRule="exact"/>
        <w:rPr>
          <w:sz w:val="24"/>
          <w:szCs w:val="24"/>
          <w:color w:val="auto"/>
        </w:rPr>
      </w:pPr>
    </w:p>
    <w:p>
      <w:pPr>
        <w:ind w:left="3720"/>
        <w:spacing w:after="0"/>
        <w:rPr>
          <w:sz w:val="20"/>
          <w:szCs w:val="20"/>
          <w:color w:val="auto"/>
        </w:rPr>
      </w:pPr>
      <w:r>
        <w:rPr>
          <w:rFonts w:ascii="Arial" w:cs="Arial" w:eastAsia="Arial" w:hAnsi="Arial"/>
          <w:sz w:val="22"/>
          <w:szCs w:val="22"/>
          <w:color w:val="auto"/>
        </w:rPr>
        <w:t>NEW YORK NEW YORK 10003</w:t>
      </w:r>
    </w:p>
    <w:p>
      <w:pPr>
        <w:spacing w:after="0" w:line="44" w:lineRule="exact"/>
        <w:rPr>
          <w:sz w:val="24"/>
          <w:szCs w:val="24"/>
          <w:color w:val="auto"/>
        </w:rPr>
      </w:pPr>
    </w:p>
    <w:tbl>
      <w:tblPr>
        <w:tblLayout w:type="fixed"/>
        <w:tblInd w:w="2000" w:type="dxa"/>
        <w:tblCellMar>
          <w:top w:w="0" w:type="dxa"/>
          <w:left w:w="0" w:type="dxa"/>
          <w:bottom w:w="0" w:type="dxa"/>
          <w:right w:w="0" w:type="dxa"/>
        </w:tblCellMar>
      </w:tblPr>
      <w:tr>
        <w:trPr>
          <w:trHeight w:val="275"/>
        </w:trPr>
        <w:tc>
          <w:tcPr>
            <w:tcW w:w="3220" w:type="dxa"/>
            <w:vAlign w:val="bottom"/>
          </w:tcPr>
          <w:p>
            <w:pPr>
              <w:spacing w:after="0"/>
              <w:rPr>
                <w:sz w:val="20"/>
                <w:szCs w:val="20"/>
                <w:color w:val="auto"/>
              </w:rPr>
            </w:pPr>
            <w:r>
              <w:rPr>
                <w:rFonts w:ascii="Arial" w:cs="Arial" w:eastAsia="Arial" w:hAnsi="Arial"/>
                <w:sz w:val="22"/>
                <w:szCs w:val="22"/>
                <w:color w:val="auto"/>
              </w:rPr>
              <w:t>Telephone number:</w:t>
            </w:r>
          </w:p>
        </w:tc>
        <w:tc>
          <w:tcPr>
            <w:tcW w:w="2780" w:type="dxa"/>
            <w:vAlign w:val="bottom"/>
          </w:tcPr>
          <w:p>
            <w:pPr>
              <w:jc w:val="right"/>
              <w:spacing w:after="0"/>
              <w:rPr>
                <w:sz w:val="20"/>
                <w:szCs w:val="20"/>
                <w:color w:val="auto"/>
              </w:rPr>
            </w:pPr>
            <w:r>
              <w:rPr>
                <w:rFonts w:ascii="Arial" w:cs="Arial" w:eastAsia="Arial" w:hAnsi="Arial"/>
                <w:sz w:val="22"/>
                <w:szCs w:val="22"/>
                <w:color w:val="auto"/>
              </w:rPr>
              <w:t>646-861-5575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Units, each consisting of one share of Common Stock and two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jc w:val="both"/>
        <w:ind w:right="140"/>
        <w:spacing w:after="0"/>
        <w:rPr>
          <w:sz w:val="20"/>
          <w:szCs w:val="20"/>
          <w:color w:val="auto"/>
        </w:rPr>
      </w:pPr>
      <w:r>
        <w:rPr>
          <w:rFonts w:ascii="Arial" w:cs="Arial" w:eastAsia="Arial" w:hAnsi="Arial"/>
          <w:sz w:val="22"/>
          <w:szCs w:val="22"/>
          <w:color w:val="auto"/>
        </w:rPr>
        <w:t>Pursuant to the requirements fo the Securities Exchange Act of 1934, NYSE Amex certifies that it has reasonable grounds to believe that it meets all of the requirements for filing the Form 25 and has caused this notification to be signed on its behalf by the undersigned duly authorized person.</w:t>
      </w:r>
    </w:p>
    <w:p>
      <w:pPr>
        <w:spacing w:after="0" w:line="6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2010-07-27</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60"/>
              <w:spacing w:after="0"/>
              <w:rPr>
                <w:sz w:val="20"/>
                <w:szCs w:val="20"/>
                <w:color w:val="auto"/>
              </w:rPr>
            </w:pPr>
            <w:r>
              <w:rPr>
                <w:rFonts w:ascii="Arial" w:cs="Arial" w:eastAsia="Arial" w:hAnsi="Arial"/>
                <w:sz w:val="22"/>
                <w:szCs w:val="22"/>
                <w:color w:val="auto"/>
              </w:rPr>
              <w:t>Silvio Conte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NOTIFICATION OF THE REMOVAL FROM LISTING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OF THE STATED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NYSE Amex hereby notifies</w:t>
      </w:r>
    </w:p>
    <w:p>
      <w:pPr>
        <w:spacing w:after="0" w:line="238" w:lineRule="auto"/>
        <w:rPr>
          <w:sz w:val="20"/>
          <w:szCs w:val="20"/>
          <w:color w:val="auto"/>
        </w:rPr>
      </w:pPr>
      <w:r>
        <w:rPr>
          <w:rFonts w:ascii="Courier New" w:cs="Courier New" w:eastAsia="Courier New" w:hAnsi="Courier New"/>
          <w:sz w:val="18"/>
          <w:szCs w:val="18"/>
          <w:color w:val="auto"/>
        </w:rPr>
        <w:t>the SEC of its intention to remove</w:t>
      </w:r>
    </w:p>
    <w:p>
      <w:pPr>
        <w:spacing w:after="0"/>
        <w:rPr>
          <w:sz w:val="20"/>
          <w:szCs w:val="20"/>
          <w:color w:val="auto"/>
        </w:rPr>
      </w:pPr>
      <w:r>
        <w:rPr>
          <w:rFonts w:ascii="Courier New" w:cs="Courier New" w:eastAsia="Courier New" w:hAnsi="Courier New"/>
          <w:sz w:val="18"/>
          <w:szCs w:val="18"/>
          <w:color w:val="auto"/>
        </w:rPr>
        <w:t>the entire class of the stated securities</w:t>
      </w:r>
    </w:p>
    <w:p>
      <w:pPr>
        <w:spacing w:after="0" w:line="237" w:lineRule="auto"/>
        <w:rPr>
          <w:sz w:val="20"/>
          <w:szCs w:val="20"/>
          <w:color w:val="auto"/>
        </w:rPr>
      </w:pPr>
      <w:r>
        <w:rPr>
          <w:rFonts w:ascii="Courier New" w:cs="Courier New" w:eastAsia="Courier New" w:hAnsi="Courier New"/>
          <w:sz w:val="18"/>
          <w:szCs w:val="18"/>
          <w:color w:val="auto"/>
        </w:rPr>
        <w:t>from listing and registration on the</w:t>
      </w:r>
    </w:p>
    <w:p>
      <w:pPr>
        <w:spacing w:after="0" w:line="238" w:lineRule="auto"/>
        <w:rPr>
          <w:sz w:val="20"/>
          <w:szCs w:val="20"/>
          <w:color w:val="auto"/>
        </w:rPr>
      </w:pPr>
      <w:r>
        <w:rPr>
          <w:rFonts w:ascii="Courier New" w:cs="Courier New" w:eastAsia="Courier New" w:hAnsi="Courier New"/>
          <w:sz w:val="18"/>
          <w:szCs w:val="18"/>
          <w:color w:val="auto"/>
        </w:rPr>
        <w:t>Exchange at the opening of business on</w:t>
      </w:r>
    </w:p>
    <w:p>
      <w:pPr>
        <w:spacing w:after="0"/>
        <w:rPr>
          <w:sz w:val="20"/>
          <w:szCs w:val="20"/>
          <w:color w:val="auto"/>
        </w:rPr>
      </w:pPr>
      <w:r>
        <w:rPr>
          <w:rFonts w:ascii="Courier New" w:cs="Courier New" w:eastAsia="Courier New" w:hAnsi="Courier New"/>
          <w:sz w:val="18"/>
          <w:szCs w:val="18"/>
          <w:color w:val="auto"/>
        </w:rPr>
        <w:t>August 9, 2010, pursuant to the provisions</w:t>
      </w:r>
    </w:p>
    <w:p>
      <w:pPr>
        <w:spacing w:after="0" w:line="237" w:lineRule="auto"/>
        <w:rPr>
          <w:sz w:val="20"/>
          <w:szCs w:val="20"/>
          <w:color w:val="auto"/>
        </w:rPr>
      </w:pPr>
      <w:r>
        <w:rPr>
          <w:rFonts w:ascii="Courier New" w:cs="Courier New" w:eastAsia="Courier New" w:hAnsi="Courier New"/>
          <w:sz w:val="18"/>
          <w:szCs w:val="18"/>
          <w:color w:val="auto"/>
        </w:rPr>
        <w:t>of Rule 12d2-2 (a) 17CFR240.12d2-2(a)(3)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removal of Vringo, Inc., Units, each</w:t>
      </w:r>
    </w:p>
    <w:p>
      <w:pPr>
        <w:spacing w:after="0" w:line="238" w:lineRule="auto"/>
        <w:rPr>
          <w:sz w:val="20"/>
          <w:szCs w:val="20"/>
          <w:color w:val="auto"/>
        </w:rPr>
      </w:pPr>
      <w:r>
        <w:rPr>
          <w:rFonts w:ascii="Courier New" w:cs="Courier New" w:eastAsia="Courier New" w:hAnsi="Courier New"/>
          <w:sz w:val="18"/>
          <w:szCs w:val="18"/>
          <w:color w:val="auto"/>
        </w:rPr>
        <w:t>consisting of one share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two Warrants, is being effected because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knows or is reliably</w:t>
      </w:r>
    </w:p>
    <w:p>
      <w:pPr>
        <w:spacing w:after="0" w:line="238" w:lineRule="auto"/>
        <w:rPr>
          <w:sz w:val="20"/>
          <w:szCs w:val="20"/>
          <w:color w:val="auto"/>
        </w:rPr>
      </w:pPr>
      <w:r>
        <w:rPr>
          <w:rFonts w:ascii="Courier New" w:cs="Courier New" w:eastAsia="Courier New" w:hAnsi="Courier New"/>
          <w:sz w:val="18"/>
          <w:szCs w:val="18"/>
          <w:color w:val="auto"/>
        </w:rPr>
        <w:t>informed that on July 27, 2010 the</w:t>
      </w:r>
    </w:p>
    <w:p>
      <w:pPr>
        <w:spacing w:after="0"/>
        <w:rPr>
          <w:sz w:val="20"/>
          <w:szCs w:val="20"/>
          <w:color w:val="auto"/>
        </w:rPr>
      </w:pPr>
      <w:r>
        <w:rPr>
          <w:rFonts w:ascii="Courier New" w:cs="Courier New" w:eastAsia="Courier New" w:hAnsi="Courier New"/>
          <w:sz w:val="18"/>
          <w:szCs w:val="18"/>
          <w:color w:val="auto"/>
        </w:rPr>
        <w:t>instruments representing the</w:t>
      </w:r>
    </w:p>
    <w:p>
      <w:pPr>
        <w:spacing w:after="0" w:line="237" w:lineRule="auto"/>
        <w:rPr>
          <w:sz w:val="20"/>
          <w:szCs w:val="20"/>
          <w:color w:val="auto"/>
        </w:rPr>
      </w:pPr>
      <w:r>
        <w:rPr>
          <w:rFonts w:ascii="Courier New" w:cs="Courier New" w:eastAsia="Courier New" w:hAnsi="Courier New"/>
          <w:sz w:val="18"/>
          <w:szCs w:val="18"/>
          <w:color w:val="auto"/>
        </w:rPr>
        <w:t>securities comprising the entire</w:t>
      </w:r>
    </w:p>
    <w:p>
      <w:pPr>
        <w:spacing w:after="0" w:line="238" w:lineRule="auto"/>
        <w:rPr>
          <w:sz w:val="20"/>
          <w:szCs w:val="20"/>
          <w:color w:val="auto"/>
        </w:rPr>
      </w:pPr>
      <w:r>
        <w:rPr>
          <w:rFonts w:ascii="Courier New" w:cs="Courier New" w:eastAsia="Courier New" w:hAnsi="Courier New"/>
          <w:sz w:val="18"/>
          <w:szCs w:val="18"/>
          <w:color w:val="auto"/>
        </w:rPr>
        <w:t>class of this security came to</w:t>
      </w:r>
    </w:p>
    <w:p>
      <w:pPr>
        <w:spacing w:after="0"/>
        <w:rPr>
          <w:sz w:val="20"/>
          <w:szCs w:val="20"/>
          <w:color w:val="auto"/>
        </w:rPr>
      </w:pPr>
      <w:r>
        <w:rPr>
          <w:rFonts w:ascii="Courier New" w:cs="Courier New" w:eastAsia="Courier New" w:hAnsi="Courier New"/>
          <w:sz w:val="18"/>
          <w:szCs w:val="18"/>
          <w:color w:val="auto"/>
        </w:rPr>
        <w:t>evidence, by operation of law or</w:t>
      </w:r>
    </w:p>
    <w:p>
      <w:pPr>
        <w:spacing w:after="0" w:line="237" w:lineRule="auto"/>
        <w:rPr>
          <w:sz w:val="20"/>
          <w:szCs w:val="20"/>
          <w:color w:val="auto"/>
        </w:rPr>
      </w:pPr>
      <w:r>
        <w:rPr>
          <w:rFonts w:ascii="Courier New" w:cs="Courier New" w:eastAsia="Courier New" w:hAnsi="Courier New"/>
          <w:sz w:val="18"/>
          <w:szCs w:val="18"/>
          <w:color w:val="auto"/>
        </w:rPr>
        <w:t>otherwise, other securities in</w:t>
      </w:r>
    </w:p>
    <w:p>
      <w:pPr>
        <w:spacing w:after="0"/>
        <w:rPr>
          <w:sz w:val="20"/>
          <w:szCs w:val="20"/>
          <w:color w:val="auto"/>
        </w:rPr>
      </w:pPr>
      <w:r>
        <w:rPr>
          <w:rFonts w:ascii="Courier New" w:cs="Courier New" w:eastAsia="Courier New" w:hAnsi="Courier New"/>
          <w:sz w:val="18"/>
          <w:szCs w:val="18"/>
          <w:color w:val="auto"/>
        </w:rPr>
        <w:t>substitution therefore and</w:t>
      </w:r>
    </w:p>
    <w:p>
      <w:pPr>
        <w:spacing w:after="0" w:line="237" w:lineRule="auto"/>
        <w:rPr>
          <w:sz w:val="20"/>
          <w:szCs w:val="20"/>
          <w:color w:val="auto"/>
        </w:rPr>
      </w:pPr>
      <w:r>
        <w:rPr>
          <w:rFonts w:ascii="Courier New" w:cs="Courier New" w:eastAsia="Courier New" w:hAnsi="Courier New"/>
          <w:sz w:val="18"/>
          <w:szCs w:val="18"/>
          <w:color w:val="auto"/>
        </w:rPr>
        <w:t>represent no other right except,</w:t>
      </w:r>
    </w:p>
    <w:p>
      <w:pPr>
        <w:spacing w:after="0"/>
        <w:rPr>
          <w:sz w:val="20"/>
          <w:szCs w:val="20"/>
          <w:color w:val="auto"/>
        </w:rPr>
      </w:pPr>
      <w:r>
        <w:rPr>
          <w:rFonts w:ascii="Courier New" w:cs="Courier New" w:eastAsia="Courier New" w:hAnsi="Courier New"/>
          <w:sz w:val="18"/>
          <w:szCs w:val="18"/>
          <w:color w:val="auto"/>
        </w:rPr>
        <w:t>if such be the fact, the right</w:t>
      </w:r>
    </w:p>
    <w:p>
      <w:pPr>
        <w:spacing w:after="0" w:line="237" w:lineRule="auto"/>
        <w:rPr>
          <w:sz w:val="20"/>
          <w:szCs w:val="20"/>
          <w:color w:val="auto"/>
        </w:rPr>
      </w:pPr>
      <w:r>
        <w:rPr>
          <w:rFonts w:ascii="Courier New" w:cs="Courier New" w:eastAsia="Courier New" w:hAnsi="Courier New"/>
          <w:sz w:val="18"/>
          <w:szCs w:val="18"/>
          <w:color w:val="auto"/>
        </w:rPr>
        <w:t>to receive an immediate cash payment.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security was suspended by the</w:t>
      </w:r>
    </w:p>
    <w:p>
      <w:pPr>
        <w:spacing w:after="0" w:line="238" w:lineRule="auto"/>
        <w:rPr>
          <w:sz w:val="20"/>
          <w:szCs w:val="20"/>
          <w:color w:val="auto"/>
        </w:rPr>
      </w:pPr>
      <w:r>
        <w:rPr>
          <w:rFonts w:ascii="Courier New" w:cs="Courier New" w:eastAsia="Courier New" w:hAnsi="Courier New"/>
          <w:sz w:val="18"/>
          <w:szCs w:val="18"/>
          <w:color w:val="auto"/>
        </w:rPr>
        <w:t>Exchange on July 27, 2010.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785" TargetMode="External"/><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2019-12-11T05:57:11Z</dcterms:created>
  <dcterms:modified xsi:type="dcterms:W3CDTF">2019-12-11T05:57:11Z</dcterms:modified>
</cp:coreProperties>
</file>