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13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165735</wp:posOffset>
            </wp:positionV>
            <wp:extent cx="7271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6985"/>
                    </a:xfrm>
                    <a:prstGeom prst="rect">
                      <a:avLst/>
                    </a:prstGeom>
                    <a:noFill/>
                  </pic:spPr>
                </pic:pic>
              </a:graphicData>
            </a:graphic>
          </wp:anchor>
        </w:drawing>
        <w:t>UNITED STATES</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27"/>
          <w:szCs w:val="27"/>
          <w:b w:val="1"/>
          <w:bCs w:val="1"/>
          <w:color w:val="auto"/>
        </w:rPr>
        <w:t>SECURITIES AND EXCHANGE COMMISSION</w:t>
      </w:r>
    </w:p>
    <w:p>
      <w:pPr>
        <w:ind w:left="48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151130</wp:posOffset>
            </wp:positionV>
            <wp:extent cx="15214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6985"/>
                    </a:xfrm>
                    <a:prstGeom prst="rect">
                      <a:avLst/>
                    </a:prstGeom>
                    <a:noFill/>
                  </pic:spPr>
                </pic:pic>
              </a:graphicData>
            </a:graphic>
          </wp:anchor>
        </w:drawing>
      </w:r>
    </w:p>
    <w:p>
      <w:pPr>
        <w:spacing w:after="0" w:line="327" w:lineRule="exact"/>
        <w:rPr>
          <w:sz w:val="24"/>
          <w:szCs w:val="24"/>
          <w:color w:val="auto"/>
        </w:rPr>
      </w:pPr>
    </w:p>
    <w:p>
      <w:pPr>
        <w:ind w:left="5080"/>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161290</wp:posOffset>
            </wp:positionV>
            <wp:extent cx="15214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6985"/>
                    </a:xfrm>
                    <a:prstGeom prst="rect">
                      <a:avLst/>
                    </a:prstGeom>
                    <a:noFill/>
                  </pic:spPr>
                </pic:pic>
              </a:graphicData>
            </a:graphic>
          </wp:anchor>
        </w:drawing>
      </w:r>
    </w:p>
    <w:p>
      <w:pPr>
        <w:spacing w:after="0" w:line="355" w:lineRule="exact"/>
        <w:rPr>
          <w:sz w:val="24"/>
          <w:szCs w:val="24"/>
          <w:color w:val="auto"/>
        </w:rPr>
      </w:pPr>
    </w:p>
    <w:p>
      <w:pPr>
        <w:jc w:val="center"/>
        <w:ind w:right="-1220"/>
        <w:spacing w:after="0"/>
        <w:rPr>
          <w:sz w:val="20"/>
          <w:szCs w:val="20"/>
          <w:color w:val="auto"/>
        </w:rPr>
      </w:pPr>
      <w:r>
        <w:rPr>
          <w:rFonts w:ascii="Arial" w:cs="Arial" w:eastAsia="Arial" w:hAnsi="Arial"/>
          <w:sz w:val="20"/>
          <w:szCs w:val="20"/>
          <w:b w:val="1"/>
          <w:bCs w:val="1"/>
          <w:color w:val="auto"/>
        </w:rPr>
        <w:t>CURRENT REPORT</w:t>
      </w:r>
    </w:p>
    <w:p>
      <w:pPr>
        <w:spacing w:after="0" w:line="13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Section 15(d) of the</w:t>
      </w:r>
    </w:p>
    <w:p>
      <w:pPr>
        <w:spacing w:after="0" w:line="1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Exchange Act of 1934</w:t>
      </w:r>
    </w:p>
    <w:p>
      <w:pPr>
        <w:spacing w:after="0" w:line="104"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Date of Report (Date of earliest event reported): September 13,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156845</wp:posOffset>
            </wp:positionV>
            <wp:extent cx="15214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6985"/>
                    </a:xfrm>
                    <a:prstGeom prst="rect">
                      <a:avLst/>
                    </a:prstGeom>
                    <a:noFill/>
                  </pic:spPr>
                </pic:pic>
              </a:graphicData>
            </a:graphic>
          </wp:anchor>
        </w:drawing>
      </w:r>
    </w:p>
    <w:p>
      <w:pPr>
        <w:spacing w:after="0" w:line="335" w:lineRule="exact"/>
        <w:rPr>
          <w:sz w:val="24"/>
          <w:szCs w:val="24"/>
          <w:color w:val="auto"/>
        </w:rPr>
      </w:pPr>
    </w:p>
    <w:p>
      <w:pPr>
        <w:jc w:val="center"/>
        <w:ind w:right="-1220"/>
        <w:spacing w:after="0"/>
        <w:rPr>
          <w:sz w:val="20"/>
          <w:szCs w:val="20"/>
          <w:color w:val="auto"/>
        </w:rPr>
      </w:pPr>
      <w:r>
        <w:rPr>
          <w:rFonts w:ascii="Arial" w:cs="Arial" w:eastAsia="Arial" w:hAnsi="Arial"/>
          <w:sz w:val="35"/>
          <w:szCs w:val="35"/>
          <w:b w:val="1"/>
          <w:bCs w:val="1"/>
          <w:color w:val="auto"/>
        </w:rPr>
        <w:t>VRINGO, INC.</w:t>
      </w:r>
    </w:p>
    <w:p>
      <w:pPr>
        <w:spacing w:after="0" w:line="45"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161290</wp:posOffset>
            </wp:positionV>
            <wp:extent cx="15214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698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177"/>
        </w:trPr>
        <w:tc>
          <w:tcPr>
            <w:tcW w:w="14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Delaware</w:t>
            </w:r>
          </w:p>
        </w:tc>
        <w:tc>
          <w:tcPr>
            <w:tcW w:w="5740" w:type="dxa"/>
            <w:vAlign w:val="bottom"/>
          </w:tcPr>
          <w:p>
            <w:pPr>
              <w:jc w:val="center"/>
              <w:ind w:left="395"/>
              <w:spacing w:after="0"/>
              <w:rPr>
                <w:sz w:val="20"/>
                <w:szCs w:val="20"/>
                <w:color w:val="auto"/>
              </w:rPr>
            </w:pPr>
            <w:r>
              <w:rPr>
                <w:rFonts w:ascii="Arial" w:cs="Arial" w:eastAsia="Arial" w:hAnsi="Arial"/>
                <w:sz w:val="14"/>
                <w:szCs w:val="14"/>
                <w:b w:val="1"/>
                <w:bCs w:val="1"/>
                <w:color w:val="auto"/>
                <w:w w:val="93"/>
              </w:rPr>
              <w:t>1-34785</w:t>
            </w:r>
          </w:p>
        </w:tc>
        <w:tc>
          <w:tcPr>
            <w:tcW w:w="1560" w:type="dxa"/>
            <w:vAlign w:val="bottom"/>
          </w:tcPr>
          <w:p>
            <w:pPr>
              <w:jc w:val="right"/>
              <w:ind w:right="18"/>
              <w:spacing w:after="0"/>
              <w:rPr>
                <w:sz w:val="20"/>
                <w:szCs w:val="20"/>
                <w:color w:val="auto"/>
              </w:rPr>
            </w:pPr>
            <w:r>
              <w:rPr>
                <w:rFonts w:ascii="Arial" w:cs="Arial" w:eastAsia="Arial" w:hAnsi="Arial"/>
                <w:sz w:val="14"/>
                <w:szCs w:val="14"/>
                <w:b w:val="1"/>
                <w:bCs w:val="1"/>
                <w:color w:val="auto"/>
              </w:rPr>
              <w:t>20-4988129</w:t>
            </w:r>
          </w:p>
        </w:tc>
      </w:tr>
      <w:tr>
        <w:trPr>
          <w:trHeight w:val="121"/>
        </w:trPr>
        <w:tc>
          <w:tcPr>
            <w:tcW w:w="1440" w:type="dxa"/>
            <w:vAlign w:val="bottom"/>
          </w:tcPr>
          <w:p>
            <w:pPr>
              <w:jc w:val="center"/>
              <w:ind w:right="119"/>
              <w:spacing w:after="0" w:line="122" w:lineRule="exact"/>
              <w:rPr>
                <w:sz w:val="20"/>
                <w:szCs w:val="20"/>
                <w:color w:val="auto"/>
              </w:rPr>
            </w:pPr>
            <w:r>
              <w:rPr>
                <w:rFonts w:ascii="Arial" w:cs="Arial" w:eastAsia="Arial" w:hAnsi="Arial"/>
                <w:sz w:val="11"/>
                <w:szCs w:val="11"/>
                <w:b w:val="1"/>
                <w:bCs w:val="1"/>
                <w:color w:val="auto"/>
                <w:w w:val="91"/>
              </w:rPr>
              <w:t>(State or other jurisdiction</w:t>
            </w:r>
          </w:p>
        </w:tc>
        <w:tc>
          <w:tcPr>
            <w:tcW w:w="5740" w:type="dxa"/>
            <w:vAlign w:val="bottom"/>
          </w:tcPr>
          <w:p>
            <w:pPr>
              <w:jc w:val="center"/>
              <w:ind w:left="415"/>
              <w:spacing w:after="0" w:line="122" w:lineRule="exact"/>
              <w:rPr>
                <w:sz w:val="20"/>
                <w:szCs w:val="20"/>
                <w:color w:val="auto"/>
              </w:rPr>
            </w:pPr>
            <w:r>
              <w:rPr>
                <w:rFonts w:ascii="Arial" w:cs="Arial" w:eastAsia="Arial" w:hAnsi="Arial"/>
                <w:sz w:val="11"/>
                <w:szCs w:val="11"/>
                <w:b w:val="1"/>
                <w:bCs w:val="1"/>
                <w:color w:val="auto"/>
                <w:w w:val="88"/>
              </w:rPr>
              <w:t>(Commission</w:t>
            </w:r>
          </w:p>
        </w:tc>
        <w:tc>
          <w:tcPr>
            <w:tcW w:w="1560" w:type="dxa"/>
            <w:vAlign w:val="bottom"/>
          </w:tcPr>
          <w:p>
            <w:pPr>
              <w:jc w:val="center"/>
              <w:ind w:left="638"/>
              <w:spacing w:after="0" w:line="122" w:lineRule="exact"/>
              <w:rPr>
                <w:sz w:val="20"/>
                <w:szCs w:val="20"/>
                <w:color w:val="auto"/>
              </w:rPr>
            </w:pPr>
            <w:r>
              <w:rPr>
                <w:rFonts w:ascii="Arial" w:cs="Arial" w:eastAsia="Arial" w:hAnsi="Arial"/>
                <w:sz w:val="11"/>
                <w:szCs w:val="11"/>
                <w:b w:val="1"/>
                <w:bCs w:val="1"/>
                <w:color w:val="auto"/>
                <w:w w:val="93"/>
              </w:rPr>
              <w:t>(IRS Employer</w:t>
            </w:r>
          </w:p>
        </w:tc>
      </w:tr>
      <w:tr>
        <w:trPr>
          <w:trHeight w:val="142"/>
        </w:trPr>
        <w:tc>
          <w:tcPr>
            <w:tcW w:w="1440" w:type="dxa"/>
            <w:vAlign w:val="bottom"/>
          </w:tcPr>
          <w:p>
            <w:pPr>
              <w:jc w:val="center"/>
              <w:ind w:right="99"/>
              <w:spacing w:after="0"/>
              <w:rPr>
                <w:sz w:val="20"/>
                <w:szCs w:val="20"/>
                <w:color w:val="auto"/>
              </w:rPr>
            </w:pPr>
            <w:r>
              <w:rPr>
                <w:rFonts w:ascii="Arial" w:cs="Arial" w:eastAsia="Arial" w:hAnsi="Arial"/>
                <w:sz w:val="11"/>
                <w:szCs w:val="11"/>
                <w:b w:val="1"/>
                <w:bCs w:val="1"/>
                <w:color w:val="auto"/>
                <w:w w:val="90"/>
              </w:rPr>
              <w:t>of incorporation)</w:t>
            </w:r>
          </w:p>
        </w:tc>
        <w:tc>
          <w:tcPr>
            <w:tcW w:w="5740" w:type="dxa"/>
            <w:vAlign w:val="bottom"/>
          </w:tcPr>
          <w:p>
            <w:pPr>
              <w:jc w:val="center"/>
              <w:ind w:left="395"/>
              <w:spacing w:after="0"/>
              <w:rPr>
                <w:sz w:val="20"/>
                <w:szCs w:val="20"/>
                <w:color w:val="auto"/>
              </w:rPr>
            </w:pPr>
            <w:r>
              <w:rPr>
                <w:rFonts w:ascii="Arial" w:cs="Arial" w:eastAsia="Arial" w:hAnsi="Arial"/>
                <w:sz w:val="11"/>
                <w:szCs w:val="11"/>
                <w:b w:val="1"/>
                <w:bCs w:val="1"/>
                <w:color w:val="auto"/>
                <w:w w:val="95"/>
              </w:rPr>
              <w:t>File Number)</w:t>
            </w:r>
          </w:p>
        </w:tc>
        <w:tc>
          <w:tcPr>
            <w:tcW w:w="1560" w:type="dxa"/>
            <w:vAlign w:val="bottom"/>
          </w:tcPr>
          <w:p>
            <w:pPr>
              <w:jc w:val="center"/>
              <w:ind w:left="638"/>
              <w:spacing w:after="0"/>
              <w:rPr>
                <w:sz w:val="20"/>
                <w:szCs w:val="20"/>
                <w:color w:val="auto"/>
              </w:rPr>
            </w:pPr>
            <w:r>
              <w:rPr>
                <w:rFonts w:ascii="Arial" w:cs="Arial" w:eastAsia="Arial" w:hAnsi="Arial"/>
                <w:sz w:val="11"/>
                <w:szCs w:val="11"/>
                <w:b w:val="1"/>
                <w:bCs w:val="1"/>
                <w:color w:val="auto"/>
                <w:w w:val="92"/>
              </w:rPr>
              <w:t>Identification No.)</w:t>
            </w:r>
          </w:p>
        </w:tc>
      </w:tr>
      <w:tr>
        <w:trPr>
          <w:trHeight w:val="343"/>
        </w:trPr>
        <w:tc>
          <w:tcPr>
            <w:tcW w:w="1440" w:type="dxa"/>
            <w:vAlign w:val="bottom"/>
          </w:tcPr>
          <w:p>
            <w:pPr>
              <w:spacing w:after="0"/>
              <w:rPr>
                <w:sz w:val="24"/>
                <w:szCs w:val="24"/>
                <w:color w:val="auto"/>
              </w:rPr>
            </w:pPr>
          </w:p>
        </w:tc>
        <w:tc>
          <w:tcPr>
            <w:tcW w:w="5740" w:type="dxa"/>
            <w:vAlign w:val="bottom"/>
          </w:tcPr>
          <w:p>
            <w:pPr>
              <w:jc w:val="center"/>
              <w:ind w:right="3475"/>
              <w:spacing w:after="0"/>
              <w:rPr>
                <w:sz w:val="20"/>
                <w:szCs w:val="20"/>
                <w:color w:val="auto"/>
              </w:rPr>
            </w:pPr>
            <w:r>
              <w:rPr>
                <w:rFonts w:ascii="Arial" w:cs="Arial" w:eastAsia="Arial" w:hAnsi="Arial"/>
                <w:sz w:val="14"/>
                <w:szCs w:val="14"/>
                <w:b w:val="1"/>
                <w:bCs w:val="1"/>
                <w:color w:val="auto"/>
                <w:w w:val="93"/>
              </w:rPr>
              <w:t>18 East 16th Street, 7th Floor</w:t>
            </w:r>
          </w:p>
        </w:tc>
        <w:tc>
          <w:tcPr>
            <w:tcW w:w="1560" w:type="dxa"/>
            <w:vAlign w:val="bottom"/>
          </w:tcPr>
          <w:p>
            <w:pPr>
              <w:spacing w:after="0"/>
              <w:rPr>
                <w:sz w:val="24"/>
                <w:szCs w:val="24"/>
                <w:color w:val="auto"/>
              </w:rPr>
            </w:pPr>
          </w:p>
        </w:tc>
      </w:tr>
      <w:tr>
        <w:trPr>
          <w:trHeight w:val="188"/>
        </w:trPr>
        <w:tc>
          <w:tcPr>
            <w:tcW w:w="1440" w:type="dxa"/>
            <w:vAlign w:val="bottom"/>
          </w:tcPr>
          <w:p>
            <w:pPr>
              <w:spacing w:after="0"/>
              <w:rPr>
                <w:sz w:val="16"/>
                <w:szCs w:val="16"/>
                <w:color w:val="auto"/>
              </w:rPr>
            </w:pPr>
          </w:p>
        </w:tc>
        <w:tc>
          <w:tcPr>
            <w:tcW w:w="5740" w:type="dxa"/>
            <w:vAlign w:val="bottom"/>
          </w:tcPr>
          <w:p>
            <w:pPr>
              <w:jc w:val="center"/>
              <w:ind w:right="3495"/>
              <w:spacing w:after="0"/>
              <w:rPr>
                <w:sz w:val="20"/>
                <w:szCs w:val="20"/>
                <w:color w:val="auto"/>
              </w:rPr>
            </w:pPr>
            <w:r>
              <w:rPr>
                <w:rFonts w:ascii="Arial" w:cs="Arial" w:eastAsia="Arial" w:hAnsi="Arial"/>
                <w:sz w:val="14"/>
                <w:szCs w:val="14"/>
                <w:b w:val="1"/>
                <w:bCs w:val="1"/>
                <w:color w:val="auto"/>
                <w:w w:val="95"/>
              </w:rPr>
              <w:t>New York, New York</w:t>
            </w:r>
          </w:p>
        </w:tc>
        <w:tc>
          <w:tcPr>
            <w:tcW w:w="1560" w:type="dxa"/>
            <w:vAlign w:val="bottom"/>
          </w:tcPr>
          <w:p>
            <w:pPr>
              <w:jc w:val="right"/>
              <w:ind w:right="178"/>
              <w:spacing w:after="0"/>
              <w:rPr>
                <w:sz w:val="20"/>
                <w:szCs w:val="20"/>
                <w:color w:val="auto"/>
              </w:rPr>
            </w:pPr>
            <w:r>
              <w:rPr>
                <w:rFonts w:ascii="Arial" w:cs="Arial" w:eastAsia="Arial" w:hAnsi="Arial"/>
                <w:sz w:val="14"/>
                <w:szCs w:val="14"/>
                <w:b w:val="1"/>
                <w:bCs w:val="1"/>
                <w:color w:val="auto"/>
              </w:rPr>
              <w:t>10003</w:t>
            </w:r>
          </w:p>
        </w:tc>
      </w:tr>
      <w:tr>
        <w:trPr>
          <w:trHeight w:val="142"/>
        </w:trPr>
        <w:tc>
          <w:tcPr>
            <w:tcW w:w="1440" w:type="dxa"/>
            <w:vAlign w:val="bottom"/>
          </w:tcPr>
          <w:p>
            <w:pPr>
              <w:spacing w:after="0"/>
              <w:rPr>
                <w:sz w:val="12"/>
                <w:szCs w:val="12"/>
                <w:color w:val="auto"/>
              </w:rPr>
            </w:pPr>
          </w:p>
        </w:tc>
        <w:tc>
          <w:tcPr>
            <w:tcW w:w="5740" w:type="dxa"/>
            <w:vAlign w:val="bottom"/>
          </w:tcPr>
          <w:p>
            <w:pPr>
              <w:jc w:val="center"/>
              <w:ind w:right="3495"/>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560" w:type="dxa"/>
            <w:vAlign w:val="bottom"/>
          </w:tcPr>
          <w:p>
            <w:pPr>
              <w:jc w:val="center"/>
              <w:ind w:left="638"/>
              <w:spacing w:after="0"/>
              <w:rPr>
                <w:sz w:val="20"/>
                <w:szCs w:val="20"/>
                <w:color w:val="auto"/>
              </w:rPr>
            </w:pPr>
            <w:r>
              <w:rPr>
                <w:rFonts w:ascii="Arial" w:cs="Arial" w:eastAsia="Arial" w:hAnsi="Arial"/>
                <w:sz w:val="11"/>
                <w:szCs w:val="11"/>
                <w:b w:val="1"/>
                <w:bCs w:val="1"/>
                <w:color w:val="auto"/>
                <w:w w:val="91"/>
              </w:rPr>
              <w:t>(Zip Code)</w:t>
            </w:r>
          </w:p>
        </w:tc>
      </w:tr>
      <w:tr>
        <w:trPr>
          <w:trHeight w:val="297"/>
        </w:trPr>
        <w:tc>
          <w:tcPr>
            <w:tcW w:w="1440" w:type="dxa"/>
            <w:vAlign w:val="bottom"/>
          </w:tcPr>
          <w:p>
            <w:pPr>
              <w:spacing w:after="0"/>
              <w:rPr>
                <w:sz w:val="24"/>
                <w:szCs w:val="24"/>
                <w:color w:val="auto"/>
              </w:rPr>
            </w:pPr>
          </w:p>
        </w:tc>
        <w:tc>
          <w:tcPr>
            <w:tcW w:w="5740" w:type="dxa"/>
            <w:vAlign w:val="bottom"/>
          </w:tcPr>
          <w:p>
            <w:pPr>
              <w:ind w:left="920"/>
              <w:spacing w:after="0"/>
              <w:rPr>
                <w:sz w:val="20"/>
                <w:szCs w:val="20"/>
                <w:color w:val="auto"/>
              </w:rPr>
            </w:pPr>
            <w:r>
              <w:rPr>
                <w:rFonts w:ascii="Arial" w:cs="Arial" w:eastAsia="Arial" w:hAnsi="Arial"/>
                <w:sz w:val="14"/>
                <w:szCs w:val="14"/>
                <w:b w:val="1"/>
                <w:bCs w:val="1"/>
                <w:color w:val="auto"/>
              </w:rPr>
              <w:t>Registrant’s telephone number, including area code: (646) 525-4319</w:t>
            </w:r>
          </w:p>
        </w:tc>
        <w:tc>
          <w:tcPr>
            <w:tcW w:w="15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148590</wp:posOffset>
            </wp:positionV>
            <wp:extent cx="15214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698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to the registrant under any of the following provisions:</w:t>
      </w:r>
    </w:p>
    <w:p>
      <w:pPr>
        <w:spacing w:after="0" w:line="9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81"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81"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81"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713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713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ectPr>
          <w:pgSz w:w="11900" w:h="16838" w:orient="portrait"/>
          <w:cols w:equalWidth="0" w:num="1">
            <w:col w:w="10239"/>
          </w:cols>
          <w:pgMar w:left="220" w:top="282" w:right="1440"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0755" cy="3365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Regulation FD Disclosure.</w:t>
      </w:r>
    </w:p>
    <w:p>
      <w:pPr>
        <w:spacing w:after="0" w:line="86" w:lineRule="exact"/>
        <w:rPr>
          <w:sz w:val="20"/>
          <w:szCs w:val="20"/>
          <w:color w:val="auto"/>
        </w:rPr>
      </w:pPr>
    </w:p>
    <w:p>
      <w:pPr>
        <w:jc w:val="both"/>
        <w:ind w:firstLine="458"/>
        <w:spacing w:after="0" w:line="278" w:lineRule="auto"/>
        <w:rPr>
          <w:sz w:val="20"/>
          <w:szCs w:val="20"/>
          <w:color w:val="auto"/>
        </w:rPr>
      </w:pPr>
      <w:r>
        <w:rPr>
          <w:rFonts w:ascii="Arial" w:cs="Arial" w:eastAsia="Arial" w:hAnsi="Arial"/>
          <w:sz w:val="14"/>
          <w:szCs w:val="14"/>
          <w:color w:val="auto"/>
        </w:rPr>
        <w:t>On August 24, 2010, Vringo, Inc. (the “Company”) issued a press release announcing that it will be presenting at the Rodman &amp; Renshaw Annual Global Investment Conference in New York City on September 13, 2010. The presentation to be used at the conference is furnished herewith as Exhibit 99.1 and a copy of the press release is furnished herewith as Exhibit 99.2, both of which are incorporated herein by reference.</w:t>
      </w:r>
    </w:p>
    <w:p>
      <w:pPr>
        <w:spacing w:after="0" w:line="103" w:lineRule="exact"/>
        <w:rPr>
          <w:sz w:val="20"/>
          <w:szCs w:val="20"/>
          <w:color w:val="auto"/>
        </w:rPr>
      </w:pPr>
    </w:p>
    <w:p>
      <w:pPr>
        <w:ind w:right="160" w:firstLine="458"/>
        <w:spacing w:after="0" w:line="278" w:lineRule="auto"/>
        <w:rPr>
          <w:sz w:val="20"/>
          <w:szCs w:val="20"/>
          <w:color w:val="auto"/>
        </w:rPr>
      </w:pPr>
      <w:r>
        <w:rPr>
          <w:rFonts w:ascii="Arial" w:cs="Arial" w:eastAsia="Arial" w:hAnsi="Arial"/>
          <w:sz w:val="14"/>
          <w:szCs w:val="14"/>
          <w:color w:val="auto"/>
        </w:rPr>
        <w:t>The information contained in this Current Report on Form 8-K, including the exhibits hereto, shall not be deemed “filed” for purposes of Section 18 of the Securities Exchange Act of 1934, as amended, and shall not be incorporated by reference into any filings under the Securities Act of 1933, as amended, or the Securities Exchange Act of 1934, as amended, except to the extent the Company specifically incorporates the information by reference.</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8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Presentation Materials for the Rodman &amp; Renshaw Annual Global Investment Conference</w:t>
      </w:r>
    </w:p>
    <w:p>
      <w:pPr>
        <w:spacing w:after="0" w:line="10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99.2</w:t>
      </w:r>
      <w:r>
        <w:rPr>
          <w:sz w:val="20"/>
          <w:szCs w:val="20"/>
          <w:color w:val="auto"/>
        </w:rPr>
        <w:tab/>
      </w:r>
      <w:r>
        <w:rPr>
          <w:rFonts w:ascii="Arial" w:cs="Arial" w:eastAsia="Arial" w:hAnsi="Arial"/>
          <w:sz w:val="12"/>
          <w:szCs w:val="12"/>
          <w:color w:val="auto"/>
        </w:rPr>
        <w:t>Press Release, dated August 24, 2010</w:t>
      </w:r>
    </w:p>
    <w:p>
      <w:pPr>
        <w:sectPr>
          <w:pgSz w:w="11900" w:h="16838" w:orient="portrait"/>
          <w:cols w:equalWidth="0" w:num="1">
            <w:col w:w="11460"/>
          </w:cols>
          <w:pgMar w:left="220" w:top="250" w:right="21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0755" cy="33655"/>
                    </a:xfrm>
                    <a:prstGeom prst="rect">
                      <a:avLst/>
                    </a:prstGeom>
                    <a:noFill/>
                  </pic:spPr>
                </pic:pic>
              </a:graphicData>
            </a:graphic>
          </wp:anchor>
        </w:drawing>
        <w:t>SIGNATURE</w:t>
      </w:r>
    </w:p>
    <w:p>
      <w:pPr>
        <w:spacing w:after="0" w:line="152"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Dated: September 13, 2010</w:t>
      </w:r>
      <w:r>
        <w:rPr>
          <w:sz w:val="20"/>
          <w:szCs w:val="20"/>
          <w:color w:val="auto"/>
        </w:rPr>
        <w:tab/>
      </w:r>
      <w:r>
        <w:rPr>
          <w:rFonts w:ascii="Arial" w:cs="Arial" w:eastAsia="Arial" w:hAnsi="Arial"/>
          <w:sz w:val="14"/>
          <w:szCs w:val="14"/>
          <w:b w:val="1"/>
          <w:bCs w:val="1"/>
          <w:color w:val="auto"/>
        </w:rPr>
        <w:t>VRINGO, INC.</w:t>
      </w:r>
    </w:p>
    <w:p>
      <w:pPr>
        <w:spacing w:after="0" w:line="196"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14605</wp:posOffset>
            </wp:positionV>
            <wp:extent cx="34848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4880" cy="698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Name: Andrew Perlman</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Title: President</w:t>
      </w:r>
    </w:p>
    <w:p>
      <w:pPr>
        <w:sectPr>
          <w:pgSz w:w="11900" w:h="16838" w:orient="portrait"/>
          <w:cols w:equalWidth="0" w:num="1">
            <w:col w:w="10900"/>
          </w:cols>
          <w:pgMar w:left="220" w:top="250" w:right="779" w:bottom="1440" w:gutter="0" w:footer="0" w:header="0"/>
        </w:sectPr>
      </w:pPr>
    </w:p>
    <w:bookmarkStart w:id="3" w:name="page4"/>
    <w:bookmarkEnd w:id="3"/>
    <w:p>
      <w:pPr>
        <w:ind w:left="91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215265</wp:posOffset>
            </wp:positionH>
            <wp:positionV relativeFrom="page">
              <wp:posOffset>158750</wp:posOffset>
            </wp:positionV>
            <wp:extent cx="6738620" cy="5055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055870"/>
                    </a:xfrm>
                    <a:prstGeom prst="rect">
                      <a:avLst/>
                    </a:prstGeom>
                    <a:noFill/>
                  </pic:spPr>
                </pic:pic>
              </a:graphicData>
            </a:graphic>
          </wp:anchor>
        </w:drawing>
        <w:t>Exhibit 99.1</w:t>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41"/>
          <w:szCs w:val="41"/>
          <w:b w:val="1"/>
          <w:bCs w:val="1"/>
          <w:color w:val="FFFFFF"/>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60"/>
        <w:spacing w:after="0" w:line="323" w:lineRule="auto"/>
        <w:rPr>
          <w:sz w:val="20"/>
          <w:szCs w:val="20"/>
          <w:color w:val="auto"/>
        </w:rPr>
      </w:pPr>
      <w:r>
        <w:rPr>
          <w:rFonts w:ascii="Arial" w:cs="Arial" w:eastAsia="Arial" w:hAnsi="Arial"/>
          <w:sz w:val="35"/>
          <w:szCs w:val="35"/>
          <w:b w:val="1"/>
          <w:bCs w:val="1"/>
          <w:color w:val="FFFFFF"/>
        </w:rPr>
        <w:t>Rodman &amp; Renshaw Annual Global Investment Conference September 13, 2010</w:t>
      </w:r>
    </w:p>
    <w:p>
      <w:pPr>
        <w:sectPr>
          <w:pgSz w:w="11900" w:h="16838" w:orient="portrait"/>
          <w:cols w:equalWidth="0" w:num="1">
            <w:col w:w="9980"/>
          </w:cols>
          <w:pgMar w:left="960" w:top="301" w:right="959" w:bottom="1440" w:gutter="0" w:footer="0" w:header="0"/>
        </w:sectPr>
      </w:pPr>
    </w:p>
    <w:bookmarkStart w:id="4" w:name="page5"/>
    <w:bookmarkEnd w:id="4"/>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right="60"/>
        <w:spacing w:after="0" w:line="252" w:lineRule="auto"/>
        <w:rPr>
          <w:sz w:val="20"/>
          <w:szCs w:val="20"/>
          <w:color w:val="auto"/>
        </w:rPr>
      </w:pPr>
      <w:r>
        <w:rPr>
          <w:rFonts w:ascii="Arial" w:cs="Arial" w:eastAsia="Arial" w:hAnsi="Arial"/>
          <w:sz w:val="21"/>
          <w:szCs w:val="21"/>
          <w:color w:val="auto"/>
        </w:rPr>
        <w:t>This presentation contains certain statements that may be deemed to be “forward-looking statements” within the meaning of Section 27A of the Securities Act of 1933, as amended, and Section 21E of the Securities Exchange Act of 1934, as amended.</w:t>
      </w:r>
    </w:p>
    <w:p>
      <w:pPr>
        <w:spacing w:after="0" w:line="244" w:lineRule="exact"/>
        <w:rPr>
          <w:sz w:val="20"/>
          <w:szCs w:val="20"/>
          <w:color w:val="auto"/>
        </w:rPr>
      </w:pPr>
    </w:p>
    <w:p>
      <w:pPr>
        <w:ind w:left="400" w:right="120"/>
        <w:spacing w:after="0" w:line="252" w:lineRule="auto"/>
        <w:rPr>
          <w:sz w:val="20"/>
          <w:szCs w:val="20"/>
          <w:color w:val="auto"/>
        </w:rPr>
      </w:pPr>
      <w:r>
        <w:rPr>
          <w:rFonts w:ascii="Arial" w:cs="Arial" w:eastAsia="Arial" w:hAnsi="Arial"/>
          <w:sz w:val="21"/>
          <w:szCs w:val="21"/>
          <w:color w:val="auto"/>
        </w:rPr>
        <w:t>All statements, other than statements of historical facts, that address activities, events or developments that the Company expects, projects, believes or anticipates will or may occur in the future, including, without limitation, the outlook for general industry conditions, future operating results, capital expenditures, expansion and growth opportunities, financing activities and other such matters, are forward-looking statements.</w:t>
      </w:r>
    </w:p>
    <w:p>
      <w:pPr>
        <w:spacing w:after="0" w:line="234" w:lineRule="exact"/>
        <w:rPr>
          <w:sz w:val="20"/>
          <w:szCs w:val="20"/>
          <w:color w:val="auto"/>
        </w:rPr>
      </w:pPr>
    </w:p>
    <w:p>
      <w:pPr>
        <w:ind w:left="400" w:right="20"/>
        <w:spacing w:after="0" w:line="255" w:lineRule="auto"/>
        <w:rPr>
          <w:sz w:val="20"/>
          <w:szCs w:val="20"/>
          <w:color w:val="auto"/>
        </w:rPr>
      </w:pPr>
      <w:r>
        <w:rPr>
          <w:rFonts w:ascii="Arial" w:cs="Arial" w:eastAsia="Arial" w:hAnsi="Arial"/>
          <w:sz w:val="21"/>
          <w:szCs w:val="21"/>
          <w:color w:val="auto"/>
        </w:rPr>
        <w:t>Although the Company believes that its expectations stated in this presentation are based on reasonable assumptions, actual results may differ from those projected in the forward-looking statements. For a more detailed discussion of risk factors, please refer to the Company’s Registration Statement on Form S-1 and its periodic reports filed with the United States Securities and Exchange Commission (“SEC”).</w:t>
      </w:r>
    </w:p>
    <w:p>
      <w:pPr>
        <w:spacing w:after="0" w:line="233" w:lineRule="exact"/>
        <w:rPr>
          <w:sz w:val="20"/>
          <w:szCs w:val="20"/>
          <w:color w:val="auto"/>
        </w:rPr>
      </w:pPr>
    </w:p>
    <w:p>
      <w:pPr>
        <w:jc w:val="both"/>
        <w:ind w:left="400"/>
        <w:spacing w:after="0" w:line="257" w:lineRule="auto"/>
        <w:rPr>
          <w:sz w:val="20"/>
          <w:szCs w:val="20"/>
          <w:color w:val="auto"/>
        </w:rPr>
      </w:pPr>
      <w:r>
        <w:rPr>
          <w:rFonts w:ascii="Arial" w:cs="Arial" w:eastAsia="Arial" w:hAnsi="Arial"/>
          <w:sz w:val="21"/>
          <w:szCs w:val="21"/>
          <w:color w:val="auto"/>
        </w:rPr>
        <w:t>Vringo expressly disclaims any obligations or undertaking to update or revise any forward-looking statements contained herein to reflect any change in Vringo’s expectations with respect thereto or any change in events, conditions or circumstances 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FFFFFF"/>
        </w:rPr>
        <w:t>- Page 2-</w:t>
      </w:r>
    </w:p>
    <w:p>
      <w:pPr>
        <w:sectPr>
          <w:pgSz w:w="11900" w:h="16838" w:orient="portrait"/>
          <w:cols w:equalWidth="0" w:num="1">
            <w:col w:w="10500"/>
          </w:cols>
          <w:pgMar w:left="600" w:top="497" w:right="799" w:bottom="1440" w:gutter="0" w:footer="0" w:header="0"/>
        </w:sectPr>
      </w:pPr>
    </w:p>
    <w:bookmarkStart w:id="5" w:name="page6"/>
    <w:bookmarkEnd w:id="5"/>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Vringo: Synonym for Video Ringtones</w:t>
      </w:r>
    </w:p>
    <w:p>
      <w:pPr>
        <w:spacing w:after="0" w:line="247" w:lineRule="exact"/>
        <w:rPr>
          <w:sz w:val="20"/>
          <w:szCs w:val="20"/>
          <w:color w:val="auto"/>
        </w:rPr>
      </w:pPr>
    </w:p>
    <w:p>
      <w:pPr>
        <w:ind w:left="320" w:hanging="263"/>
        <w:spacing w:after="0"/>
        <w:tabs>
          <w:tab w:leader="none" w:pos="320" w:val="left"/>
        </w:tabs>
        <w:numPr>
          <w:ilvl w:val="0"/>
          <w:numId w:val="3"/>
        </w:numPr>
        <w:rPr>
          <w:rFonts w:ascii="Arial" w:cs="Arial" w:eastAsia="Arial" w:hAnsi="Arial"/>
          <w:sz w:val="21"/>
          <w:szCs w:val="21"/>
          <w:color w:val="auto"/>
        </w:rPr>
      </w:pPr>
      <w:r>
        <w:rPr>
          <w:rFonts w:ascii="Arial" w:cs="Arial" w:eastAsia="Arial" w:hAnsi="Arial"/>
          <w:sz w:val="27"/>
          <w:szCs w:val="27"/>
          <w:b w:val="1"/>
          <w:bCs w:val="1"/>
          <w:color w:val="auto"/>
        </w:rPr>
        <w:t>We provide a comprehensive platform of video ringtones for mobile phones</w:t>
      </w:r>
    </w:p>
    <w:p>
      <w:pPr>
        <w:spacing w:after="0" w:line="41"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0"/>
          <w:szCs w:val="20"/>
          <w:color w:val="auto"/>
        </w:rPr>
      </w:pPr>
      <w:r>
        <w:rPr>
          <w:rFonts w:ascii="Arial" w:cs="Arial" w:eastAsia="Arial" w:hAnsi="Arial"/>
          <w:sz w:val="25"/>
          <w:szCs w:val="25"/>
          <w:color w:val="auto"/>
        </w:rPr>
        <w:t>Software allows users to create, download and share mobile entertainment content</w:t>
      </w:r>
    </w:p>
    <w:p>
      <w:pPr>
        <w:spacing w:after="0" w:line="32" w:lineRule="exact"/>
        <w:rPr>
          <w:rFonts w:ascii="Arial" w:cs="Arial" w:eastAsia="Arial" w:hAnsi="Arial"/>
          <w:sz w:val="20"/>
          <w:szCs w:val="20"/>
          <w:color w:val="auto"/>
        </w:rPr>
      </w:pPr>
    </w:p>
    <w:p>
      <w:pPr>
        <w:ind w:left="720" w:hanging="266"/>
        <w:spacing w:after="0"/>
        <w:tabs>
          <w:tab w:leader="none" w:pos="720" w:val="left"/>
        </w:tabs>
        <w:numPr>
          <w:ilvl w:val="1"/>
          <w:numId w:val="3"/>
        </w:numPr>
        <w:rPr>
          <w:rFonts w:ascii="Arial" w:cs="Arial" w:eastAsia="Arial" w:hAnsi="Arial"/>
          <w:sz w:val="20"/>
          <w:szCs w:val="20"/>
          <w:color w:val="auto"/>
        </w:rPr>
      </w:pPr>
      <w:r>
        <w:rPr>
          <w:rFonts w:ascii="Arial" w:cs="Arial" w:eastAsia="Arial" w:hAnsi="Arial"/>
          <w:sz w:val="25"/>
          <w:szCs w:val="25"/>
          <w:color w:val="auto"/>
        </w:rPr>
        <w:t>WAP and Web sites encompass robust content integration and distribution systems</w:t>
      </w:r>
    </w:p>
    <w:p>
      <w:pPr>
        <w:spacing w:after="0" w:line="32" w:lineRule="exact"/>
        <w:rPr>
          <w:rFonts w:ascii="Arial" w:cs="Arial" w:eastAsia="Arial" w:hAnsi="Arial"/>
          <w:sz w:val="20"/>
          <w:szCs w:val="20"/>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200+ Vringo-enabled handsets (Windows, BlackBerry, Android, Symbian, J2ME)</w:t>
      </w:r>
    </w:p>
    <w:p>
      <w:pPr>
        <w:spacing w:after="0" w:line="9"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Library of over 5,000 video ringtones</w:t>
      </w: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23patentspendingfor softwareplatform andmobile applications(onepatent issued)</w:t>
      </w:r>
    </w:p>
    <w:p>
      <w:pPr>
        <w:spacing w:after="0" w:line="9"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0"/>
          <w:szCs w:val="20"/>
          <w:color w:val="auto"/>
        </w:rPr>
      </w:pPr>
      <w:r>
        <w:rPr>
          <w:rFonts w:ascii="Arial" w:cs="Arial" w:eastAsia="Arial" w:hAnsi="Arial"/>
          <w:sz w:val="25"/>
          <w:szCs w:val="25"/>
          <w:color w:val="auto"/>
        </w:rPr>
        <w:t>Present on major app stores (Nokia’s Ovi; coming to Verizon’s Android App Store)</w:t>
      </w:r>
    </w:p>
    <w:p>
      <w:pPr>
        <w:spacing w:after="0" w:line="32" w:lineRule="exact"/>
        <w:rPr>
          <w:rFonts w:ascii="Arial" w:cs="Arial" w:eastAsia="Arial" w:hAnsi="Arial"/>
          <w:sz w:val="20"/>
          <w:szCs w:val="20"/>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Pre-linked on Sony Ericsson handsets (SE Walkman)</w:t>
      </w:r>
    </w:p>
    <w:p>
      <w:pPr>
        <w:spacing w:after="0" w:line="187" w:lineRule="exact"/>
        <w:rPr>
          <w:rFonts w:ascii="Arial" w:cs="Arial" w:eastAsia="Arial" w:hAnsi="Arial"/>
          <w:sz w:val="21"/>
          <w:szCs w:val="21"/>
          <w:color w:val="auto"/>
        </w:rPr>
      </w:pPr>
    </w:p>
    <w:p>
      <w:pPr>
        <w:ind w:left="320" w:hanging="263"/>
        <w:spacing w:after="0"/>
        <w:tabs>
          <w:tab w:leader="none" w:pos="320" w:val="left"/>
        </w:tabs>
        <w:numPr>
          <w:ilvl w:val="0"/>
          <w:numId w:val="3"/>
        </w:numPr>
        <w:rPr>
          <w:rFonts w:ascii="Arial" w:cs="Arial" w:eastAsia="Arial" w:hAnsi="Arial"/>
          <w:sz w:val="21"/>
          <w:szCs w:val="21"/>
          <w:color w:val="auto"/>
        </w:rPr>
      </w:pPr>
      <w:r>
        <w:rPr>
          <w:rFonts w:ascii="Arial" w:cs="Arial" w:eastAsia="Arial" w:hAnsi="Arial"/>
          <w:sz w:val="27"/>
          <w:szCs w:val="27"/>
          <w:b w:val="1"/>
          <w:bCs w:val="1"/>
          <w:color w:val="auto"/>
        </w:rPr>
        <w:t>Founded in 2006</w:t>
      </w:r>
    </w:p>
    <w:p>
      <w:pPr>
        <w:spacing w:after="0" w:line="41"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35 Employees</w:t>
      </w:r>
    </w:p>
    <w:p>
      <w:pPr>
        <w:spacing w:after="0" w:line="9"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Headquarters located in New York</w:t>
      </w:r>
    </w:p>
    <w:p>
      <w:pPr>
        <w:spacing w:after="0" w:line="9"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Sales office in Oxford (UK)</w:t>
      </w: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R&amp;D based out of Israel</w:t>
      </w:r>
    </w:p>
    <w:p>
      <w:pPr>
        <w:spacing w:after="0" w:line="187" w:lineRule="exact"/>
        <w:rPr>
          <w:rFonts w:ascii="Arial" w:cs="Arial" w:eastAsia="Arial" w:hAnsi="Arial"/>
          <w:sz w:val="21"/>
          <w:szCs w:val="21"/>
          <w:color w:val="auto"/>
        </w:rPr>
      </w:pPr>
    </w:p>
    <w:p>
      <w:pPr>
        <w:ind w:left="320" w:hanging="263"/>
        <w:spacing w:after="0"/>
        <w:tabs>
          <w:tab w:leader="none" w:pos="320" w:val="left"/>
        </w:tabs>
        <w:numPr>
          <w:ilvl w:val="0"/>
          <w:numId w:val="3"/>
        </w:numPr>
        <w:rPr>
          <w:rFonts w:ascii="Arial" w:cs="Arial" w:eastAsia="Arial" w:hAnsi="Arial"/>
          <w:sz w:val="21"/>
          <w:szCs w:val="21"/>
          <w:color w:val="auto"/>
        </w:rPr>
      </w:pPr>
      <w:r>
        <w:rPr>
          <w:rFonts w:ascii="Arial" w:cs="Arial" w:eastAsia="Arial" w:hAnsi="Arial"/>
          <w:sz w:val="27"/>
          <w:szCs w:val="27"/>
          <w:b w:val="1"/>
          <w:bCs w:val="1"/>
          <w:color w:val="auto"/>
        </w:rPr>
        <w:t>Strong early stage investors</w:t>
      </w:r>
    </w:p>
    <w:p>
      <w:pPr>
        <w:spacing w:after="0" w:line="41"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Angel round of $2.4 M in 2006</w:t>
      </w:r>
    </w:p>
    <w:p>
      <w:pPr>
        <w:spacing w:after="0" w:line="9"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Warburg Pincusinvested $12 M in 2007</w:t>
      </w:r>
    </w:p>
    <w:p>
      <w:pPr>
        <w:spacing w:after="0" w:line="9" w:lineRule="exact"/>
        <w:rPr>
          <w:rFonts w:ascii="Arial" w:cs="Arial" w:eastAsia="Arial" w:hAnsi="Arial"/>
          <w:sz w:val="21"/>
          <w:szCs w:val="21"/>
          <w:color w:val="auto"/>
        </w:rPr>
      </w:pPr>
    </w:p>
    <w:p>
      <w:pPr>
        <w:ind w:left="720" w:hanging="266"/>
        <w:spacing w:after="0"/>
        <w:tabs>
          <w:tab w:leader="none" w:pos="720" w:val="left"/>
        </w:tabs>
        <w:numPr>
          <w:ilvl w:val="1"/>
          <w:numId w:val="3"/>
        </w:numPr>
        <w:rPr>
          <w:rFonts w:ascii="Arial" w:cs="Arial" w:eastAsia="Arial" w:hAnsi="Arial"/>
          <w:sz w:val="21"/>
          <w:szCs w:val="21"/>
          <w:color w:val="auto"/>
        </w:rPr>
      </w:pPr>
      <w:r>
        <w:rPr>
          <w:rFonts w:ascii="Arial" w:cs="Arial" w:eastAsia="Arial" w:hAnsi="Arial"/>
          <w:sz w:val="27"/>
          <w:szCs w:val="27"/>
          <w:color w:val="auto"/>
        </w:rPr>
        <w:t>Bridge round of $3.0 M in Dec. 2009</w:t>
      </w:r>
    </w:p>
    <w:p>
      <w:pPr>
        <w:spacing w:after="0" w:line="298" w:lineRule="exact"/>
        <w:rPr>
          <w:rFonts w:ascii="Arial" w:cs="Arial" w:eastAsia="Arial" w:hAnsi="Arial"/>
          <w:sz w:val="21"/>
          <w:szCs w:val="21"/>
          <w:color w:val="auto"/>
        </w:rPr>
      </w:pPr>
    </w:p>
    <w:p>
      <w:pPr>
        <w:ind w:left="320" w:hanging="263"/>
        <w:spacing w:after="0"/>
        <w:tabs>
          <w:tab w:leader="none" w:pos="320" w:val="left"/>
        </w:tabs>
        <w:numPr>
          <w:ilvl w:val="0"/>
          <w:numId w:val="3"/>
        </w:numPr>
        <w:rPr>
          <w:rFonts w:ascii="Arial" w:cs="Arial" w:eastAsia="Arial" w:hAnsi="Arial"/>
          <w:sz w:val="21"/>
          <w:szCs w:val="21"/>
          <w:color w:val="auto"/>
        </w:rPr>
      </w:pPr>
      <w:r>
        <w:rPr>
          <w:rFonts w:ascii="Arial" w:cs="Arial" w:eastAsia="Arial" w:hAnsi="Arial"/>
          <w:sz w:val="27"/>
          <w:szCs w:val="27"/>
          <w:b w:val="1"/>
          <w:bCs w:val="1"/>
          <w:color w:val="auto"/>
        </w:rPr>
        <w:t>IPO in June 2010 raised $11 M with Maxim, Ladenburg, and Chardan</w:t>
      </w:r>
    </w:p>
    <w:p>
      <w:pPr>
        <w:spacing w:after="0" w:line="327" w:lineRule="exact"/>
        <w:rPr>
          <w:rFonts w:ascii="Arial" w:cs="Arial" w:eastAsia="Arial" w:hAnsi="Arial"/>
          <w:sz w:val="21"/>
          <w:szCs w:val="21"/>
          <w:color w:val="auto"/>
        </w:rPr>
      </w:pPr>
    </w:p>
    <w:p>
      <w:pPr>
        <w:ind w:left="4880" w:hanging="86"/>
        <w:spacing w:after="0"/>
        <w:tabs>
          <w:tab w:leader="none" w:pos="4880" w:val="left"/>
        </w:tabs>
        <w:numPr>
          <w:ilvl w:val="2"/>
          <w:numId w:val="3"/>
        </w:numPr>
        <w:rPr>
          <w:rFonts w:ascii="Arial" w:cs="Arial" w:eastAsia="Arial" w:hAnsi="Arial"/>
          <w:sz w:val="13"/>
          <w:szCs w:val="13"/>
          <w:color w:val="FFFFFF"/>
        </w:rPr>
      </w:pPr>
      <w:r>
        <w:rPr>
          <w:rFonts w:ascii="Arial" w:cs="Arial" w:eastAsia="Arial" w:hAnsi="Arial"/>
          <w:sz w:val="13"/>
          <w:szCs w:val="13"/>
          <w:color w:val="FFFFFF"/>
        </w:rPr>
        <w:t>Page 3-</w:t>
      </w:r>
    </w:p>
    <w:p>
      <w:pPr>
        <w:sectPr>
          <w:pgSz w:w="11900" w:h="16838" w:orient="portrait"/>
          <w:cols w:equalWidth="0" w:num="1">
            <w:col w:w="10480"/>
          </w:cols>
          <w:pgMar w:left="580" w:top="486" w:right="839" w:bottom="1440" w:gutter="0" w:footer="0" w:header="0"/>
        </w:sectPr>
      </w:pPr>
    </w:p>
    <w:bookmarkStart w:id="6" w:name="page7"/>
    <w:bookmarkEnd w:id="6"/>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Investment Highlights</w:t>
      </w:r>
    </w:p>
    <w:p>
      <w:pPr>
        <w:spacing w:after="0" w:line="200" w:lineRule="exact"/>
        <w:rPr>
          <w:sz w:val="20"/>
          <w:szCs w:val="20"/>
          <w:color w:val="auto"/>
        </w:rPr>
      </w:pPr>
    </w:p>
    <w:p>
      <w:pPr>
        <w:spacing w:after="0" w:line="246" w:lineRule="exact"/>
        <w:rPr>
          <w:sz w:val="20"/>
          <w:szCs w:val="20"/>
          <w:color w:val="auto"/>
        </w:rPr>
      </w:pPr>
    </w:p>
    <w:p>
      <w:pPr>
        <w:ind w:left="3620" w:hanging="206"/>
        <w:spacing w:after="0"/>
        <w:tabs>
          <w:tab w:leader="none" w:pos="3620" w:val="left"/>
        </w:tabs>
        <w:numPr>
          <w:ilvl w:val="0"/>
          <w:numId w:val="4"/>
        </w:numPr>
        <w:rPr>
          <w:rFonts w:ascii="Arial" w:cs="Arial" w:eastAsia="Arial" w:hAnsi="Arial"/>
          <w:sz w:val="21"/>
          <w:szCs w:val="21"/>
          <w:color w:val="auto"/>
        </w:rPr>
      </w:pPr>
      <w:r>
        <w:rPr>
          <w:rFonts w:ascii="Arial" w:cs="Arial" w:eastAsia="Arial" w:hAnsi="Arial"/>
          <w:sz w:val="27"/>
          <w:szCs w:val="27"/>
          <w:b w:val="1"/>
          <w:bCs w:val="1"/>
          <w:color w:val="auto"/>
        </w:rPr>
        <w:t>Scalable business model</w:t>
      </w:r>
    </w:p>
    <w:p>
      <w:pPr>
        <w:spacing w:after="0" w:line="41" w:lineRule="exact"/>
        <w:rPr>
          <w:sz w:val="20"/>
          <w:szCs w:val="20"/>
          <w:color w:val="auto"/>
        </w:rPr>
      </w:pPr>
    </w:p>
    <w:p>
      <w:pPr>
        <w:ind w:left="3620" w:right="400" w:hanging="3511"/>
        <w:spacing w:after="0" w:line="181" w:lineRule="auto"/>
        <w:rPr>
          <w:sz w:val="20"/>
          <w:szCs w:val="20"/>
          <w:color w:val="auto"/>
        </w:rPr>
      </w:pPr>
      <w:r>
        <w:rPr>
          <w:rFonts w:ascii="Arial" w:cs="Arial" w:eastAsia="Arial" w:hAnsi="Arial"/>
          <w:sz w:val="50"/>
          <w:szCs w:val="50"/>
          <w:b w:val="1"/>
          <w:bCs w:val="1"/>
          <w:color w:val="FFFFFF"/>
          <w:vertAlign w:val="subscript"/>
        </w:rPr>
        <w:t>Strong Platform for Growth</w:t>
      </w:r>
      <w:r>
        <w:rPr>
          <w:rFonts w:ascii="Arial" w:cs="Arial" w:eastAsia="Arial" w:hAnsi="Arial"/>
          <w:sz w:val="20"/>
          <w:szCs w:val="20"/>
          <w:color w:val="auto"/>
        </w:rPr>
        <w:t xml:space="preserve">• </w:t>
      </w:r>
      <w:r>
        <w:rPr>
          <w:rFonts w:ascii="Arial" w:cs="Arial" w:eastAsia="Arial" w:hAnsi="Arial"/>
          <w:sz w:val="25"/>
          <w:szCs w:val="25"/>
          <w:b w:val="1"/>
          <w:bCs w:val="1"/>
          <w:color w:val="auto"/>
        </w:rPr>
        <w:t>Major contracts signed with international mobile carriers</w:t>
      </w:r>
      <w:r>
        <w:rPr>
          <w:rFonts w:ascii="Arial" w:cs="Arial" w:eastAsia="Arial" w:hAnsi="Arial"/>
          <w:sz w:val="20"/>
          <w:szCs w:val="20"/>
          <w:color w:val="auto"/>
        </w:rPr>
        <w:t xml:space="preserve"> </w:t>
      </w:r>
      <w:r>
        <w:rPr>
          <w:rFonts w:ascii="Arial" w:cs="Arial" w:eastAsia="Arial" w:hAnsi="Arial"/>
          <w:sz w:val="25"/>
          <w:szCs w:val="25"/>
          <w:b w:val="1"/>
          <w:bCs w:val="1"/>
          <w:color w:val="auto"/>
        </w:rPr>
        <w:t>and content providers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6"/>
          <w:szCs w:val="26"/>
          <w:b w:val="1"/>
          <w:bCs w:val="1"/>
          <w:color w:val="auto"/>
        </w:rPr>
        <w:t>Largest video ringtone library in the world (over 5,000 titles)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21"/>
                <w:szCs w:val="21"/>
                <w:color w:val="auto"/>
                <w:w w:val="80"/>
              </w:rPr>
              <w:t>•</w:t>
            </w:r>
          </w:p>
        </w:tc>
        <w:tc>
          <w:tcPr>
            <w:tcW w:w="7340" w:type="dxa"/>
            <w:vAlign w:val="bottom"/>
          </w:tcPr>
          <w:p>
            <w:pPr>
              <w:ind w:left="40"/>
              <w:spacing w:after="0"/>
              <w:rPr>
                <w:sz w:val="20"/>
                <w:szCs w:val="20"/>
                <w:color w:val="auto"/>
              </w:rPr>
            </w:pPr>
            <w:r>
              <w:rPr>
                <w:rFonts w:ascii="Arial" w:cs="Arial" w:eastAsia="Arial" w:hAnsi="Arial"/>
                <w:sz w:val="27"/>
                <w:szCs w:val="27"/>
                <w:b w:val="1"/>
                <w:bCs w:val="1"/>
                <w:color w:val="auto"/>
              </w:rPr>
              <w:t>Only 17.6 M viewed mobile video in the US in Q4 2009</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40" w:type="dxa"/>
            <w:vAlign w:val="bottom"/>
          </w:tcPr>
          <w:p>
            <w:pPr>
              <w:ind w:left="60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jc w:val="center"/>
              <w:spacing w:after="0" w:line="153" w:lineRule="exact"/>
              <w:rPr>
                <w:sz w:val="20"/>
                <w:szCs w:val="20"/>
                <w:color w:val="auto"/>
              </w:rPr>
            </w:pPr>
            <w:r>
              <w:rPr>
                <w:rFonts w:ascii="Arial" w:cs="Arial" w:eastAsia="Arial" w:hAnsi="Arial"/>
                <w:sz w:val="17"/>
                <w:szCs w:val="17"/>
                <w:color w:val="auto"/>
              </w:rPr>
              <w:t>•</w:t>
            </w:r>
          </w:p>
        </w:tc>
        <w:tc>
          <w:tcPr>
            <w:tcW w:w="7340" w:type="dxa"/>
            <w:vAlign w:val="bottom"/>
          </w:tcPr>
          <w:p>
            <w:pPr>
              <w:ind w:left="40"/>
              <w:spacing w:after="0" w:line="153" w:lineRule="exact"/>
              <w:rPr>
                <w:sz w:val="20"/>
                <w:szCs w:val="20"/>
                <w:color w:val="auto"/>
              </w:rPr>
            </w:pPr>
            <w:r>
              <w:rPr>
                <w:rFonts w:ascii="Arial" w:cs="Arial" w:eastAsia="Arial" w:hAnsi="Arial"/>
                <w:sz w:val="17"/>
                <w:szCs w:val="17"/>
                <w:b w:val="1"/>
                <w:bCs w:val="1"/>
                <w:color w:val="auto"/>
              </w:rPr>
              <w:t>4.6 B global mobile subscribers</w:t>
            </w:r>
          </w:p>
        </w:tc>
        <w:tc>
          <w:tcPr>
            <w:tcW w:w="0" w:type="dxa"/>
            <w:vAlign w:val="bottom"/>
          </w:tcPr>
          <w:p>
            <w:pPr>
              <w:spacing w:after="0"/>
              <w:rPr>
                <w:sz w:val="1"/>
                <w:szCs w:val="1"/>
                <w:color w:val="auto"/>
              </w:rPr>
            </w:pPr>
          </w:p>
        </w:tc>
      </w:tr>
      <w:tr>
        <w:trPr>
          <w:trHeight w:val="234"/>
        </w:trPr>
        <w:tc>
          <w:tcPr>
            <w:tcW w:w="3580" w:type="dxa"/>
            <w:vAlign w:val="bottom"/>
            <w:gridSpan w:val="3"/>
            <w:vMerge w:val="restart"/>
          </w:tcPr>
          <w:p>
            <w:pPr>
              <w:ind w:left="180"/>
              <w:spacing w:after="0"/>
              <w:rPr>
                <w:sz w:val="20"/>
                <w:szCs w:val="20"/>
                <w:color w:val="auto"/>
              </w:rPr>
            </w:pPr>
            <w:r>
              <w:rPr>
                <w:rFonts w:ascii="Arial" w:cs="Arial" w:eastAsia="Arial" w:hAnsi="Arial"/>
                <w:sz w:val="27"/>
                <w:szCs w:val="27"/>
                <w:b w:val="1"/>
                <w:bCs w:val="1"/>
                <w:color w:val="FFFFFF"/>
                <w:w w:val="99"/>
              </w:rPr>
              <w:t>Nascent and Fast Growing</w:t>
            </w:r>
          </w:p>
        </w:tc>
        <w:tc>
          <w:tcPr>
            <w:tcW w:w="7340" w:type="dxa"/>
            <w:vAlign w:val="bottom"/>
          </w:tcPr>
          <w:p>
            <w:pPr>
              <w:ind w:left="34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12"/>
        </w:trPr>
        <w:tc>
          <w:tcPr>
            <w:tcW w:w="3580" w:type="dxa"/>
            <w:vAlign w:val="bottom"/>
            <w:gridSpan w:val="3"/>
            <w:vMerge w:val="continue"/>
          </w:tcPr>
          <w:p>
            <w:pPr>
              <w:spacing w:after="0"/>
              <w:rPr>
                <w:sz w:val="24"/>
                <w:szCs w:val="24"/>
                <w:color w:val="auto"/>
              </w:rPr>
            </w:pPr>
          </w:p>
        </w:tc>
        <w:tc>
          <w:tcPr>
            <w:tcW w:w="7340" w:type="dxa"/>
            <w:vAlign w:val="bottom"/>
          </w:tcPr>
          <w:p>
            <w:pPr>
              <w:ind w:left="516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1"/>
        </w:trPr>
        <w:tc>
          <w:tcPr>
            <w:tcW w:w="3260" w:type="dxa"/>
            <w:vAlign w:val="bottom"/>
            <w:gridSpan w:val="2"/>
            <w:vMerge w:val="restart"/>
          </w:tcPr>
          <w:p>
            <w:pPr>
              <w:ind w:left="1160"/>
              <w:spacing w:after="0"/>
              <w:rPr>
                <w:sz w:val="20"/>
                <w:szCs w:val="20"/>
                <w:color w:val="auto"/>
              </w:rPr>
            </w:pPr>
            <w:r>
              <w:rPr>
                <w:rFonts w:ascii="Arial" w:cs="Arial" w:eastAsia="Arial" w:hAnsi="Arial"/>
                <w:sz w:val="27"/>
                <w:szCs w:val="27"/>
                <w:b w:val="1"/>
                <w:bCs w:val="1"/>
                <w:color w:val="FFFFFF"/>
              </w:rPr>
              <w:t>Markets</w:t>
            </w:r>
          </w:p>
        </w:tc>
        <w:tc>
          <w:tcPr>
            <w:tcW w:w="320" w:type="dxa"/>
            <w:vAlign w:val="bottom"/>
          </w:tcPr>
          <w:p>
            <w:pPr>
              <w:jc w:val="center"/>
              <w:spacing w:after="0" w:line="221" w:lineRule="exact"/>
              <w:rPr>
                <w:sz w:val="20"/>
                <w:szCs w:val="20"/>
                <w:color w:val="auto"/>
              </w:rPr>
            </w:pPr>
            <w:r>
              <w:rPr>
                <w:rFonts w:ascii="Arial" w:cs="Arial" w:eastAsia="Arial" w:hAnsi="Arial"/>
                <w:sz w:val="21"/>
                <w:szCs w:val="21"/>
                <w:color w:val="auto"/>
                <w:w w:val="80"/>
              </w:rPr>
              <w:t>•</w:t>
            </w:r>
          </w:p>
        </w:tc>
        <w:tc>
          <w:tcPr>
            <w:tcW w:w="7340" w:type="dxa"/>
            <w:vAlign w:val="bottom"/>
          </w:tcPr>
          <w:p>
            <w:pPr>
              <w:ind w:left="40"/>
              <w:spacing w:after="0" w:line="221" w:lineRule="exact"/>
              <w:rPr>
                <w:sz w:val="20"/>
                <w:szCs w:val="20"/>
                <w:color w:val="auto"/>
              </w:rPr>
            </w:pPr>
            <w:r>
              <w:rPr>
                <w:rFonts w:ascii="Arial" w:cs="Arial" w:eastAsia="Arial" w:hAnsi="Arial"/>
                <w:sz w:val="25"/>
                <w:szCs w:val="25"/>
                <w:b w:val="1"/>
                <w:bCs w:val="1"/>
                <w:color w:val="auto"/>
              </w:rPr>
              <w:t>534 M global mobile video subscribers by 2014</w:t>
            </w:r>
          </w:p>
        </w:tc>
        <w:tc>
          <w:tcPr>
            <w:tcW w:w="0" w:type="dxa"/>
            <w:vAlign w:val="bottom"/>
          </w:tcPr>
          <w:p>
            <w:pPr>
              <w:spacing w:after="0"/>
              <w:rPr>
                <w:sz w:val="1"/>
                <w:szCs w:val="1"/>
                <w:color w:val="auto"/>
              </w:rPr>
            </w:pPr>
          </w:p>
        </w:tc>
      </w:tr>
      <w:tr>
        <w:trPr>
          <w:trHeight w:val="131"/>
        </w:trPr>
        <w:tc>
          <w:tcPr>
            <w:tcW w:w="3260" w:type="dxa"/>
            <w:vAlign w:val="bottom"/>
            <w:gridSpan w:val="2"/>
            <w:vMerge w:val="continue"/>
          </w:tcPr>
          <w:p>
            <w:pPr>
              <w:spacing w:after="0"/>
              <w:rPr>
                <w:sz w:val="11"/>
                <w:szCs w:val="11"/>
                <w:color w:val="auto"/>
              </w:rPr>
            </w:pPr>
          </w:p>
        </w:tc>
        <w:tc>
          <w:tcPr>
            <w:tcW w:w="320" w:type="dxa"/>
            <w:vAlign w:val="bottom"/>
            <w:vMerge w:val="restart"/>
          </w:tcPr>
          <w:p>
            <w:pPr>
              <w:jc w:val="center"/>
              <w:spacing w:after="0"/>
              <w:rPr>
                <w:sz w:val="20"/>
                <w:szCs w:val="20"/>
                <w:color w:val="auto"/>
              </w:rPr>
            </w:pPr>
            <w:r>
              <w:rPr>
                <w:rFonts w:ascii="Arial" w:cs="Arial" w:eastAsia="Arial" w:hAnsi="Arial"/>
                <w:sz w:val="21"/>
                <w:szCs w:val="21"/>
                <w:color w:val="auto"/>
                <w:w w:val="80"/>
              </w:rPr>
              <w:t>•</w:t>
            </w:r>
          </w:p>
        </w:tc>
        <w:tc>
          <w:tcPr>
            <w:tcW w:w="7340" w:type="dxa"/>
            <w:vAlign w:val="bottom"/>
            <w:vMerge w:val="restart"/>
          </w:tcPr>
          <w:p>
            <w:pPr>
              <w:ind w:left="4520"/>
              <w:spacing w:after="0" w:line="176"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46"/>
        </w:trPr>
        <w:tc>
          <w:tcPr>
            <w:tcW w:w="1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7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1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340" w:type="dxa"/>
            <w:vAlign w:val="bottom"/>
          </w:tcPr>
          <w:p>
            <w:pPr>
              <w:ind w:left="40"/>
              <w:spacing w:after="0" w:line="204" w:lineRule="exact"/>
              <w:rPr>
                <w:sz w:val="20"/>
                <w:szCs w:val="20"/>
                <w:color w:val="auto"/>
              </w:rPr>
            </w:pPr>
            <w:r>
              <w:rPr>
                <w:rFonts w:ascii="Arial" w:cs="Arial" w:eastAsia="Arial" w:hAnsi="Arial"/>
                <w:sz w:val="23"/>
                <w:szCs w:val="23"/>
                <w:b w:val="1"/>
                <w:bCs w:val="1"/>
                <w:color w:val="auto"/>
              </w:rPr>
              <w:t>$25 B mobile application market by 2014</w:t>
            </w: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vMerge w:val="restart"/>
          </w:tcPr>
          <w:p>
            <w:pPr>
              <w:jc w:val="center"/>
              <w:spacing w:after="0"/>
              <w:rPr>
                <w:sz w:val="20"/>
                <w:szCs w:val="20"/>
                <w:color w:val="auto"/>
              </w:rPr>
            </w:pPr>
            <w:r>
              <w:rPr>
                <w:rFonts w:ascii="Arial" w:cs="Arial" w:eastAsia="Arial" w:hAnsi="Arial"/>
                <w:sz w:val="21"/>
                <w:szCs w:val="21"/>
                <w:color w:val="auto"/>
                <w:w w:val="80"/>
              </w:rPr>
              <w:t>•</w:t>
            </w:r>
          </w:p>
        </w:tc>
        <w:tc>
          <w:tcPr>
            <w:tcW w:w="7340" w:type="dxa"/>
            <w:vAlign w:val="bottom"/>
          </w:tcPr>
          <w:p>
            <w:pPr>
              <w:ind w:left="4160"/>
              <w:spacing w:after="0" w:line="18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52"/>
        </w:trPr>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7340" w:type="dxa"/>
            <w:vAlign w:val="bottom"/>
          </w:tcPr>
          <w:p>
            <w:pPr>
              <w:ind w:left="40"/>
              <w:spacing w:after="0"/>
              <w:rPr>
                <w:sz w:val="20"/>
                <w:szCs w:val="20"/>
                <w:color w:val="auto"/>
              </w:rPr>
            </w:pPr>
            <w:r>
              <w:rPr>
                <w:rFonts w:ascii="Arial" w:cs="Arial" w:eastAsia="Arial" w:hAnsi="Arial"/>
                <w:sz w:val="27"/>
                <w:szCs w:val="27"/>
                <w:b w:val="1"/>
                <w:bCs w:val="1"/>
                <w:color w:val="auto"/>
              </w:rPr>
              <w:t>$29 B mobile content market by 2012</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21"/>
                <w:szCs w:val="21"/>
                <w:color w:val="auto"/>
                <w:w w:val="80"/>
              </w:rPr>
              <w:t>•</w:t>
            </w:r>
          </w:p>
        </w:tc>
        <w:tc>
          <w:tcPr>
            <w:tcW w:w="7340" w:type="dxa"/>
            <w:vAlign w:val="bottom"/>
          </w:tcPr>
          <w:p>
            <w:pPr>
              <w:ind w:left="40"/>
              <w:spacing w:after="0"/>
              <w:rPr>
                <w:sz w:val="20"/>
                <w:szCs w:val="20"/>
                <w:color w:val="auto"/>
              </w:rPr>
            </w:pPr>
            <w:r>
              <w:rPr>
                <w:rFonts w:ascii="Arial" w:cs="Arial" w:eastAsia="Arial" w:hAnsi="Arial"/>
                <w:sz w:val="27"/>
                <w:szCs w:val="27"/>
                <w:b w:val="1"/>
                <w:bCs w:val="1"/>
                <w:color w:val="auto"/>
                <w:w w:val="97"/>
              </w:rPr>
              <w:t>Strong management team and BOD with experience in the</w:t>
            </w:r>
          </w:p>
        </w:tc>
        <w:tc>
          <w:tcPr>
            <w:tcW w:w="0" w:type="dxa"/>
            <w:vAlign w:val="bottom"/>
          </w:tcPr>
          <w:p>
            <w:pPr>
              <w:spacing w:after="0"/>
              <w:rPr>
                <w:sz w:val="1"/>
                <w:szCs w:val="1"/>
                <w:color w:val="auto"/>
              </w:rPr>
            </w:pPr>
          </w:p>
        </w:tc>
      </w:tr>
      <w:tr>
        <w:trPr>
          <w:trHeight w:val="369"/>
        </w:trPr>
        <w:tc>
          <w:tcPr>
            <w:tcW w:w="3260" w:type="dxa"/>
            <w:vAlign w:val="bottom"/>
            <w:gridSpan w:val="2"/>
          </w:tcPr>
          <w:p>
            <w:pPr>
              <w:ind w:left="480"/>
              <w:spacing w:after="0"/>
              <w:rPr>
                <w:sz w:val="20"/>
                <w:szCs w:val="20"/>
                <w:color w:val="auto"/>
              </w:rPr>
            </w:pPr>
            <w:r>
              <w:rPr>
                <w:rFonts w:ascii="Arial" w:cs="Arial" w:eastAsia="Arial" w:hAnsi="Arial"/>
                <w:sz w:val="27"/>
                <w:szCs w:val="27"/>
                <w:b w:val="1"/>
                <w:bCs w:val="1"/>
                <w:color w:val="FFFFFF"/>
              </w:rPr>
              <w:t>Established and Well</w:t>
            </w:r>
          </w:p>
        </w:tc>
        <w:tc>
          <w:tcPr>
            <w:tcW w:w="320" w:type="dxa"/>
            <w:vAlign w:val="bottom"/>
          </w:tcPr>
          <w:p>
            <w:pPr>
              <w:spacing w:after="0"/>
              <w:rPr>
                <w:sz w:val="24"/>
                <w:szCs w:val="24"/>
                <w:color w:val="auto"/>
              </w:rPr>
            </w:pPr>
          </w:p>
        </w:tc>
        <w:tc>
          <w:tcPr>
            <w:tcW w:w="7340" w:type="dxa"/>
            <w:vAlign w:val="bottom"/>
          </w:tcPr>
          <w:p>
            <w:pPr>
              <w:ind w:left="40"/>
              <w:spacing w:after="0"/>
              <w:rPr>
                <w:sz w:val="20"/>
                <w:szCs w:val="20"/>
                <w:color w:val="auto"/>
              </w:rPr>
            </w:pPr>
            <w:r>
              <w:rPr>
                <w:rFonts w:ascii="Arial" w:cs="Arial" w:eastAsia="Arial" w:hAnsi="Arial"/>
                <w:sz w:val="27"/>
                <w:szCs w:val="27"/>
                <w:b w:val="1"/>
                <w:bCs w:val="1"/>
                <w:color w:val="auto"/>
              </w:rPr>
              <w:t>U.S. financial markets</w:t>
            </w:r>
          </w:p>
        </w:tc>
        <w:tc>
          <w:tcPr>
            <w:tcW w:w="0" w:type="dxa"/>
            <w:vAlign w:val="bottom"/>
          </w:tcPr>
          <w:p>
            <w:pPr>
              <w:spacing w:after="0"/>
              <w:rPr>
                <w:sz w:val="1"/>
                <w:szCs w:val="1"/>
                <w:color w:val="auto"/>
              </w:rPr>
            </w:pPr>
          </w:p>
        </w:tc>
      </w:tr>
      <w:tr>
        <w:trPr>
          <w:trHeight w:val="294"/>
        </w:trPr>
        <w:tc>
          <w:tcPr>
            <w:tcW w:w="3580" w:type="dxa"/>
            <w:vAlign w:val="bottom"/>
            <w:gridSpan w:val="3"/>
          </w:tcPr>
          <w:p>
            <w:pPr>
              <w:ind w:left="320"/>
              <w:spacing w:after="0" w:line="294" w:lineRule="exact"/>
              <w:rPr>
                <w:sz w:val="20"/>
                <w:szCs w:val="20"/>
                <w:color w:val="auto"/>
              </w:rPr>
            </w:pPr>
            <w:r>
              <w:rPr>
                <w:rFonts w:ascii="Arial" w:cs="Arial" w:eastAsia="Arial" w:hAnsi="Arial"/>
                <w:sz w:val="27"/>
                <w:szCs w:val="27"/>
                <w:b w:val="1"/>
                <w:bCs w:val="1"/>
                <w:color w:val="FFFFFF"/>
              </w:rPr>
              <w:t xml:space="preserve">Seasoned Management </w:t>
            </w:r>
            <w:r>
              <w:rPr>
                <w:rFonts w:ascii="Arial" w:cs="Arial" w:eastAsia="Arial" w:hAnsi="Arial"/>
                <w:sz w:val="20"/>
                <w:szCs w:val="20"/>
                <w:color w:val="000000"/>
              </w:rPr>
              <w:t>•</w:t>
            </w:r>
          </w:p>
        </w:tc>
        <w:tc>
          <w:tcPr>
            <w:tcW w:w="7340" w:type="dxa"/>
            <w:vAlign w:val="bottom"/>
          </w:tcPr>
          <w:p>
            <w:pPr>
              <w:ind w:left="40"/>
              <w:spacing w:after="0" w:line="294" w:lineRule="exact"/>
              <w:rPr>
                <w:sz w:val="20"/>
                <w:szCs w:val="20"/>
                <w:color w:val="auto"/>
              </w:rPr>
            </w:pPr>
            <w:r>
              <w:rPr>
                <w:rFonts w:ascii="Arial" w:cs="Arial" w:eastAsia="Arial" w:hAnsi="Arial"/>
                <w:sz w:val="27"/>
                <w:szCs w:val="27"/>
                <w:b w:val="1"/>
                <w:bCs w:val="1"/>
                <w:color w:val="auto"/>
              </w:rPr>
              <w:t>Track record of creating, running, investing and exiting</w:t>
            </w:r>
          </w:p>
        </w:tc>
        <w:tc>
          <w:tcPr>
            <w:tcW w:w="0" w:type="dxa"/>
            <w:vAlign w:val="bottom"/>
          </w:tcPr>
          <w:p>
            <w:pPr>
              <w:spacing w:after="0"/>
              <w:rPr>
                <w:sz w:val="1"/>
                <w:szCs w:val="1"/>
                <w:color w:val="auto"/>
              </w:rPr>
            </w:pPr>
          </w:p>
        </w:tc>
      </w:tr>
      <w:tr>
        <w:trPr>
          <w:trHeight w:val="352"/>
        </w:trPr>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40" w:type="dxa"/>
            <w:vAlign w:val="bottom"/>
          </w:tcPr>
          <w:p>
            <w:pPr>
              <w:ind w:left="40"/>
              <w:spacing w:after="0"/>
              <w:rPr>
                <w:sz w:val="20"/>
                <w:szCs w:val="20"/>
                <w:color w:val="auto"/>
              </w:rPr>
            </w:pPr>
            <w:r>
              <w:rPr>
                <w:rFonts w:ascii="Arial" w:cs="Arial" w:eastAsia="Arial" w:hAnsi="Arial"/>
                <w:sz w:val="27"/>
                <w:szCs w:val="27"/>
                <w:b w:val="1"/>
                <w:bCs w:val="1"/>
                <w:color w:val="auto"/>
              </w:rPr>
              <w:t>successful technology companies</w:t>
            </w:r>
          </w:p>
        </w:tc>
        <w:tc>
          <w:tcPr>
            <w:tcW w:w="0" w:type="dxa"/>
            <w:vAlign w:val="bottom"/>
          </w:tcPr>
          <w:p>
            <w:pPr>
              <w:spacing w:after="0"/>
              <w:rPr>
                <w:sz w:val="1"/>
                <w:szCs w:val="1"/>
                <w:color w:val="auto"/>
              </w:rPr>
            </w:pPr>
          </w:p>
        </w:tc>
      </w:tr>
      <w:tr>
        <w:trPr>
          <w:trHeight w:val="507"/>
        </w:trPr>
        <w:tc>
          <w:tcPr>
            <w:tcW w:w="1920" w:type="dxa"/>
            <w:vAlign w:val="bottom"/>
          </w:tcPr>
          <w:p>
            <w:pPr>
              <w:spacing w:after="0"/>
              <w:rPr>
                <w:sz w:val="20"/>
                <w:szCs w:val="20"/>
                <w:color w:val="auto"/>
              </w:rPr>
            </w:pPr>
            <w:r>
              <w:rPr>
                <w:rFonts w:ascii="Arial" w:cs="Arial" w:eastAsia="Arial" w:hAnsi="Arial"/>
                <w:sz w:val="14"/>
                <w:szCs w:val="14"/>
                <w:color w:val="auto"/>
              </w:rPr>
              <w:t>(1) Nielsen/New York Times</w:t>
            </w:r>
          </w:p>
        </w:tc>
        <w:tc>
          <w:tcPr>
            <w:tcW w:w="1660" w:type="dxa"/>
            <w:vAlign w:val="bottom"/>
            <w:gridSpan w:val="2"/>
          </w:tcPr>
          <w:p>
            <w:pPr>
              <w:ind w:left="160"/>
              <w:spacing w:after="0"/>
              <w:rPr>
                <w:sz w:val="20"/>
                <w:szCs w:val="20"/>
                <w:color w:val="auto"/>
              </w:rPr>
            </w:pPr>
            <w:r>
              <w:rPr>
                <w:rFonts w:ascii="Arial" w:cs="Arial" w:eastAsia="Arial" w:hAnsi="Arial"/>
                <w:sz w:val="14"/>
                <w:szCs w:val="14"/>
                <w:color w:val="auto"/>
              </w:rPr>
              <w:t>(4) Juniper Research</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920" w:type="dxa"/>
            <w:vAlign w:val="bottom"/>
          </w:tcPr>
          <w:p>
            <w:pPr>
              <w:spacing w:after="0"/>
              <w:rPr>
                <w:sz w:val="20"/>
                <w:szCs w:val="20"/>
                <w:color w:val="auto"/>
              </w:rPr>
            </w:pPr>
            <w:r>
              <w:rPr>
                <w:rFonts w:ascii="Arial" w:cs="Arial" w:eastAsia="Arial" w:hAnsi="Arial"/>
                <w:sz w:val="14"/>
                <w:szCs w:val="14"/>
                <w:color w:val="auto"/>
              </w:rPr>
              <w:t>(2) United Nations estimate</w:t>
            </w:r>
          </w:p>
        </w:tc>
        <w:tc>
          <w:tcPr>
            <w:tcW w:w="9000" w:type="dxa"/>
            <w:vAlign w:val="bottom"/>
            <w:gridSpan w:val="3"/>
          </w:tcPr>
          <w:p>
            <w:pPr>
              <w:jc w:val="center"/>
              <w:ind w:right="5908"/>
              <w:spacing w:after="0"/>
              <w:rPr>
                <w:sz w:val="20"/>
                <w:szCs w:val="20"/>
                <w:color w:val="auto"/>
              </w:rPr>
            </w:pPr>
            <w:r>
              <w:rPr>
                <w:rFonts w:ascii="Arial" w:cs="Arial" w:eastAsia="Arial" w:hAnsi="Arial"/>
                <w:sz w:val="14"/>
                <w:szCs w:val="14"/>
                <w:color w:val="auto"/>
              </w:rPr>
              <w:t>(5) Not a projection for Vringo subscribers</w:t>
            </w:r>
          </w:p>
        </w:tc>
        <w:tc>
          <w:tcPr>
            <w:tcW w:w="0" w:type="dxa"/>
            <w:vAlign w:val="bottom"/>
          </w:tcPr>
          <w:p>
            <w:pPr>
              <w:spacing w:after="0"/>
              <w:rPr>
                <w:sz w:val="1"/>
                <w:szCs w:val="1"/>
                <w:color w:val="auto"/>
              </w:rPr>
            </w:pPr>
          </w:p>
        </w:tc>
      </w:tr>
      <w:tr>
        <w:trPr>
          <w:trHeight w:val="177"/>
        </w:trPr>
        <w:tc>
          <w:tcPr>
            <w:tcW w:w="1920" w:type="dxa"/>
            <w:vAlign w:val="bottom"/>
          </w:tcPr>
          <w:p>
            <w:pPr>
              <w:spacing w:after="0"/>
              <w:rPr>
                <w:sz w:val="20"/>
                <w:szCs w:val="20"/>
                <w:color w:val="auto"/>
              </w:rPr>
            </w:pPr>
            <w:r>
              <w:rPr>
                <w:rFonts w:ascii="Arial" w:cs="Arial" w:eastAsia="Arial" w:hAnsi="Arial"/>
                <w:sz w:val="14"/>
                <w:szCs w:val="14"/>
                <w:color w:val="auto"/>
              </w:rPr>
              <w:t>(3) Multimedia Intelligence</w:t>
            </w:r>
          </w:p>
        </w:tc>
        <w:tc>
          <w:tcPr>
            <w:tcW w:w="9000" w:type="dxa"/>
            <w:vAlign w:val="bottom"/>
            <w:gridSpan w:val="3"/>
          </w:tcPr>
          <w:p>
            <w:pPr>
              <w:jc w:val="center"/>
              <w:ind w:right="5908"/>
              <w:spacing w:after="0"/>
              <w:rPr>
                <w:sz w:val="20"/>
                <w:szCs w:val="20"/>
                <w:color w:val="auto"/>
              </w:rPr>
            </w:pPr>
            <w:r>
              <w:rPr>
                <w:rFonts w:ascii="Arial" w:cs="Arial" w:eastAsia="Arial" w:hAnsi="Arial"/>
                <w:sz w:val="14"/>
                <w:szCs w:val="14"/>
                <w:color w:val="auto"/>
              </w:rPr>
              <w:t>(6) Not a projection for Vringo market size</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4800"/>
        <w:spacing w:after="0"/>
        <w:rPr>
          <w:sz w:val="20"/>
          <w:szCs w:val="20"/>
          <w:color w:val="auto"/>
        </w:rPr>
      </w:pPr>
      <w:r>
        <w:rPr>
          <w:rFonts w:ascii="Arial" w:cs="Arial" w:eastAsia="Arial" w:hAnsi="Arial"/>
          <w:sz w:val="13"/>
          <w:szCs w:val="13"/>
          <w:color w:val="FFFFFF"/>
        </w:rPr>
        <w:t>- Page 4 -</w:t>
      </w:r>
    </w:p>
    <w:p>
      <w:pPr>
        <w:sectPr>
          <w:pgSz w:w="11900" w:h="16838" w:orient="portrait"/>
          <w:cols w:equalWidth="0" w:num="1">
            <w:col w:w="11160"/>
          </w:cols>
          <w:pgMar w:left="580" w:top="497" w:right="159" w:bottom="1440" w:gutter="0" w:footer="0" w:header="0"/>
        </w:sectPr>
      </w:pPr>
    </w:p>
    <w:bookmarkStart w:id="7" w:name="page8"/>
    <w:bookmarkEnd w:id="7"/>
    <w:p>
      <w:pPr>
        <w:ind w:left="540"/>
        <w:spacing w:after="0"/>
        <w:rPr>
          <w:sz w:val="20"/>
          <w:szCs w:val="20"/>
          <w:color w:val="auto"/>
        </w:rPr>
      </w:pPr>
      <w:r>
        <w:rPr>
          <w:rFonts w:ascii="Arial" w:cs="Arial" w:eastAsia="Arial" w:hAnsi="Arial"/>
          <w:sz w:val="64"/>
          <w:szCs w:val="64"/>
          <w:b w:val="1"/>
          <w:bCs w:val="1"/>
          <w:color w:val="FF0000"/>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STAY TUNED--NEWS TO FOLLOW</w:t>
      </w:r>
    </w:p>
    <w:p>
      <w:pPr>
        <w:spacing w:after="0" w:line="257" w:lineRule="exact"/>
        <w:rPr>
          <w:sz w:val="20"/>
          <w:szCs w:val="20"/>
          <w:color w:val="auto"/>
        </w:rPr>
      </w:pPr>
    </w:p>
    <w:p>
      <w:pPr>
        <w:ind w:right="1000"/>
        <w:spacing w:after="0" w:line="282" w:lineRule="auto"/>
        <w:rPr>
          <w:sz w:val="20"/>
          <w:szCs w:val="20"/>
          <w:color w:val="auto"/>
        </w:rPr>
      </w:pPr>
      <w:r>
        <w:rPr>
          <w:rFonts w:ascii="Arial" w:cs="Arial" w:eastAsia="Arial" w:hAnsi="Arial"/>
          <w:sz w:val="30"/>
          <w:szCs w:val="30"/>
          <w:b w:val="1"/>
          <w:bCs w:val="1"/>
          <w:color w:val="auto"/>
        </w:rPr>
        <w:t>Deal with Everything Everywhere Ltd.; UK’s largest mobile company to launch Vringo together in the UK market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60" w:right="140"/>
        <w:spacing w:after="0" w:line="264" w:lineRule="auto"/>
        <w:rPr>
          <w:sz w:val="20"/>
          <w:szCs w:val="20"/>
          <w:color w:val="auto"/>
        </w:rPr>
      </w:pPr>
      <w:r>
        <w:rPr>
          <w:rFonts w:ascii="Arial" w:cs="Arial" w:eastAsia="Arial" w:hAnsi="Arial"/>
          <w:sz w:val="30"/>
          <w:szCs w:val="30"/>
          <w:b w:val="1"/>
          <w:bCs w:val="1"/>
          <w:color w:val="auto"/>
        </w:rPr>
        <w:t>Everything Everywhere operates both Orange (UK) and T-Mobile (UK) with combined total of over 30 M subscribers, and is owned by France Telecom and Deutsche Telekom</w:t>
      </w:r>
    </w:p>
    <w:p>
      <w:pPr>
        <w:spacing w:after="0" w:line="200" w:lineRule="exact"/>
        <w:rPr>
          <w:sz w:val="20"/>
          <w:szCs w:val="20"/>
          <w:color w:val="auto"/>
        </w:rPr>
      </w:pPr>
    </w:p>
    <w:p>
      <w:pPr>
        <w:spacing w:after="0" w:line="263" w:lineRule="exact"/>
        <w:rPr>
          <w:sz w:val="20"/>
          <w:szCs w:val="20"/>
          <w:color w:val="auto"/>
        </w:rPr>
      </w:pPr>
    </w:p>
    <w:p>
      <w:pPr>
        <w:ind w:left="1340"/>
        <w:spacing w:after="0"/>
        <w:rPr>
          <w:sz w:val="20"/>
          <w:szCs w:val="20"/>
          <w:color w:val="auto"/>
        </w:rPr>
      </w:pPr>
      <w:r>
        <w:rPr>
          <w:rFonts w:ascii="Arial" w:cs="Arial" w:eastAsia="Arial" w:hAnsi="Arial"/>
          <w:sz w:val="30"/>
          <w:szCs w:val="30"/>
          <w:b w:val="1"/>
          <w:bCs w:val="1"/>
          <w:color w:val="auto"/>
        </w:rPr>
        <w:t>First will launch with Orange (UK)</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30"/>
          <w:szCs w:val="30"/>
          <w:b w:val="1"/>
          <w:bCs w:val="1"/>
          <w:color w:val="auto"/>
        </w:rPr>
        <w:t>subscribers in Q4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60" w:right="2540"/>
        <w:spacing w:after="0" w:line="282" w:lineRule="auto"/>
        <w:rPr>
          <w:sz w:val="20"/>
          <w:szCs w:val="20"/>
          <w:color w:val="auto"/>
        </w:rPr>
      </w:pPr>
      <w:r>
        <w:rPr>
          <w:rFonts w:ascii="Arial" w:cs="Arial" w:eastAsia="Arial" w:hAnsi="Arial"/>
          <w:sz w:val="30"/>
          <w:szCs w:val="30"/>
          <w:b w:val="1"/>
          <w:bCs w:val="1"/>
          <w:color w:val="auto"/>
        </w:rPr>
        <w:t>Working hard to ensure top notch content for this critical launch</w:t>
      </w:r>
    </w:p>
    <w:p>
      <w:pPr>
        <w:spacing w:after="0" w:line="200" w:lineRule="exact"/>
        <w:rPr>
          <w:sz w:val="20"/>
          <w:szCs w:val="20"/>
          <w:color w:val="auto"/>
        </w:rPr>
      </w:pPr>
    </w:p>
    <w:p>
      <w:pPr>
        <w:spacing w:after="0" w:line="304" w:lineRule="exact"/>
        <w:rPr>
          <w:sz w:val="20"/>
          <w:szCs w:val="20"/>
          <w:color w:val="auto"/>
        </w:rPr>
      </w:pPr>
    </w:p>
    <w:p>
      <w:pPr>
        <w:ind w:left="4660"/>
        <w:spacing w:after="0"/>
        <w:rPr>
          <w:sz w:val="20"/>
          <w:szCs w:val="20"/>
          <w:color w:val="auto"/>
        </w:rPr>
      </w:pPr>
      <w:r>
        <w:rPr>
          <w:rFonts w:ascii="Arial" w:cs="Arial" w:eastAsia="Arial" w:hAnsi="Arial"/>
          <w:sz w:val="13"/>
          <w:szCs w:val="13"/>
          <w:color w:val="FFFFFF"/>
        </w:rPr>
        <w:t>- Page 5 -</w:t>
      </w:r>
    </w:p>
    <w:p>
      <w:pPr>
        <w:sectPr>
          <w:pgSz w:w="11900" w:h="16838" w:orient="portrait"/>
          <w:cols w:equalWidth="0" w:num="1">
            <w:col w:w="11040"/>
          </w:cols>
          <w:pgMar w:left="720" w:top="1213" w:right="139" w:bottom="1440" w:gutter="0" w:footer="0" w:header="0"/>
        </w:sectPr>
      </w:pPr>
    </w:p>
    <w:bookmarkStart w:id="8" w:name="page9"/>
    <w:bookmarkEnd w:id="8"/>
    <w:p>
      <w:pPr>
        <w:spacing w:after="0"/>
        <w:rPr>
          <w:sz w:val="20"/>
          <w:szCs w:val="20"/>
          <w:color w:val="auto"/>
        </w:rPr>
      </w:pPr>
      <w:r>
        <w:rPr>
          <w:rFonts w:ascii="Arial" w:cs="Arial" w:eastAsia="Arial" w:hAnsi="Arial"/>
          <w:sz w:val="41"/>
          <w:szCs w:val="41"/>
          <w:b w:val="1"/>
          <w:bCs w:val="1"/>
          <w:color w:val="FFC000"/>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Importance of Orange Launch</w:t>
      </w:r>
    </w:p>
    <w:p>
      <w:pPr>
        <w:spacing w:after="0" w:line="250" w:lineRule="exact"/>
        <w:rPr>
          <w:sz w:val="20"/>
          <w:szCs w:val="20"/>
          <w:color w:val="auto"/>
        </w:rPr>
      </w:pPr>
    </w:p>
    <w:p>
      <w:pPr>
        <w:ind w:left="680"/>
        <w:spacing w:after="0"/>
        <w:rPr>
          <w:sz w:val="20"/>
          <w:szCs w:val="20"/>
          <w:color w:val="auto"/>
        </w:rPr>
      </w:pPr>
      <w:r>
        <w:rPr>
          <w:rFonts w:ascii="Arial" w:cs="Arial" w:eastAsia="Arial" w:hAnsi="Arial"/>
          <w:sz w:val="64"/>
          <w:szCs w:val="64"/>
          <w:b w:val="1"/>
          <w:bCs w:val="1"/>
          <w:color w:val="FF0000"/>
        </w:rPr>
        <w:t>STAY TUNED--NEWS TO FOLLOW</w:t>
      </w:r>
    </w:p>
    <w:p>
      <w:pPr>
        <w:spacing w:after="0" w:line="200" w:lineRule="exact"/>
        <w:rPr>
          <w:sz w:val="20"/>
          <w:szCs w:val="20"/>
          <w:color w:val="auto"/>
        </w:rPr>
      </w:pPr>
    </w:p>
    <w:p>
      <w:pPr>
        <w:spacing w:after="0" w:line="214" w:lineRule="exact"/>
        <w:rPr>
          <w:sz w:val="20"/>
          <w:szCs w:val="20"/>
          <w:color w:val="auto"/>
        </w:rPr>
      </w:pPr>
    </w:p>
    <w:p>
      <w:pPr>
        <w:ind w:left="500" w:hanging="266"/>
        <w:spacing w:after="0"/>
        <w:tabs>
          <w:tab w:leader="none" w:pos="500" w:val="left"/>
        </w:tabs>
        <w:numPr>
          <w:ilvl w:val="0"/>
          <w:numId w:val="5"/>
        </w:numPr>
        <w:rPr>
          <w:rFonts w:ascii="Arial" w:cs="Arial" w:eastAsia="Arial" w:hAnsi="Arial"/>
          <w:sz w:val="41"/>
          <w:szCs w:val="41"/>
          <w:color w:val="auto"/>
        </w:rPr>
      </w:pPr>
      <w:r>
        <w:rPr>
          <w:rFonts w:ascii="Arial" w:cs="Arial" w:eastAsia="Arial" w:hAnsi="Arial"/>
          <w:sz w:val="41"/>
          <w:szCs w:val="41"/>
          <w:color w:val="auto"/>
        </w:rPr>
        <w:t>First major launch in the strategic European market</w:t>
      </w:r>
    </w:p>
    <w:p>
      <w:pPr>
        <w:spacing w:after="0" w:line="202" w:lineRule="exact"/>
        <w:rPr>
          <w:rFonts w:ascii="Arial" w:cs="Arial" w:eastAsia="Arial" w:hAnsi="Arial"/>
          <w:sz w:val="41"/>
          <w:szCs w:val="41"/>
          <w:color w:val="auto"/>
        </w:rPr>
      </w:pPr>
    </w:p>
    <w:p>
      <w:pPr>
        <w:ind w:left="500" w:right="420" w:hanging="266"/>
        <w:spacing w:after="0" w:line="258" w:lineRule="auto"/>
        <w:tabs>
          <w:tab w:leader="none" w:pos="500" w:val="left"/>
        </w:tabs>
        <w:numPr>
          <w:ilvl w:val="0"/>
          <w:numId w:val="5"/>
        </w:numPr>
        <w:rPr>
          <w:rFonts w:ascii="Arial" w:cs="Arial" w:eastAsia="Arial" w:hAnsi="Arial"/>
          <w:sz w:val="41"/>
          <w:szCs w:val="41"/>
          <w:color w:val="auto"/>
        </w:rPr>
      </w:pPr>
      <w:r>
        <w:rPr>
          <w:rFonts w:ascii="Arial" w:cs="Arial" w:eastAsia="Arial" w:hAnsi="Arial"/>
          <w:sz w:val="41"/>
          <w:szCs w:val="41"/>
          <w:color w:val="auto"/>
        </w:rPr>
        <w:t>UK is a vibrant and active mobile content and application market</w:t>
      </w:r>
    </w:p>
    <w:p>
      <w:pPr>
        <w:spacing w:after="0" w:line="145" w:lineRule="exact"/>
        <w:rPr>
          <w:rFonts w:ascii="Arial" w:cs="Arial" w:eastAsia="Arial" w:hAnsi="Arial"/>
          <w:sz w:val="41"/>
          <w:szCs w:val="41"/>
          <w:color w:val="auto"/>
        </w:rPr>
      </w:pPr>
    </w:p>
    <w:p>
      <w:pPr>
        <w:ind w:left="500" w:right="1200" w:hanging="266"/>
        <w:spacing w:after="0" w:line="264" w:lineRule="auto"/>
        <w:tabs>
          <w:tab w:leader="none" w:pos="500" w:val="left"/>
        </w:tabs>
        <w:numPr>
          <w:ilvl w:val="0"/>
          <w:numId w:val="5"/>
        </w:numPr>
        <w:rPr>
          <w:rFonts w:ascii="Arial" w:cs="Arial" w:eastAsia="Arial" w:hAnsi="Arial"/>
          <w:sz w:val="41"/>
          <w:szCs w:val="41"/>
          <w:color w:val="auto"/>
        </w:rPr>
      </w:pPr>
      <w:r>
        <w:rPr>
          <w:rFonts w:ascii="Arial" w:cs="Arial" w:eastAsia="Arial" w:hAnsi="Arial"/>
          <w:sz w:val="41"/>
          <w:szCs w:val="41"/>
          <w:color w:val="auto"/>
        </w:rPr>
        <w:t>Vringo has until now focused on proving its business model in smaller, less developed markets</w:t>
      </w:r>
    </w:p>
    <w:p>
      <w:pPr>
        <w:spacing w:after="0" w:line="133" w:lineRule="exact"/>
        <w:rPr>
          <w:rFonts w:ascii="Arial" w:cs="Arial" w:eastAsia="Arial" w:hAnsi="Arial"/>
          <w:sz w:val="41"/>
          <w:szCs w:val="41"/>
          <w:color w:val="auto"/>
        </w:rPr>
      </w:pPr>
    </w:p>
    <w:p>
      <w:pPr>
        <w:ind w:left="500" w:right="260" w:hanging="266"/>
        <w:spacing w:after="0" w:line="276" w:lineRule="auto"/>
        <w:tabs>
          <w:tab w:leader="none" w:pos="500" w:val="left"/>
        </w:tabs>
        <w:numPr>
          <w:ilvl w:val="0"/>
          <w:numId w:val="5"/>
        </w:numPr>
        <w:rPr>
          <w:rFonts w:ascii="Arial" w:cs="Arial" w:eastAsia="Arial" w:hAnsi="Arial"/>
          <w:sz w:val="40"/>
          <w:szCs w:val="40"/>
          <w:color w:val="auto"/>
        </w:rPr>
      </w:pPr>
      <w:r>
        <w:rPr>
          <w:rFonts w:ascii="Arial" w:cs="Arial" w:eastAsia="Arial" w:hAnsi="Arial"/>
          <w:sz w:val="40"/>
          <w:szCs w:val="40"/>
          <w:color w:val="auto"/>
        </w:rPr>
        <w:t>Terms: Orange branded service, revenue split, zero rating for data, promotion of service on Orange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00"/>
        <w:spacing w:after="0"/>
        <w:rPr>
          <w:sz w:val="20"/>
          <w:szCs w:val="20"/>
          <w:color w:val="auto"/>
        </w:rPr>
      </w:pPr>
      <w:r>
        <w:rPr>
          <w:rFonts w:ascii="Arial" w:cs="Arial" w:eastAsia="Arial" w:hAnsi="Arial"/>
          <w:sz w:val="13"/>
          <w:szCs w:val="13"/>
          <w:color w:val="FFFFFF"/>
        </w:rPr>
        <w:t>- Page 6 -</w:t>
      </w:r>
    </w:p>
    <w:p>
      <w:pPr>
        <w:sectPr>
          <w:pgSz w:w="11900" w:h="16838" w:orient="portrait"/>
          <w:cols w:equalWidth="0" w:num="1">
            <w:col w:w="11180"/>
          </w:cols>
          <w:pgMar w:left="580" w:top="491" w:right="139" w:bottom="1440" w:gutter="0" w:footer="0" w:header="0"/>
        </w:sectPr>
      </w:pPr>
    </w:p>
    <w:bookmarkStart w:id="9" w:name="page10"/>
    <w:bookmarkEnd w:id="9"/>
    <w:p>
      <w:pPr>
        <w:spacing w:after="0" w:line="200" w:lineRule="auto"/>
        <w:framePr w:w="3620" w:h="240" w:wrap="auto" w:vAnchor="page" w:hAnchor="page" w:x="7240" w:y="7056"/>
        <w:rPr>
          <w:rFonts w:ascii="Arial" w:cs="Arial" w:eastAsia="Arial" w:hAnsi="Arial"/>
          <w:sz w:val="25"/>
          <w:szCs w:val="25"/>
          <w:color w:val="auto"/>
        </w:rPr>
      </w:pPr>
      <w:r>
        <w:rPr>
          <w:rFonts w:ascii="Arial" w:cs="Arial" w:eastAsia="Arial" w:hAnsi="Arial"/>
          <w:sz w:val="25"/>
          <w:szCs w:val="25"/>
          <w:color w:val="auto"/>
        </w:rPr>
        <w:t>Aug 12, 2010 Business Week</w:t>
      </w:r>
    </w:p>
    <w:p>
      <w:pPr>
        <w:spacing w:after="0"/>
        <w:rPr>
          <w:sz w:val="20"/>
          <w:szCs w:val="20"/>
          <w:color w:val="auto"/>
        </w:rPr>
      </w:pPr>
      <w:r>
        <w:rPr>
          <w:rFonts w:ascii="Arial" w:cs="Arial" w:eastAsia="Arial" w:hAnsi="Arial"/>
          <w:sz w:val="41"/>
          <w:szCs w:val="41"/>
          <w:b w:val="1"/>
          <w:bCs w:val="1"/>
          <w:color w:val="A9FF04"/>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Starting in North America---with Verizon and Android</w:t>
      </w:r>
    </w:p>
    <w:p>
      <w:pPr>
        <w:spacing w:after="0" w:line="239" w:lineRule="exact"/>
        <w:rPr>
          <w:rFonts w:ascii="Arial" w:cs="Arial" w:eastAsia="Arial" w:hAnsi="Arial"/>
          <w:sz w:val="25"/>
          <w:szCs w:val="25"/>
          <w:color w:val="auto"/>
        </w:rPr>
      </w:pPr>
    </w:p>
    <w:p>
      <w:pPr>
        <w:ind w:left="660"/>
        <w:spacing w:after="0"/>
        <w:rPr>
          <w:sz w:val="20"/>
          <w:szCs w:val="20"/>
          <w:color w:val="auto"/>
        </w:rPr>
      </w:pPr>
      <w:r>
        <w:rPr>
          <w:rFonts w:ascii="Arial" w:cs="Arial" w:eastAsia="Arial" w:hAnsi="Arial"/>
          <w:sz w:val="64"/>
          <w:szCs w:val="64"/>
          <w:b w:val="1"/>
          <w:bCs w:val="1"/>
          <w:color w:val="FF0000"/>
        </w:rPr>
        <w:t>STAY TUNED--NEWS TO FOLLOW</w:t>
      </w:r>
    </w:p>
    <w:p>
      <w:pPr>
        <w:spacing w:after="0" w:line="249" w:lineRule="exact"/>
        <w:rPr>
          <w:rFonts w:ascii="Arial" w:cs="Arial" w:eastAsia="Arial" w:hAnsi="Arial"/>
          <w:sz w:val="25"/>
          <w:szCs w:val="25"/>
          <w:color w:val="auto"/>
        </w:rPr>
      </w:pPr>
    </w:p>
    <w:p>
      <w:pPr>
        <w:ind w:left="700" w:right="1280"/>
        <w:spacing w:after="0" w:line="264" w:lineRule="auto"/>
        <w:rPr>
          <w:sz w:val="20"/>
          <w:szCs w:val="20"/>
          <w:color w:val="auto"/>
        </w:rPr>
      </w:pPr>
      <w:r>
        <w:rPr>
          <w:rFonts w:ascii="Arial" w:cs="Arial" w:eastAsia="Arial" w:hAnsi="Arial"/>
          <w:sz w:val="41"/>
          <w:szCs w:val="41"/>
          <w:color w:val="auto"/>
        </w:rPr>
        <w:t>Vringohas been approved to launch on the Verizon Android App Store in Q4</w:t>
      </w:r>
    </w:p>
    <w:p>
      <w:pPr>
        <w:spacing w:after="0" w:line="200" w:lineRule="exact"/>
        <w:rPr>
          <w:rFonts w:ascii="Arial" w:cs="Arial" w:eastAsia="Arial" w:hAnsi="Arial"/>
          <w:sz w:val="25"/>
          <w:szCs w:val="25"/>
          <w:color w:val="auto"/>
        </w:rPr>
      </w:pPr>
    </w:p>
    <w:p>
      <w:pPr>
        <w:spacing w:after="0" w:line="220" w:lineRule="exact"/>
        <w:rPr>
          <w:rFonts w:ascii="Arial" w:cs="Arial" w:eastAsia="Arial" w:hAnsi="Arial"/>
          <w:sz w:val="25"/>
          <w:szCs w:val="25"/>
          <w:color w:val="auto"/>
        </w:rPr>
      </w:pPr>
    </w:p>
    <w:p>
      <w:pPr>
        <w:ind w:right="1320"/>
        <w:spacing w:after="0" w:line="258" w:lineRule="auto"/>
        <w:rPr>
          <w:sz w:val="20"/>
          <w:szCs w:val="20"/>
          <w:color w:val="auto"/>
        </w:rPr>
      </w:pPr>
      <w:r>
        <w:rPr>
          <w:rFonts w:ascii="Arial" w:cs="Arial" w:eastAsia="Arial" w:hAnsi="Arial"/>
          <w:sz w:val="41"/>
          <w:szCs w:val="41"/>
          <w:color w:val="auto"/>
        </w:rPr>
        <w:t>Verizon has 90 M subscribers and has a culture of app promotion and usage among subscribers</w:t>
      </w:r>
    </w:p>
    <w:p>
      <w:pPr>
        <w:spacing w:after="0" w:line="400" w:lineRule="exact"/>
        <w:rPr>
          <w:rFonts w:ascii="Arial" w:cs="Arial" w:eastAsia="Arial" w:hAnsi="Arial"/>
          <w:sz w:val="25"/>
          <w:szCs w:val="25"/>
          <w:color w:val="auto"/>
        </w:rPr>
      </w:pPr>
    </w:p>
    <w:p>
      <w:pPr>
        <w:ind w:left="700" w:right="2820"/>
        <w:spacing w:after="0" w:line="258" w:lineRule="auto"/>
        <w:rPr>
          <w:sz w:val="20"/>
          <w:szCs w:val="20"/>
          <w:color w:val="auto"/>
        </w:rPr>
      </w:pPr>
      <w:r>
        <w:rPr>
          <w:rFonts w:ascii="Arial" w:cs="Arial" w:eastAsia="Arial" w:hAnsi="Arial"/>
          <w:sz w:val="41"/>
          <w:szCs w:val="41"/>
          <w:color w:val="auto"/>
        </w:rPr>
        <w:t>Verizon has sold the most Android phones in North America</w:t>
      </w:r>
    </w:p>
    <w:p>
      <w:pPr>
        <w:spacing w:after="0" w:line="356" w:lineRule="exact"/>
        <w:rPr>
          <w:rFonts w:ascii="Arial" w:cs="Arial" w:eastAsia="Arial" w:hAnsi="Arial"/>
          <w:sz w:val="25"/>
          <w:szCs w:val="25"/>
          <w:color w:val="auto"/>
        </w:rPr>
      </w:pPr>
    </w:p>
    <w:p>
      <w:pPr>
        <w:ind w:right="1940"/>
        <w:spacing w:after="0" w:line="181" w:lineRule="auto"/>
        <w:rPr>
          <w:sz w:val="20"/>
          <w:szCs w:val="20"/>
          <w:color w:val="auto"/>
        </w:rPr>
      </w:pPr>
      <w:r>
        <w:rPr>
          <w:rFonts w:ascii="Arial" w:cs="Arial" w:eastAsia="Arial" w:hAnsi="Arial"/>
          <w:sz w:val="35"/>
          <w:szCs w:val="35"/>
          <w:color w:val="auto"/>
        </w:rPr>
        <w:t>Android has now overtaken iPhonein North American unit shipments according to Gartner</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370" w:lineRule="exact"/>
        <w:rPr>
          <w:rFonts w:ascii="Arial" w:cs="Arial" w:eastAsia="Arial" w:hAnsi="Arial"/>
          <w:sz w:val="25"/>
          <w:szCs w:val="25"/>
          <w:color w:val="auto"/>
        </w:rPr>
      </w:pPr>
    </w:p>
    <w:p>
      <w:pPr>
        <w:ind w:left="4800"/>
        <w:spacing w:after="0"/>
        <w:rPr>
          <w:sz w:val="20"/>
          <w:szCs w:val="20"/>
          <w:color w:val="auto"/>
        </w:rPr>
      </w:pPr>
      <w:r>
        <w:rPr>
          <w:rFonts w:ascii="Arial" w:cs="Arial" w:eastAsia="Arial" w:hAnsi="Arial"/>
          <w:sz w:val="13"/>
          <w:szCs w:val="13"/>
          <w:color w:val="FFFFFF"/>
        </w:rPr>
        <w:t>- Page 7-</w:t>
      </w:r>
    </w:p>
    <w:p>
      <w:pPr>
        <w:sectPr>
          <w:pgSz w:w="11900" w:h="16838" w:orient="portrait"/>
          <w:cols w:equalWidth="0" w:num="1">
            <w:col w:w="11180"/>
          </w:cols>
          <w:pgMar w:left="580" w:top="491" w:right="139" w:bottom="1440" w:gutter="0" w:footer="0" w:header="0"/>
        </w:sectPr>
      </w:pPr>
    </w:p>
    <w:bookmarkStart w:id="10" w:name="page11"/>
    <w:bookmarkEnd w:id="10"/>
    <w:p>
      <w:pPr>
        <w:spacing w:after="0"/>
        <w:rPr>
          <w:sz w:val="20"/>
          <w:szCs w:val="20"/>
          <w:color w:val="auto"/>
        </w:rPr>
      </w:pPr>
      <w:r>
        <w:rPr>
          <w:rFonts w:ascii="Arial" w:cs="Arial" w:eastAsia="Arial" w:hAnsi="Arial"/>
          <w:sz w:val="41"/>
          <w:szCs w:val="41"/>
          <w:b w:val="1"/>
          <w:bCs w:val="1"/>
          <w:color w:val="63063C"/>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Time for T-Pain……</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64"/>
          <w:szCs w:val="64"/>
          <w:b w:val="1"/>
          <w:bCs w:val="1"/>
          <w:color w:val="FF0000"/>
        </w:rPr>
        <w:t>STAY TUNED--NEWS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60"/>
        <w:spacing w:after="0"/>
        <w:rPr>
          <w:sz w:val="20"/>
          <w:szCs w:val="20"/>
          <w:color w:val="auto"/>
        </w:rPr>
      </w:pPr>
      <w:r>
        <w:rPr>
          <w:rFonts w:ascii="Arial" w:cs="Arial" w:eastAsia="Arial" w:hAnsi="Arial"/>
          <w:sz w:val="41"/>
          <w:szCs w:val="41"/>
          <w:color w:val="auto"/>
        </w:rPr>
        <w:t>Vringolaunching new</w:t>
      </w:r>
    </w:p>
    <w:p>
      <w:pPr>
        <w:spacing w:after="0" w:line="25" w:lineRule="exact"/>
        <w:rPr>
          <w:sz w:val="20"/>
          <w:szCs w:val="20"/>
          <w:color w:val="auto"/>
        </w:rPr>
      </w:pPr>
    </w:p>
    <w:p>
      <w:pPr>
        <w:ind w:left="5360"/>
        <w:spacing w:after="0"/>
        <w:rPr>
          <w:sz w:val="20"/>
          <w:szCs w:val="20"/>
          <w:color w:val="auto"/>
        </w:rPr>
      </w:pPr>
      <w:r>
        <w:rPr>
          <w:rFonts w:ascii="Arial" w:cs="Arial" w:eastAsia="Arial" w:hAnsi="Arial"/>
          <w:sz w:val="41"/>
          <w:szCs w:val="41"/>
          <w:color w:val="auto"/>
        </w:rPr>
        <w:t>application for iPhoneand</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41"/>
          <w:szCs w:val="41"/>
          <w:color w:val="auto"/>
        </w:rPr>
        <w:t>Android with T-Pain in Q4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41"/>
          <w:szCs w:val="41"/>
          <w:color w:val="auto"/>
        </w:rPr>
        <w:t>T-Pain’s earlier iPhoneapp “I</w:t>
      </w:r>
    </w:p>
    <w:p>
      <w:pPr>
        <w:spacing w:after="0" w:line="25" w:lineRule="exact"/>
        <w:rPr>
          <w:sz w:val="20"/>
          <w:szCs w:val="20"/>
          <w:color w:val="auto"/>
        </w:rPr>
      </w:pPr>
    </w:p>
    <w:p>
      <w:pPr>
        <w:spacing w:after="0"/>
        <w:rPr>
          <w:sz w:val="20"/>
          <w:szCs w:val="20"/>
          <w:color w:val="auto"/>
        </w:rPr>
      </w:pPr>
      <w:r>
        <w:rPr>
          <w:rFonts w:ascii="Arial" w:cs="Arial" w:eastAsia="Arial" w:hAnsi="Arial"/>
          <w:sz w:val="41"/>
          <w:szCs w:val="41"/>
          <w:color w:val="auto"/>
        </w:rPr>
        <w:t>am T-Pain”became one of</w:t>
      </w:r>
    </w:p>
    <w:p>
      <w:pPr>
        <w:spacing w:after="0" w:line="25" w:lineRule="exact"/>
        <w:rPr>
          <w:sz w:val="20"/>
          <w:szCs w:val="20"/>
          <w:color w:val="auto"/>
        </w:rPr>
      </w:pPr>
    </w:p>
    <w:p>
      <w:pPr>
        <w:spacing w:after="0"/>
        <w:rPr>
          <w:sz w:val="20"/>
          <w:szCs w:val="20"/>
          <w:color w:val="auto"/>
        </w:rPr>
      </w:pPr>
      <w:r>
        <w:rPr>
          <w:rFonts w:ascii="Arial" w:cs="Arial" w:eastAsia="Arial" w:hAnsi="Arial"/>
          <w:sz w:val="41"/>
          <w:szCs w:val="41"/>
          <w:color w:val="auto"/>
        </w:rPr>
        <w:t>the most popular music apps</w:t>
      </w:r>
    </w:p>
    <w:p>
      <w:pPr>
        <w:spacing w:after="0" w:line="16" w:lineRule="exact"/>
        <w:rPr>
          <w:sz w:val="20"/>
          <w:szCs w:val="20"/>
          <w:color w:val="auto"/>
        </w:rPr>
      </w:pPr>
    </w:p>
    <w:p>
      <w:pPr>
        <w:spacing w:after="0"/>
        <w:rPr>
          <w:sz w:val="20"/>
          <w:szCs w:val="20"/>
          <w:color w:val="auto"/>
        </w:rPr>
      </w:pPr>
      <w:r>
        <w:rPr>
          <w:rFonts w:ascii="Arial" w:cs="Arial" w:eastAsia="Arial" w:hAnsi="Arial"/>
          <w:sz w:val="41"/>
          <w:szCs w:val="41"/>
          <w:color w:val="auto"/>
        </w:rPr>
        <w:t>of all time selling 1.5 M</w:t>
      </w:r>
    </w:p>
    <w:p>
      <w:pPr>
        <w:spacing w:after="0" w:line="23" w:lineRule="exact"/>
        <w:rPr>
          <w:sz w:val="20"/>
          <w:szCs w:val="20"/>
          <w:color w:val="auto"/>
        </w:rPr>
      </w:pPr>
    </w:p>
    <w:p>
      <w:pPr>
        <w:spacing w:after="0"/>
        <w:rPr>
          <w:sz w:val="20"/>
          <w:szCs w:val="20"/>
          <w:color w:val="auto"/>
        </w:rPr>
      </w:pPr>
      <w:r>
        <w:rPr>
          <w:rFonts w:ascii="Arial" w:cs="Arial" w:eastAsia="Arial" w:hAnsi="Arial"/>
          <w:sz w:val="41"/>
          <w:szCs w:val="41"/>
          <w:color w:val="auto"/>
        </w:rPr>
        <w:t>copies</w:t>
      </w:r>
    </w:p>
    <w:p>
      <w:pPr>
        <w:spacing w:after="0" w:line="244" w:lineRule="exact"/>
        <w:rPr>
          <w:sz w:val="20"/>
          <w:szCs w:val="20"/>
          <w:color w:val="auto"/>
        </w:rPr>
      </w:pPr>
    </w:p>
    <w:p>
      <w:pPr>
        <w:ind w:left="4800"/>
        <w:spacing w:after="0"/>
        <w:rPr>
          <w:sz w:val="20"/>
          <w:szCs w:val="20"/>
          <w:color w:val="auto"/>
        </w:rPr>
      </w:pPr>
      <w:r>
        <w:rPr>
          <w:rFonts w:ascii="Arial" w:cs="Arial" w:eastAsia="Arial" w:hAnsi="Arial"/>
          <w:sz w:val="13"/>
          <w:szCs w:val="13"/>
          <w:color w:val="FFFFFF"/>
        </w:rPr>
        <w:t>- Page 8-</w:t>
      </w:r>
    </w:p>
    <w:p>
      <w:pPr>
        <w:sectPr>
          <w:pgSz w:w="11900" w:h="16838" w:orient="portrait"/>
          <w:cols w:equalWidth="0" w:num="1">
            <w:col w:w="11180"/>
          </w:cols>
          <w:pgMar w:left="580" w:top="491" w:right="139" w:bottom="1440" w:gutter="0" w:footer="0" w:header="0"/>
        </w:sectPr>
      </w:pPr>
    </w:p>
    <w:bookmarkStart w:id="11" w:name="page12"/>
    <w:bookmarkEnd w:id="11"/>
    <w:p>
      <w:pPr>
        <w:ind w:left="80"/>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Seasoned Management &amp; Governance</w:t>
      </w:r>
    </w:p>
    <w:p>
      <w:pPr>
        <w:sectPr>
          <w:pgSz w:w="11900" w:h="16838" w:orient="portrait"/>
          <w:cols w:equalWidth="0" w:num="1">
            <w:col w:w="10260"/>
          </w:cols>
          <w:pgMar w:left="500" w:top="497" w:right="1139" w:bottom="1440" w:gutter="0" w:footer="0" w:header="0"/>
        </w:sectPr>
      </w:pPr>
    </w:p>
    <w:p>
      <w:pPr>
        <w:spacing w:after="0" w:line="30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C70B79"/>
        </w:rPr>
        <w:t>Jon Medved</w:t>
      </w:r>
    </w:p>
    <w:p>
      <w:pPr>
        <w:spacing w:after="0" w:line="27"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Founder &amp; CEO, Board member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“One of Israel’s leading venture capitalists”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(Washington Post)</w:t>
      </w:r>
    </w:p>
    <w:p>
      <w:pPr>
        <w:spacing w:after="0" w:line="8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Founder of Israel Seed Partners, managing $260 M in 4 funds-exits include:</w:t>
      </w:r>
    </w:p>
    <w:p>
      <w:pPr>
        <w:spacing w:after="0" w:line="2" w:lineRule="exact"/>
        <w:rPr>
          <w:sz w:val="20"/>
          <w:szCs w:val="20"/>
          <w:color w:val="auto"/>
        </w:rPr>
      </w:pPr>
    </w:p>
    <w:p>
      <w:pPr>
        <w:ind w:left="260" w:right="340" w:hanging="123"/>
        <w:spacing w:after="0" w:line="246"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Shopping.com(acquired by eBay Inc.) for $640 M</w:t>
      </w:r>
    </w:p>
    <w:p>
      <w:pPr>
        <w:spacing w:after="0" w:line="1" w:lineRule="exact"/>
        <w:rPr>
          <w:rFonts w:ascii="Arial" w:cs="Arial" w:eastAsia="Arial" w:hAnsi="Arial"/>
          <w:sz w:val="17"/>
          <w:szCs w:val="17"/>
          <w:color w:val="auto"/>
        </w:rPr>
      </w:pPr>
    </w:p>
    <w:p>
      <w:pPr>
        <w:ind w:left="260" w:hanging="123"/>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Answers Corp. (NasdaqCM: ANSW)</w:t>
      </w:r>
    </w:p>
    <w:p>
      <w:pPr>
        <w:spacing w:after="0" w:line="1" w:lineRule="exact"/>
        <w:rPr>
          <w:rFonts w:ascii="Arial" w:cs="Arial" w:eastAsia="Arial" w:hAnsi="Arial"/>
          <w:sz w:val="17"/>
          <w:szCs w:val="17"/>
          <w:color w:val="auto"/>
        </w:rPr>
      </w:pPr>
    </w:p>
    <w:p>
      <w:pPr>
        <w:ind w:left="260" w:right="320" w:hanging="123"/>
        <w:spacing w:after="0" w:line="246"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Native Networks (acquired by Alcatel (NYSE: ALA))</w:t>
      </w:r>
    </w:p>
    <w:p>
      <w:pPr>
        <w:spacing w:after="0" w:line="1" w:lineRule="exact"/>
        <w:rPr>
          <w:rFonts w:ascii="Arial" w:cs="Arial" w:eastAsia="Arial" w:hAnsi="Arial"/>
          <w:sz w:val="17"/>
          <w:szCs w:val="17"/>
          <w:color w:val="auto"/>
        </w:rPr>
      </w:pPr>
    </w:p>
    <w:p>
      <w:pPr>
        <w:ind w:left="260" w:hanging="123"/>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Compugen(Nasdaq: CGEN)</w:t>
      </w:r>
    </w:p>
    <w:p>
      <w:pPr>
        <w:spacing w:after="0" w:line="1" w:lineRule="exact"/>
        <w:rPr>
          <w:rFonts w:ascii="Arial" w:cs="Arial" w:eastAsia="Arial" w:hAnsi="Arial"/>
          <w:sz w:val="17"/>
          <w:szCs w:val="17"/>
          <w:color w:val="auto"/>
        </w:rPr>
      </w:pPr>
    </w:p>
    <w:p>
      <w:pPr>
        <w:ind w:left="260" w:hanging="123"/>
        <w:spacing w:after="0" w:line="246"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XacctTechnologies (acquired by Amdocs Ltd. (NYSE: DOX))</w:t>
      </w:r>
    </w:p>
    <w:p>
      <w:pPr>
        <w:spacing w:after="0" w:line="1" w:lineRule="exact"/>
        <w:rPr>
          <w:rFonts w:ascii="Arial" w:cs="Arial" w:eastAsia="Arial" w:hAnsi="Arial"/>
          <w:sz w:val="17"/>
          <w:szCs w:val="17"/>
          <w:color w:val="auto"/>
        </w:rPr>
      </w:pPr>
    </w:p>
    <w:p>
      <w:pPr>
        <w:ind w:left="260" w:right="200" w:hanging="123"/>
        <w:spacing w:after="0" w:line="241"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Business Layers (acquired by CA, Inc. (NasdaqGS: CA))</w:t>
      </w:r>
    </w:p>
    <w:p>
      <w:pPr>
        <w:ind w:left="260" w:right="80" w:hanging="123"/>
        <w:spacing w:after="0" w:line="262"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21"/>
          <w:szCs w:val="21"/>
          <w:color w:val="auto"/>
        </w:rPr>
        <w:t>Cyota(acquired by RSA/CA NasdaqGS: CA)</w:t>
      </w:r>
    </w:p>
    <w:p>
      <w:pPr>
        <w:spacing w:after="0" w:line="32" w:lineRule="exact"/>
        <w:rPr>
          <w:sz w:val="20"/>
          <w:szCs w:val="20"/>
          <w:color w:val="auto"/>
        </w:rPr>
      </w:pPr>
    </w:p>
    <w:p>
      <w:pPr>
        <w:ind w:right="160"/>
        <w:spacing w:after="0" w:line="259" w:lineRule="auto"/>
        <w:rPr>
          <w:sz w:val="20"/>
          <w:szCs w:val="20"/>
          <w:color w:val="auto"/>
        </w:rPr>
      </w:pPr>
      <w:r>
        <w:rPr>
          <w:rFonts w:ascii="Arial" w:cs="Arial" w:eastAsia="Arial" w:hAnsi="Arial"/>
          <w:sz w:val="21"/>
          <w:szCs w:val="21"/>
          <w:b w:val="1"/>
          <w:bCs w:val="1"/>
          <w:color w:val="auto"/>
        </w:rPr>
        <w:t>Manager of several startups with exits including:</w:t>
      </w:r>
    </w:p>
    <w:p>
      <w:pPr>
        <w:spacing w:after="0" w:line="2" w:lineRule="exact"/>
        <w:rPr>
          <w:sz w:val="20"/>
          <w:szCs w:val="20"/>
          <w:color w:val="auto"/>
        </w:rPr>
      </w:pPr>
    </w:p>
    <w:p>
      <w:pPr>
        <w:ind w:left="260" w:hanging="123"/>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21"/>
          <w:szCs w:val="21"/>
          <w:color w:val="auto"/>
        </w:rPr>
        <w:t>MERET (acquired by Amoco/BP)</w:t>
      </w:r>
    </w:p>
    <w:p>
      <w:pPr>
        <w:spacing w:after="0" w:line="1" w:lineRule="exact"/>
        <w:rPr>
          <w:rFonts w:ascii="Arial" w:cs="Arial" w:eastAsia="Arial" w:hAnsi="Arial"/>
          <w:sz w:val="17"/>
          <w:szCs w:val="17"/>
          <w:color w:val="auto"/>
        </w:rPr>
      </w:pPr>
    </w:p>
    <w:p>
      <w:pPr>
        <w:ind w:left="260" w:hanging="123"/>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21"/>
          <w:szCs w:val="21"/>
          <w:color w:val="auto"/>
        </w:rPr>
        <w:t>Accent (Nasdaq: ACNTF)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Andrew Perlman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President and Board member</w:t>
      </w: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David Corre</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VP Finance</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David Goldfarb</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CTO</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DovFrohlich</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COO</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C70B79"/>
        </w:rPr>
        <w:t>HaimCohen-Mintz</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VP Europe</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C70B79"/>
        </w:rPr>
        <w:t>Josh Wolff</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VP Services &amp;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6A6A6"/>
        </w:rPr>
        <w:t>Formerly</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21"/>
          <w:szCs w:val="21"/>
          <w:b w:val="1"/>
          <w:bCs w:val="1"/>
          <w:color w:val="7F7F7F"/>
        </w:rPr>
        <w:t>EMI Music</w:t>
      </w:r>
    </w:p>
    <w:p>
      <w:pPr>
        <w:spacing w:after="0" w:line="333"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6A6A6"/>
        </w:rPr>
        <w:t>Formerly</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21"/>
          <w:szCs w:val="21"/>
          <w:b w:val="1"/>
          <w:bCs w:val="1"/>
          <w:color w:val="7F7F7F"/>
        </w:rPr>
        <w:t>Siemens</w:t>
      </w:r>
    </w:p>
    <w:p>
      <w:pPr>
        <w:spacing w:after="0" w:line="333" w:lineRule="exact"/>
        <w:rPr>
          <w:sz w:val="20"/>
          <w:szCs w:val="20"/>
          <w:color w:val="auto"/>
        </w:rPr>
      </w:pPr>
    </w:p>
    <w:p>
      <w:pPr>
        <w:ind w:left="1400"/>
        <w:spacing w:after="0"/>
        <w:rPr>
          <w:sz w:val="20"/>
          <w:szCs w:val="20"/>
          <w:color w:val="auto"/>
        </w:rPr>
      </w:pPr>
      <w:r>
        <w:rPr>
          <w:rFonts w:ascii="Arial" w:cs="Arial" w:eastAsia="Arial" w:hAnsi="Arial"/>
          <w:sz w:val="21"/>
          <w:szCs w:val="21"/>
          <w:color w:val="A6A6A6"/>
        </w:rPr>
        <w:t>Formerly</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7F7F7F"/>
        </w:rPr>
        <w:t>Degel Software</w:t>
      </w:r>
    </w:p>
    <w:p>
      <w:pPr>
        <w:spacing w:after="0" w:line="344" w:lineRule="exact"/>
        <w:rPr>
          <w:sz w:val="20"/>
          <w:szCs w:val="20"/>
          <w:color w:val="auto"/>
        </w:rPr>
      </w:pPr>
    </w:p>
    <w:p>
      <w:pPr>
        <w:ind w:left="1400"/>
        <w:spacing w:after="0"/>
        <w:rPr>
          <w:sz w:val="20"/>
          <w:szCs w:val="20"/>
          <w:color w:val="auto"/>
        </w:rPr>
      </w:pPr>
      <w:r>
        <w:rPr>
          <w:rFonts w:ascii="Arial" w:cs="Arial" w:eastAsia="Arial" w:hAnsi="Arial"/>
          <w:sz w:val="21"/>
          <w:szCs w:val="21"/>
          <w:color w:val="A6A6A6"/>
        </w:rPr>
        <w:t>Formerly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7F7F7F"/>
        </w:rPr>
        <w:t>NMS Communications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1"/>
          <w:szCs w:val="21"/>
          <w:color w:val="A6A6A6"/>
        </w:rPr>
        <w:t>Formerly</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21"/>
          <w:szCs w:val="21"/>
          <w:b w:val="1"/>
          <w:bCs w:val="1"/>
          <w:color w:val="7F7F7F"/>
        </w:rPr>
        <w:t>Neustar</w:t>
      </w:r>
    </w:p>
    <w:p>
      <w:pPr>
        <w:spacing w:after="0" w:line="322" w:lineRule="exact"/>
        <w:rPr>
          <w:sz w:val="20"/>
          <w:szCs w:val="20"/>
          <w:color w:val="auto"/>
        </w:rPr>
      </w:pPr>
    </w:p>
    <w:p>
      <w:pPr>
        <w:ind w:left="1380"/>
        <w:spacing w:after="0"/>
        <w:rPr>
          <w:sz w:val="20"/>
          <w:szCs w:val="20"/>
          <w:color w:val="auto"/>
        </w:rPr>
      </w:pPr>
      <w:r>
        <w:rPr>
          <w:rFonts w:ascii="Arial" w:cs="Arial" w:eastAsia="Arial" w:hAnsi="Arial"/>
          <w:sz w:val="21"/>
          <w:szCs w:val="21"/>
          <w:color w:val="A6A6A6"/>
        </w:rPr>
        <w:t>Formerly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7F7F7F"/>
        </w:rPr>
        <w:t>NMS Communications</w:t>
      </w:r>
    </w:p>
    <w:p>
      <w:pPr>
        <w:spacing w:after="0" w:line="1083" w:lineRule="exact"/>
        <w:rPr>
          <w:sz w:val="20"/>
          <w:szCs w:val="20"/>
          <w:color w:val="auto"/>
        </w:rPr>
      </w:pPr>
    </w:p>
    <w:p>
      <w:pPr>
        <w:sectPr>
          <w:pgSz w:w="11900" w:h="16838" w:orient="portrait"/>
          <w:cols w:equalWidth="0" w:num="3">
            <w:col w:w="4020" w:space="640"/>
            <w:col w:w="2740" w:space="600"/>
            <w:col w:w="2260"/>
          </w:cols>
          <w:pgMar w:left="500" w:top="497" w:right="11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 Page 9-</w:t>
      </w:r>
    </w:p>
    <w:p>
      <w:pPr>
        <w:sectPr>
          <w:pgSz w:w="11900" w:h="16838" w:orient="portrait"/>
          <w:cols w:equalWidth="0" w:num="1">
            <w:col w:w="10260"/>
          </w:cols>
          <w:pgMar w:left="500" w:top="497" w:right="11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VringoBoard of Directors</w:t>
      </w:r>
    </w:p>
    <w:p>
      <w:pPr>
        <w:sectPr>
          <w:pgSz w:w="11900" w:h="16838" w:orient="portrait"/>
          <w:cols w:equalWidth="0" w:num="1">
            <w:col w:w="10460"/>
          </w:cols>
          <w:pgMar w:left="580" w:top="497" w:right="859" w:bottom="1440" w:gutter="0" w:footer="0" w:header="0"/>
        </w:sectPr>
      </w:pPr>
    </w:p>
    <w:p>
      <w:pPr>
        <w:spacing w:after="0" w:line="314" w:lineRule="exact"/>
        <w:rPr>
          <w:sz w:val="20"/>
          <w:szCs w:val="20"/>
          <w:color w:val="auto"/>
        </w:rPr>
      </w:pPr>
    </w:p>
    <w:p>
      <w:pPr>
        <w:ind w:left="1380"/>
        <w:spacing w:after="0"/>
        <w:rPr>
          <w:sz w:val="20"/>
          <w:szCs w:val="20"/>
          <w:color w:val="auto"/>
        </w:rPr>
      </w:pPr>
      <w:r>
        <w:rPr>
          <w:rFonts w:ascii="Arial" w:cs="Arial" w:eastAsia="Arial" w:hAnsi="Arial"/>
          <w:sz w:val="21"/>
          <w:szCs w:val="21"/>
          <w:b w:val="1"/>
          <w:bCs w:val="1"/>
          <w:color w:val="C70B79"/>
        </w:rPr>
        <w:t>Seth (“Yossi”) Siegel</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80"/>
        <w:spacing w:after="0" w:line="255" w:lineRule="auto"/>
        <w:rPr>
          <w:sz w:val="20"/>
          <w:szCs w:val="20"/>
          <w:color w:val="auto"/>
        </w:rPr>
      </w:pPr>
      <w:r>
        <w:rPr>
          <w:rFonts w:ascii="Arial" w:cs="Arial" w:eastAsia="Arial" w:hAnsi="Arial"/>
          <w:sz w:val="23"/>
          <w:szCs w:val="23"/>
          <w:color w:val="auto"/>
        </w:rPr>
        <w:t>Was Founder, Chairman and CEO of the Beanstalk Group, the world’s largest independent licensing agency, now part of the Omnicom Group. Served leading Brands such as:</w:t>
      </w:r>
    </w:p>
    <w:p>
      <w:pPr>
        <w:spacing w:after="0" w:line="1" w:lineRule="exact"/>
        <w:rPr>
          <w:sz w:val="20"/>
          <w:szCs w:val="20"/>
          <w:color w:val="auto"/>
        </w:rPr>
      </w:pPr>
    </w:p>
    <w:p>
      <w:pPr>
        <w:ind w:left="260" w:hanging="12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21"/>
          <w:szCs w:val="21"/>
          <w:color w:val="auto"/>
        </w:rPr>
        <w:t>AT&amp;T</w:t>
      </w:r>
    </w:p>
    <w:p>
      <w:pPr>
        <w:spacing w:after="0" w:line="12" w:lineRule="exact"/>
        <w:rPr>
          <w:rFonts w:ascii="Arial" w:cs="Arial" w:eastAsia="Arial" w:hAnsi="Arial"/>
          <w:sz w:val="17"/>
          <w:szCs w:val="17"/>
          <w:color w:val="auto"/>
        </w:rPr>
      </w:pPr>
    </w:p>
    <w:p>
      <w:pPr>
        <w:ind w:left="260" w:hanging="12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21"/>
          <w:szCs w:val="21"/>
          <w:color w:val="auto"/>
        </w:rPr>
        <w:t>IBM</w:t>
      </w:r>
    </w:p>
    <w:p>
      <w:pPr>
        <w:spacing w:after="0" w:line="1" w:lineRule="exact"/>
        <w:rPr>
          <w:rFonts w:ascii="Arial" w:cs="Arial" w:eastAsia="Arial" w:hAnsi="Arial"/>
          <w:sz w:val="17"/>
          <w:szCs w:val="17"/>
          <w:color w:val="auto"/>
        </w:rPr>
      </w:pPr>
    </w:p>
    <w:p>
      <w:pPr>
        <w:ind w:left="260" w:hanging="12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21"/>
          <w:szCs w:val="21"/>
          <w:color w:val="auto"/>
        </w:rPr>
        <w:t>Harley Davidson</w:t>
      </w:r>
    </w:p>
    <w:p>
      <w:pPr>
        <w:spacing w:after="0" w:line="1" w:lineRule="exact"/>
        <w:rPr>
          <w:rFonts w:ascii="Arial" w:cs="Arial" w:eastAsia="Arial" w:hAnsi="Arial"/>
          <w:sz w:val="17"/>
          <w:szCs w:val="17"/>
          <w:color w:val="auto"/>
        </w:rPr>
      </w:pPr>
    </w:p>
    <w:p>
      <w:pPr>
        <w:ind w:left="260" w:hanging="12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21"/>
          <w:szCs w:val="21"/>
          <w:color w:val="auto"/>
        </w:rPr>
        <w:t>Unilever</w:t>
      </w:r>
    </w:p>
    <w:p>
      <w:pPr>
        <w:spacing w:after="0" w:line="12" w:lineRule="exact"/>
        <w:rPr>
          <w:rFonts w:ascii="Arial" w:cs="Arial" w:eastAsia="Arial" w:hAnsi="Arial"/>
          <w:sz w:val="17"/>
          <w:szCs w:val="17"/>
          <w:color w:val="auto"/>
        </w:rPr>
      </w:pPr>
    </w:p>
    <w:p>
      <w:pPr>
        <w:ind w:left="260" w:hanging="12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21"/>
          <w:szCs w:val="21"/>
          <w:color w:val="auto"/>
        </w:rPr>
        <w:t>Ford Motor Company</w:t>
      </w:r>
    </w:p>
    <w:p>
      <w:pPr>
        <w:spacing w:after="0" w:line="174" w:lineRule="exact"/>
        <w:rPr>
          <w:sz w:val="20"/>
          <w:szCs w:val="20"/>
          <w:color w:val="auto"/>
        </w:rPr>
      </w:pPr>
    </w:p>
    <w:p>
      <w:pPr>
        <w:ind w:right="600"/>
        <w:spacing w:after="0" w:line="277" w:lineRule="auto"/>
        <w:rPr>
          <w:sz w:val="20"/>
          <w:szCs w:val="20"/>
          <w:color w:val="auto"/>
        </w:rPr>
      </w:pPr>
      <w:r>
        <w:rPr>
          <w:rFonts w:ascii="Arial" w:cs="Arial" w:eastAsia="Arial" w:hAnsi="Arial"/>
          <w:sz w:val="21"/>
          <w:szCs w:val="21"/>
          <w:b w:val="1"/>
          <w:bCs w:val="1"/>
          <w:color w:val="auto"/>
        </w:rPr>
        <w:t>Several time LIMA and Clio award winner</w:t>
      </w:r>
    </w:p>
    <w:p>
      <w:pPr>
        <w:spacing w:after="0" w:line="182" w:lineRule="exact"/>
        <w:rPr>
          <w:sz w:val="20"/>
          <w:szCs w:val="20"/>
          <w:color w:val="auto"/>
        </w:rPr>
      </w:pPr>
    </w:p>
    <w:p>
      <w:pPr>
        <w:ind w:right="200"/>
        <w:spacing w:after="0" w:line="265" w:lineRule="auto"/>
        <w:rPr>
          <w:sz w:val="20"/>
          <w:szCs w:val="20"/>
          <w:color w:val="auto"/>
        </w:rPr>
      </w:pPr>
      <w:r>
        <w:rPr>
          <w:rFonts w:ascii="Arial" w:cs="Arial" w:eastAsia="Arial" w:hAnsi="Arial"/>
          <w:sz w:val="21"/>
          <w:szCs w:val="21"/>
          <w:b w:val="1"/>
          <w:bCs w:val="1"/>
          <w:color w:val="auto"/>
        </w:rPr>
        <w:t>Marketing and brand commentary appears in the NY Times, BrandWeek, Wall Street Journal, etc.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C70B79"/>
        </w:rPr>
        <w:t>Jon Medved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CEO and Board member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Andrew Perlman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President and Board member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C70B79"/>
        </w:rPr>
        <w:t>Edo Segal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Board Member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Ralph Simon</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Board Member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Gary Ginsberg</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Board Member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C70B79"/>
        </w:rPr>
        <w:t>Phil Serlin</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Board Member</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Chairman, Audit Committee</w:t>
      </w: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13"/>
          <w:szCs w:val="13"/>
          <w:color w:val="FFFFFF"/>
        </w:rPr>
        <w:t>- Page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540"/>
        <w:spacing w:after="0"/>
        <w:rPr>
          <w:sz w:val="20"/>
          <w:szCs w:val="20"/>
          <w:color w:val="auto"/>
        </w:rPr>
      </w:pPr>
      <w:r>
        <w:rPr>
          <w:rFonts w:ascii="Arial" w:cs="Arial" w:eastAsia="Arial" w:hAnsi="Arial"/>
          <w:sz w:val="21"/>
          <w:szCs w:val="21"/>
          <w:color w:val="7F7F7F"/>
        </w:rPr>
        <w:t>Formerly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7F7F7F"/>
        </w:rPr>
        <w:t>Founder and GP Israel Seed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80"/>
        <w:spacing w:after="0"/>
        <w:rPr>
          <w:sz w:val="20"/>
          <w:szCs w:val="20"/>
          <w:color w:val="auto"/>
        </w:rPr>
      </w:pPr>
      <w:r>
        <w:rPr>
          <w:rFonts w:ascii="Arial" w:cs="Arial" w:eastAsia="Arial" w:hAnsi="Arial"/>
          <w:sz w:val="21"/>
          <w:szCs w:val="21"/>
          <w:color w:val="7F7F7F"/>
        </w:rPr>
        <w:t>Formerly</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21"/>
          <w:szCs w:val="21"/>
          <w:color w:val="7F7F7F"/>
        </w:rPr>
        <w:t>SVP, EMI Music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0" w:right="40" w:firstLine="453"/>
        <w:spacing w:after="0" w:line="251" w:lineRule="auto"/>
        <w:rPr>
          <w:sz w:val="20"/>
          <w:szCs w:val="20"/>
          <w:color w:val="auto"/>
        </w:rPr>
      </w:pPr>
      <w:r>
        <w:rPr>
          <w:rFonts w:ascii="Arial" w:cs="Arial" w:eastAsia="Arial" w:hAnsi="Arial"/>
          <w:sz w:val="21"/>
          <w:szCs w:val="21"/>
          <w:color w:val="7F7F7F"/>
        </w:rPr>
        <w:t>Founder and CEO Relegance, sold to AOL</w:t>
      </w:r>
    </w:p>
    <w:p>
      <w:pPr>
        <w:spacing w:after="0" w:line="200" w:lineRule="exact"/>
        <w:rPr>
          <w:sz w:val="20"/>
          <w:szCs w:val="20"/>
          <w:color w:val="auto"/>
        </w:rPr>
      </w:pPr>
    </w:p>
    <w:p>
      <w:pPr>
        <w:spacing w:after="0" w:line="377" w:lineRule="exact"/>
        <w:rPr>
          <w:sz w:val="20"/>
          <w:szCs w:val="20"/>
          <w:color w:val="auto"/>
        </w:rPr>
      </w:pPr>
    </w:p>
    <w:p>
      <w:pPr>
        <w:ind w:left="260" w:right="160" w:firstLine="442"/>
        <w:spacing w:after="0" w:line="251" w:lineRule="auto"/>
        <w:rPr>
          <w:sz w:val="20"/>
          <w:szCs w:val="20"/>
          <w:color w:val="auto"/>
        </w:rPr>
      </w:pPr>
      <w:r>
        <w:rPr>
          <w:rFonts w:ascii="Arial" w:cs="Arial" w:eastAsia="Arial" w:hAnsi="Arial"/>
          <w:sz w:val="21"/>
          <w:szCs w:val="21"/>
          <w:color w:val="7F7F7F"/>
        </w:rPr>
        <w:t>Chairman Emeritus Founder MEFAmericas-</w:t>
      </w:r>
    </w:p>
    <w:p>
      <w:pPr>
        <w:spacing w:after="0" w:line="200" w:lineRule="exact"/>
        <w:rPr>
          <w:sz w:val="20"/>
          <w:szCs w:val="20"/>
          <w:color w:val="auto"/>
        </w:rPr>
      </w:pPr>
    </w:p>
    <w:p>
      <w:pPr>
        <w:spacing w:after="0" w:line="377" w:lineRule="exact"/>
        <w:rPr>
          <w:sz w:val="20"/>
          <w:szCs w:val="20"/>
          <w:color w:val="auto"/>
        </w:rPr>
      </w:pPr>
    </w:p>
    <w:p>
      <w:pPr>
        <w:ind w:left="80" w:right="120" w:hanging="109"/>
        <w:spacing w:after="0" w:line="276" w:lineRule="auto"/>
        <w:rPr>
          <w:sz w:val="20"/>
          <w:szCs w:val="20"/>
          <w:color w:val="auto"/>
        </w:rPr>
      </w:pPr>
      <w:r>
        <w:rPr>
          <w:rFonts w:ascii="Arial" w:cs="Arial" w:eastAsia="Arial" w:hAnsi="Arial"/>
          <w:sz w:val="20"/>
          <w:szCs w:val="20"/>
          <w:color w:val="7F7F7F"/>
        </w:rPr>
        <w:t>Executive VP, Time Warner, Formerly NewsCorpBoard</w:t>
      </w:r>
    </w:p>
    <w:p>
      <w:pPr>
        <w:spacing w:after="0" w:line="200" w:lineRule="exact"/>
        <w:rPr>
          <w:sz w:val="20"/>
          <w:szCs w:val="20"/>
          <w:color w:val="auto"/>
        </w:rPr>
      </w:pPr>
    </w:p>
    <w:p>
      <w:pPr>
        <w:spacing w:after="0" w:line="353" w:lineRule="exact"/>
        <w:rPr>
          <w:sz w:val="20"/>
          <w:szCs w:val="20"/>
          <w:color w:val="auto"/>
        </w:rPr>
      </w:pPr>
    </w:p>
    <w:p>
      <w:pPr>
        <w:ind w:left="400" w:right="20" w:firstLine="718"/>
        <w:spacing w:after="0" w:line="251" w:lineRule="auto"/>
        <w:rPr>
          <w:sz w:val="20"/>
          <w:szCs w:val="20"/>
          <w:color w:val="auto"/>
        </w:rPr>
      </w:pPr>
      <w:r>
        <w:rPr>
          <w:rFonts w:ascii="Arial" w:cs="Arial" w:eastAsia="Arial" w:hAnsi="Arial"/>
          <w:sz w:val="21"/>
          <w:szCs w:val="21"/>
          <w:color w:val="7F7F7F"/>
        </w:rPr>
        <w:t>CFO BiolineRX Formerly Coopers, SEC</w:t>
      </w:r>
    </w:p>
    <w:p>
      <w:pPr>
        <w:sectPr>
          <w:pgSz w:w="11900" w:h="16838" w:orient="portrait"/>
          <w:cols w:equalWidth="0" w:num="3">
            <w:col w:w="3960" w:space="720"/>
            <w:col w:w="2740" w:space="380"/>
            <w:col w:w="2660"/>
          </w:cols>
          <w:pgMar w:left="580" w:top="497" w:right="859" w:bottom="1440" w:gutter="0" w:footer="0" w:header="0"/>
          <w:type w:val="continuous"/>
        </w:sectPr>
      </w:pPr>
    </w:p>
    <w:bookmarkStart w:id="13" w:name="page14"/>
    <w:bookmarkEnd w:id="13"/>
    <w:p>
      <w:pPr>
        <w:ind w:left="109"/>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Vringoin Middle of Rapidly Growing Markets and Trends</w:t>
      </w:r>
    </w:p>
    <w:p>
      <w:pPr>
        <w:spacing w:after="0" w:line="136" w:lineRule="exact"/>
        <w:rPr>
          <w:sz w:val="20"/>
          <w:szCs w:val="20"/>
          <w:color w:val="auto"/>
        </w:rPr>
      </w:pPr>
    </w:p>
    <w:p>
      <w:pPr>
        <w:ind w:left="489" w:hanging="323"/>
        <w:spacing w:after="0"/>
        <w:tabs>
          <w:tab w:leader="none" w:pos="489" w:val="left"/>
        </w:tabs>
        <w:numPr>
          <w:ilvl w:val="0"/>
          <w:numId w:val="9"/>
        </w:numPr>
        <w:rPr>
          <w:rFonts w:ascii="Arial" w:cs="Arial" w:eastAsia="Arial" w:hAnsi="Arial"/>
          <w:sz w:val="21"/>
          <w:szCs w:val="21"/>
          <w:color w:val="auto"/>
        </w:rPr>
      </w:pPr>
      <w:r>
        <w:rPr>
          <w:rFonts w:ascii="Arial" w:cs="Arial" w:eastAsia="Arial" w:hAnsi="Arial"/>
          <w:sz w:val="27"/>
          <w:szCs w:val="27"/>
          <w:b w:val="1"/>
          <w:bCs w:val="1"/>
          <w:color w:val="auto"/>
        </w:rPr>
        <w:t>Mobile video has arrived</w:t>
      </w:r>
    </w:p>
    <w:p>
      <w:pPr>
        <w:ind w:left="569"/>
        <w:spacing w:after="0" w:line="215" w:lineRule="auto"/>
        <w:tabs>
          <w:tab w:leader="none" w:pos="868"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7"/>
          <w:szCs w:val="27"/>
          <w:color w:val="auto"/>
        </w:rPr>
        <w:t>Mobile video data usage is expected to grow at a 131% CAGR from 201409</w:t>
      </w:r>
      <w:r>
        <w:rPr>
          <w:rFonts w:ascii="Arial" w:cs="Arial" w:eastAsia="Arial" w:hAnsi="Arial"/>
          <w:sz w:val="35"/>
          <w:szCs w:val="35"/>
          <w:color w:val="auto"/>
          <w:vertAlign w:val="superscript"/>
        </w:rPr>
        <w:t>(1)</w:t>
      </w:r>
      <w:r>
        <w:rPr>
          <w:rFonts w:ascii="Arial" w:cs="Arial" w:eastAsia="Arial" w:hAnsi="Arial"/>
          <w:sz w:val="27"/>
          <w:szCs w:val="27"/>
          <w:color w:val="auto"/>
        </w:rPr>
        <w:t>-</w:t>
      </w:r>
    </w:p>
    <w:p>
      <w:pPr>
        <w:ind w:left="889" w:hanging="326"/>
        <w:spacing w:after="0" w:line="191" w:lineRule="auto"/>
        <w:tabs>
          <w:tab w:leader="none" w:pos="889" w:val="left"/>
        </w:tabs>
        <w:numPr>
          <w:ilvl w:val="1"/>
          <w:numId w:val="10"/>
        </w:numPr>
        <w:rPr>
          <w:rFonts w:ascii="Arial" w:cs="Arial" w:eastAsia="Arial" w:hAnsi="Arial"/>
          <w:sz w:val="21"/>
          <w:szCs w:val="21"/>
          <w:color w:val="auto"/>
        </w:rPr>
      </w:pPr>
      <w:r>
        <w:rPr>
          <w:rFonts w:ascii="Arial" w:cs="Arial" w:eastAsia="Arial" w:hAnsi="Arial"/>
          <w:sz w:val="27"/>
          <w:szCs w:val="27"/>
          <w:color w:val="auto"/>
        </w:rPr>
        <w:t>534 M global mobile video subscribers by 2014</w:t>
      </w:r>
      <w:r>
        <w:rPr>
          <w:rFonts w:ascii="Arial" w:cs="Arial" w:eastAsia="Arial" w:hAnsi="Arial"/>
          <w:sz w:val="35"/>
          <w:szCs w:val="35"/>
          <w:color w:val="auto"/>
          <w:vertAlign w:val="superscript"/>
        </w:rPr>
        <w:t>(2)</w:t>
      </w:r>
    </w:p>
    <w:p>
      <w:pPr>
        <w:spacing w:after="0" w:line="1" w:lineRule="exact"/>
        <w:rPr>
          <w:rFonts w:ascii="Arial" w:cs="Arial" w:eastAsia="Arial" w:hAnsi="Arial"/>
          <w:sz w:val="21"/>
          <w:szCs w:val="21"/>
          <w:color w:val="auto"/>
        </w:rPr>
      </w:pPr>
    </w:p>
    <w:p>
      <w:pPr>
        <w:ind w:left="1289" w:hanging="328"/>
        <w:spacing w:after="0"/>
        <w:tabs>
          <w:tab w:leader="none" w:pos="1289" w:val="left"/>
        </w:tabs>
        <w:numPr>
          <w:ilvl w:val="2"/>
          <w:numId w:val="10"/>
        </w:numPr>
        <w:rPr>
          <w:rFonts w:ascii="Arial" w:cs="Arial" w:eastAsia="Arial" w:hAnsi="Arial"/>
          <w:sz w:val="21"/>
          <w:szCs w:val="21"/>
          <w:color w:val="auto"/>
        </w:rPr>
      </w:pPr>
      <w:r>
        <w:rPr>
          <w:rFonts w:ascii="Arial" w:cs="Arial" w:eastAsia="Arial" w:hAnsi="Arial"/>
          <w:sz w:val="27"/>
          <w:szCs w:val="27"/>
          <w:color w:val="auto"/>
        </w:rPr>
        <w:t>Five-fold increase since 2008</w:t>
      </w:r>
    </w:p>
    <w:p>
      <w:pPr>
        <w:spacing w:after="0" w:line="9" w:lineRule="exact"/>
        <w:rPr>
          <w:rFonts w:ascii="Arial" w:cs="Arial" w:eastAsia="Arial" w:hAnsi="Arial"/>
          <w:sz w:val="21"/>
          <w:szCs w:val="21"/>
          <w:color w:val="auto"/>
        </w:rPr>
      </w:pPr>
    </w:p>
    <w:p>
      <w:pPr>
        <w:ind w:left="1289" w:hanging="328"/>
        <w:spacing w:after="0" w:line="184" w:lineRule="auto"/>
        <w:tabs>
          <w:tab w:leader="none" w:pos="1289" w:val="left"/>
        </w:tabs>
        <w:numPr>
          <w:ilvl w:val="2"/>
          <w:numId w:val="10"/>
        </w:numPr>
        <w:rPr>
          <w:rFonts w:ascii="Arial" w:cs="Arial" w:eastAsia="Arial" w:hAnsi="Arial"/>
          <w:sz w:val="21"/>
          <w:szCs w:val="21"/>
          <w:color w:val="auto"/>
        </w:rPr>
      </w:pPr>
      <w:r>
        <w:rPr>
          <w:rFonts w:ascii="Arial" w:cs="Arial" w:eastAsia="Arial" w:hAnsi="Arial"/>
          <w:sz w:val="27"/>
          <w:szCs w:val="27"/>
          <w:color w:val="auto"/>
        </w:rPr>
        <w:t xml:space="preserve">$16 B in revenues projected in the </w:t>
      </w:r>
      <w:r>
        <w:rPr>
          <w:rFonts w:ascii="Arial" w:cs="Arial" w:eastAsia="Arial" w:hAnsi="Arial"/>
          <w:sz w:val="35"/>
          <w:szCs w:val="35"/>
          <w:color w:val="auto"/>
          <w:vertAlign w:val="superscript"/>
        </w:rPr>
        <w:t>(2)</w:t>
      </w:r>
      <w:r>
        <w:rPr>
          <w:rFonts w:ascii="Arial" w:cs="Arial" w:eastAsia="Arial" w:hAnsi="Arial"/>
          <w:sz w:val="27"/>
          <w:szCs w:val="27"/>
          <w:color w:val="auto"/>
        </w:rPr>
        <w:t>US</w:t>
      </w:r>
    </w:p>
    <w:p>
      <w:pPr>
        <w:spacing w:after="0" w:line="1" w:lineRule="exact"/>
        <w:rPr>
          <w:rFonts w:ascii="Arial" w:cs="Arial" w:eastAsia="Arial" w:hAnsi="Arial"/>
          <w:sz w:val="21"/>
          <w:szCs w:val="21"/>
          <w:color w:val="auto"/>
        </w:rPr>
      </w:pPr>
    </w:p>
    <w:p>
      <w:pPr>
        <w:ind w:left="489" w:hanging="323"/>
        <w:spacing w:after="0"/>
        <w:tabs>
          <w:tab w:leader="none" w:pos="489" w:val="left"/>
        </w:tabs>
        <w:numPr>
          <w:ilvl w:val="0"/>
          <w:numId w:val="10"/>
        </w:numPr>
        <w:rPr>
          <w:rFonts w:ascii="Arial" w:cs="Arial" w:eastAsia="Arial" w:hAnsi="Arial"/>
          <w:sz w:val="21"/>
          <w:szCs w:val="21"/>
          <w:color w:val="auto"/>
        </w:rPr>
      </w:pPr>
      <w:r>
        <w:rPr>
          <w:rFonts w:ascii="Arial" w:cs="Arial" w:eastAsia="Arial" w:hAnsi="Arial"/>
          <w:sz w:val="27"/>
          <w:szCs w:val="27"/>
          <w:b w:val="1"/>
          <w:bCs w:val="1"/>
          <w:color w:val="auto"/>
        </w:rPr>
        <w:t>Mobile social networking is growing exponentially</w:t>
      </w:r>
    </w:p>
    <w:p>
      <w:pPr>
        <w:spacing w:after="0" w:line="9" w:lineRule="exact"/>
        <w:rPr>
          <w:rFonts w:ascii="Arial" w:cs="Arial" w:eastAsia="Arial" w:hAnsi="Arial"/>
          <w:sz w:val="21"/>
          <w:szCs w:val="21"/>
          <w:color w:val="auto"/>
        </w:rPr>
      </w:pPr>
    </w:p>
    <w:p>
      <w:pPr>
        <w:ind w:left="889" w:hanging="326"/>
        <w:spacing w:after="0"/>
        <w:tabs>
          <w:tab w:leader="none" w:pos="889" w:val="left"/>
        </w:tabs>
        <w:numPr>
          <w:ilvl w:val="1"/>
          <w:numId w:val="10"/>
        </w:numPr>
        <w:rPr>
          <w:rFonts w:ascii="Arial" w:cs="Arial" w:eastAsia="Arial" w:hAnsi="Arial"/>
          <w:sz w:val="21"/>
          <w:szCs w:val="21"/>
          <w:color w:val="auto"/>
        </w:rPr>
      </w:pPr>
      <w:r>
        <w:rPr>
          <w:rFonts w:ascii="Arial" w:cs="Arial" w:eastAsia="Arial" w:hAnsi="Arial"/>
          <w:sz w:val="27"/>
          <w:szCs w:val="27"/>
          <w:color w:val="auto"/>
        </w:rPr>
        <w:t>Facebookand Twitter at the forefront of the phenomenon</w:t>
      </w:r>
    </w:p>
    <w:p>
      <w:pPr>
        <w:spacing w:after="0" w:line="9" w:lineRule="exact"/>
        <w:rPr>
          <w:rFonts w:ascii="Arial" w:cs="Arial" w:eastAsia="Arial" w:hAnsi="Arial"/>
          <w:sz w:val="21"/>
          <w:szCs w:val="21"/>
          <w:color w:val="auto"/>
        </w:rPr>
      </w:pPr>
    </w:p>
    <w:p>
      <w:pPr>
        <w:ind w:left="889" w:hanging="326"/>
        <w:spacing w:after="0"/>
        <w:tabs>
          <w:tab w:leader="none" w:pos="889" w:val="left"/>
        </w:tabs>
        <w:numPr>
          <w:ilvl w:val="1"/>
          <w:numId w:val="10"/>
        </w:numPr>
        <w:rPr>
          <w:rFonts w:ascii="Arial" w:cs="Arial" w:eastAsia="Arial" w:hAnsi="Arial"/>
          <w:sz w:val="21"/>
          <w:szCs w:val="21"/>
          <w:color w:val="auto"/>
        </w:rPr>
      </w:pPr>
      <w:r>
        <w:rPr>
          <w:rFonts w:ascii="Arial" w:cs="Arial" w:eastAsia="Arial" w:hAnsi="Arial"/>
          <w:sz w:val="27"/>
          <w:szCs w:val="27"/>
          <w:color w:val="auto"/>
        </w:rPr>
        <w:t>Growing mobile social networking and user-generated content revenue</w:t>
      </w:r>
    </w:p>
    <w:p>
      <w:pPr>
        <w:spacing w:after="0" w:line="9" w:lineRule="exact"/>
        <w:rPr>
          <w:rFonts w:ascii="Arial" w:cs="Arial" w:eastAsia="Arial" w:hAnsi="Arial"/>
          <w:sz w:val="21"/>
          <w:szCs w:val="21"/>
          <w:color w:val="auto"/>
        </w:rPr>
      </w:pPr>
    </w:p>
    <w:p>
      <w:pPr>
        <w:ind w:left="889" w:hanging="326"/>
        <w:spacing w:after="0" w:line="191" w:lineRule="auto"/>
        <w:tabs>
          <w:tab w:leader="none" w:pos="889" w:val="left"/>
        </w:tabs>
        <w:numPr>
          <w:ilvl w:val="1"/>
          <w:numId w:val="10"/>
        </w:numPr>
        <w:rPr>
          <w:rFonts w:ascii="Arial" w:cs="Arial" w:eastAsia="Arial" w:hAnsi="Arial"/>
          <w:sz w:val="21"/>
          <w:szCs w:val="21"/>
          <w:color w:val="auto"/>
        </w:rPr>
      </w:pPr>
      <w:r>
        <w:rPr>
          <w:rFonts w:ascii="Arial" w:cs="Arial" w:eastAsia="Arial" w:hAnsi="Arial"/>
          <w:sz w:val="27"/>
          <w:szCs w:val="27"/>
          <w:color w:val="auto"/>
        </w:rPr>
        <w:t>$1.8 B in 2008 to $11.8 B in 2013</w:t>
      </w:r>
      <w:r>
        <w:rPr>
          <w:rFonts w:ascii="Arial" w:cs="Arial" w:eastAsia="Arial" w:hAnsi="Arial"/>
          <w:sz w:val="35"/>
          <w:szCs w:val="35"/>
          <w:color w:val="auto"/>
          <w:vertAlign w:val="superscript"/>
        </w:rPr>
        <w:t>(3)</w:t>
      </w:r>
    </w:p>
    <w:p>
      <w:pPr>
        <w:ind w:left="889" w:hanging="326"/>
        <w:spacing w:after="0" w:line="202" w:lineRule="auto"/>
        <w:tabs>
          <w:tab w:leader="none" w:pos="889" w:val="left"/>
        </w:tabs>
        <w:numPr>
          <w:ilvl w:val="1"/>
          <w:numId w:val="10"/>
        </w:numPr>
        <w:rPr>
          <w:rFonts w:ascii="Arial" w:cs="Arial" w:eastAsia="Arial" w:hAnsi="Arial"/>
          <w:sz w:val="20"/>
          <w:szCs w:val="20"/>
          <w:color w:val="auto"/>
        </w:rPr>
      </w:pPr>
      <w:r>
        <w:rPr>
          <w:rFonts w:ascii="Arial" w:cs="Arial" w:eastAsia="Arial" w:hAnsi="Arial"/>
          <w:sz w:val="25"/>
          <w:szCs w:val="25"/>
          <w:color w:val="auto"/>
        </w:rPr>
        <w:t>Approximately 1 out of every 8 people world-wide has used a digital social network</w:t>
      </w:r>
      <w:r>
        <w:rPr>
          <w:rFonts w:ascii="Arial" w:cs="Arial" w:eastAsia="Arial" w:hAnsi="Arial"/>
          <w:sz w:val="33"/>
          <w:szCs w:val="33"/>
          <w:color w:val="auto"/>
          <w:vertAlign w:val="superscript"/>
        </w:rPr>
        <w:t>(4)</w:t>
      </w:r>
    </w:p>
    <w:p>
      <w:pPr>
        <w:ind w:left="489" w:hanging="323"/>
        <w:spacing w:after="0" w:line="239" w:lineRule="auto"/>
        <w:tabs>
          <w:tab w:leader="none" w:pos="489" w:val="left"/>
        </w:tabs>
        <w:numPr>
          <w:ilvl w:val="0"/>
          <w:numId w:val="10"/>
        </w:numPr>
        <w:rPr>
          <w:rFonts w:ascii="Arial" w:cs="Arial" w:eastAsia="Arial" w:hAnsi="Arial"/>
          <w:sz w:val="21"/>
          <w:szCs w:val="21"/>
          <w:color w:val="auto"/>
        </w:rPr>
      </w:pPr>
      <w:r>
        <w:rPr>
          <w:rFonts w:ascii="Arial" w:cs="Arial" w:eastAsia="Arial" w:hAnsi="Arial"/>
          <w:sz w:val="27"/>
          <w:szCs w:val="27"/>
          <w:b w:val="1"/>
          <w:bCs w:val="1"/>
          <w:color w:val="auto"/>
        </w:rPr>
        <w:t>User generated content continues to grow</w:t>
      </w:r>
    </w:p>
    <w:p>
      <w:pPr>
        <w:ind w:left="889" w:hanging="326"/>
        <w:spacing w:after="0"/>
        <w:tabs>
          <w:tab w:leader="none" w:pos="889" w:val="left"/>
        </w:tabs>
        <w:numPr>
          <w:ilvl w:val="1"/>
          <w:numId w:val="10"/>
        </w:numPr>
        <w:rPr>
          <w:rFonts w:ascii="Arial" w:cs="Arial" w:eastAsia="Arial" w:hAnsi="Arial"/>
          <w:sz w:val="21"/>
          <w:szCs w:val="21"/>
          <w:color w:val="auto"/>
        </w:rPr>
      </w:pPr>
      <w:r>
        <w:rPr>
          <w:rFonts w:ascii="Arial" w:cs="Arial" w:eastAsia="Arial" w:hAnsi="Arial"/>
          <w:sz w:val="27"/>
          <w:szCs w:val="27"/>
          <w:color w:val="auto"/>
        </w:rPr>
        <w:t>YouTube revolution</w:t>
      </w:r>
    </w:p>
    <w:p>
      <w:pPr>
        <w:spacing w:after="0" w:line="9" w:lineRule="exact"/>
        <w:rPr>
          <w:rFonts w:ascii="Arial" w:cs="Arial" w:eastAsia="Arial" w:hAnsi="Arial"/>
          <w:sz w:val="21"/>
          <w:szCs w:val="21"/>
          <w:color w:val="auto"/>
        </w:rPr>
      </w:pPr>
    </w:p>
    <w:p>
      <w:pPr>
        <w:ind w:left="889" w:hanging="326"/>
        <w:spacing w:after="0"/>
        <w:tabs>
          <w:tab w:leader="none" w:pos="889" w:val="left"/>
        </w:tabs>
        <w:numPr>
          <w:ilvl w:val="1"/>
          <w:numId w:val="10"/>
        </w:numPr>
        <w:rPr>
          <w:rFonts w:ascii="Arial" w:cs="Arial" w:eastAsia="Arial" w:hAnsi="Arial"/>
          <w:sz w:val="21"/>
          <w:szCs w:val="21"/>
          <w:color w:val="auto"/>
        </w:rPr>
      </w:pPr>
      <w:r>
        <w:rPr>
          <w:rFonts w:ascii="Arial" w:cs="Arial" w:eastAsia="Arial" w:hAnsi="Arial"/>
          <w:sz w:val="27"/>
          <w:szCs w:val="27"/>
          <w:color w:val="auto"/>
        </w:rPr>
        <w:t>Advances in technology that facilitate the creation of user-generated content</w:t>
      </w:r>
    </w:p>
    <w:p>
      <w:pPr>
        <w:spacing w:after="0" w:line="9" w:lineRule="exact"/>
        <w:rPr>
          <w:rFonts w:ascii="Arial" w:cs="Arial" w:eastAsia="Arial" w:hAnsi="Arial"/>
          <w:sz w:val="21"/>
          <w:szCs w:val="21"/>
          <w:color w:val="auto"/>
        </w:rPr>
      </w:pPr>
    </w:p>
    <w:p>
      <w:pPr>
        <w:ind w:left="489" w:hanging="323"/>
        <w:spacing w:after="0"/>
        <w:tabs>
          <w:tab w:leader="none" w:pos="489" w:val="left"/>
        </w:tabs>
        <w:numPr>
          <w:ilvl w:val="0"/>
          <w:numId w:val="10"/>
        </w:numPr>
        <w:rPr>
          <w:rFonts w:ascii="Arial" w:cs="Arial" w:eastAsia="Arial" w:hAnsi="Arial"/>
          <w:sz w:val="21"/>
          <w:szCs w:val="21"/>
          <w:color w:val="auto"/>
        </w:rPr>
      </w:pPr>
      <w:r>
        <w:rPr>
          <w:rFonts w:ascii="Arial" w:cs="Arial" w:eastAsia="Arial" w:hAnsi="Arial"/>
          <w:sz w:val="27"/>
          <w:szCs w:val="27"/>
          <w:b w:val="1"/>
          <w:bCs w:val="1"/>
          <w:color w:val="auto"/>
        </w:rPr>
        <w:t>Rise of smart phones</w:t>
      </w:r>
    </w:p>
    <w:p>
      <w:pPr>
        <w:ind w:left="569"/>
        <w:spacing w:after="0" w:line="197" w:lineRule="auto"/>
        <w:tabs>
          <w:tab w:leader="none" w:pos="868"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7"/>
          <w:szCs w:val="27"/>
          <w:color w:val="auto"/>
        </w:rPr>
        <w:t>Global Smartphone shipments experienced 50% growth YOY in Q1</w:t>
      </w:r>
      <w:r>
        <w:rPr>
          <w:rFonts w:ascii="Arial" w:cs="Arial" w:eastAsia="Arial" w:hAnsi="Arial"/>
          <w:sz w:val="35"/>
          <w:szCs w:val="35"/>
          <w:color w:val="auto"/>
          <w:vertAlign w:val="superscript"/>
        </w:rPr>
        <w:t>(5)</w:t>
      </w:r>
      <w:r>
        <w:rPr>
          <w:rFonts w:ascii="Arial" w:cs="Arial" w:eastAsia="Arial" w:hAnsi="Arial"/>
          <w:sz w:val="27"/>
          <w:szCs w:val="27"/>
          <w:color w:val="auto"/>
        </w:rPr>
        <w:t xml:space="preserve"> 2010</w:t>
      </w:r>
    </w:p>
    <w:p>
      <w:pPr>
        <w:ind w:left="889" w:hanging="326"/>
        <w:spacing w:after="0"/>
        <w:tabs>
          <w:tab w:leader="none" w:pos="889" w:val="left"/>
        </w:tabs>
        <w:numPr>
          <w:ilvl w:val="1"/>
          <w:numId w:val="11"/>
        </w:numPr>
        <w:rPr>
          <w:rFonts w:ascii="Arial" w:cs="Arial" w:eastAsia="Arial" w:hAnsi="Arial"/>
          <w:sz w:val="21"/>
          <w:szCs w:val="21"/>
          <w:color w:val="auto"/>
        </w:rPr>
      </w:pPr>
      <w:r>
        <w:rPr>
          <w:rFonts w:ascii="Arial" w:cs="Arial" w:eastAsia="Arial" w:hAnsi="Arial"/>
          <w:sz w:val="27"/>
          <w:szCs w:val="27"/>
          <w:color w:val="auto"/>
        </w:rPr>
        <w:t>Increased bandwidth enables rich media transfer across many devices</w:t>
      </w:r>
    </w:p>
    <w:p>
      <w:pPr>
        <w:spacing w:after="0" w:line="9" w:lineRule="exact"/>
        <w:rPr>
          <w:rFonts w:ascii="Arial" w:cs="Arial" w:eastAsia="Arial" w:hAnsi="Arial"/>
          <w:sz w:val="21"/>
          <w:szCs w:val="21"/>
          <w:color w:val="auto"/>
        </w:rPr>
      </w:pPr>
    </w:p>
    <w:p>
      <w:pPr>
        <w:ind w:left="889" w:hanging="326"/>
        <w:spacing w:after="0" w:line="190" w:lineRule="auto"/>
        <w:tabs>
          <w:tab w:leader="none" w:pos="889" w:val="left"/>
        </w:tabs>
        <w:numPr>
          <w:ilvl w:val="1"/>
          <w:numId w:val="11"/>
        </w:numPr>
        <w:rPr>
          <w:rFonts w:ascii="Arial" w:cs="Arial" w:eastAsia="Arial" w:hAnsi="Arial"/>
          <w:sz w:val="21"/>
          <w:szCs w:val="21"/>
          <w:color w:val="auto"/>
        </w:rPr>
      </w:pPr>
      <w:r>
        <w:rPr>
          <w:rFonts w:ascii="Arial" w:cs="Arial" w:eastAsia="Arial" w:hAnsi="Arial"/>
          <w:sz w:val="26"/>
          <w:szCs w:val="26"/>
          <w:color w:val="auto"/>
        </w:rPr>
        <w:t>Apps everywhere…with Android growing % of market share by 150% in Q4</w:t>
      </w:r>
      <w:r>
        <w:rPr>
          <w:rFonts w:ascii="Arial" w:cs="Arial" w:eastAsia="Arial" w:hAnsi="Arial"/>
          <w:sz w:val="34"/>
          <w:szCs w:val="34"/>
          <w:color w:val="auto"/>
          <w:vertAlign w:val="superscript"/>
        </w:rPr>
        <w:t>(6)</w:t>
      </w:r>
      <w:r>
        <w:rPr>
          <w:rFonts w:ascii="Arial" w:cs="Arial" w:eastAsia="Arial" w:hAnsi="Arial"/>
          <w:sz w:val="26"/>
          <w:szCs w:val="26"/>
          <w:color w:val="auto"/>
        </w:rPr>
        <w:t xml:space="preserve"> 2009</w:t>
      </w:r>
    </w:p>
    <w:p>
      <w:pPr>
        <w:ind w:left="889" w:hanging="326"/>
        <w:spacing w:after="0" w:line="209" w:lineRule="auto"/>
        <w:tabs>
          <w:tab w:leader="none" w:pos="889" w:val="left"/>
        </w:tabs>
        <w:numPr>
          <w:ilvl w:val="1"/>
          <w:numId w:val="11"/>
        </w:numPr>
        <w:rPr>
          <w:rFonts w:ascii="Arial" w:cs="Arial" w:eastAsia="Arial" w:hAnsi="Arial"/>
          <w:sz w:val="21"/>
          <w:szCs w:val="21"/>
          <w:color w:val="auto"/>
        </w:rPr>
      </w:pPr>
      <w:r>
        <w:rPr>
          <w:rFonts w:ascii="Arial" w:cs="Arial" w:eastAsia="Arial" w:hAnsi="Arial"/>
          <w:sz w:val="27"/>
          <w:szCs w:val="27"/>
          <w:color w:val="auto"/>
        </w:rPr>
        <w:t>Global 3G penetration expected to exceed 20% by the end of</w:t>
      </w:r>
      <w:r>
        <w:rPr>
          <w:rFonts w:ascii="Arial" w:cs="Arial" w:eastAsia="Arial" w:hAnsi="Arial"/>
          <w:sz w:val="35"/>
          <w:szCs w:val="35"/>
          <w:color w:val="auto"/>
          <w:vertAlign w:val="superscript"/>
        </w:rPr>
        <w:t>(4)</w:t>
      </w:r>
      <w:r>
        <w:rPr>
          <w:rFonts w:ascii="Arial" w:cs="Arial" w:eastAsia="Arial" w:hAnsi="Arial"/>
          <w:sz w:val="27"/>
          <w:szCs w:val="27"/>
          <w:color w:val="auto"/>
        </w:rPr>
        <w:t>2010</w:t>
      </w:r>
    </w:p>
    <w:p>
      <w:pPr>
        <w:ind w:left="369" w:hanging="369"/>
        <w:spacing w:after="0"/>
        <w:tabs>
          <w:tab w:leader="none" w:pos="3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Cisco Visual Networking Index: Global Mobile Data Traffic Forecast Update, 2009-2014, 2/10</w:t>
      </w:r>
    </w:p>
    <w:p>
      <w:pPr>
        <w:spacing w:after="0" w:line="5" w:lineRule="exact"/>
        <w:rPr>
          <w:rFonts w:ascii="Arial" w:cs="Arial" w:eastAsia="Arial" w:hAnsi="Arial"/>
          <w:sz w:val="12"/>
          <w:szCs w:val="12"/>
          <w:color w:val="auto"/>
        </w:rPr>
      </w:pPr>
    </w:p>
    <w:p>
      <w:pPr>
        <w:ind w:left="369" w:hanging="369"/>
        <w:spacing w:after="0"/>
        <w:tabs>
          <w:tab w:leader="none" w:pos="3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Pyramid Research</w:t>
      </w:r>
    </w:p>
    <w:p>
      <w:pPr>
        <w:spacing w:after="0" w:line="5" w:lineRule="exact"/>
        <w:rPr>
          <w:rFonts w:ascii="Arial" w:cs="Arial" w:eastAsia="Arial" w:hAnsi="Arial"/>
          <w:sz w:val="12"/>
          <w:szCs w:val="12"/>
          <w:color w:val="auto"/>
        </w:rPr>
      </w:pPr>
    </w:p>
    <w:p>
      <w:pPr>
        <w:ind w:left="369" w:hanging="369"/>
        <w:spacing w:after="0" w:line="230" w:lineRule="auto"/>
        <w:tabs>
          <w:tab w:leader="none" w:pos="3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Juniper Research</w:t>
      </w:r>
    </w:p>
    <w:p>
      <w:pPr>
        <w:ind w:left="369" w:hanging="369"/>
        <w:spacing w:after="0"/>
        <w:tabs>
          <w:tab w:leader="none" w:pos="3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Morgan Stanley’s Internet Trends, 04/10; comScore Global, 12/09</w:t>
      </w:r>
    </w:p>
    <w:p>
      <w:pPr>
        <w:spacing w:after="0" w:line="5" w:lineRule="exact"/>
        <w:rPr>
          <w:rFonts w:ascii="Arial" w:cs="Arial" w:eastAsia="Arial" w:hAnsi="Arial"/>
          <w:sz w:val="12"/>
          <w:szCs w:val="12"/>
          <w:color w:val="auto"/>
        </w:rPr>
      </w:pPr>
    </w:p>
    <w:p>
      <w:pPr>
        <w:ind w:left="369" w:hanging="369"/>
        <w:spacing w:after="0"/>
        <w:tabs>
          <w:tab w:leader="none" w:pos="3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Strategy Analytics</w:t>
      </w:r>
    </w:p>
    <w:p>
      <w:pPr>
        <w:spacing w:after="0" w:line="5" w:lineRule="exact"/>
        <w:rPr>
          <w:rFonts w:ascii="Arial" w:cs="Arial" w:eastAsia="Arial" w:hAnsi="Arial"/>
          <w:sz w:val="12"/>
          <w:szCs w:val="12"/>
          <w:color w:val="auto"/>
        </w:rPr>
      </w:pPr>
    </w:p>
    <w:p>
      <w:pPr>
        <w:ind w:left="369" w:hanging="369"/>
        <w:spacing w:after="0"/>
        <w:tabs>
          <w:tab w:leader="none" w:pos="3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Comscore</w:t>
      </w:r>
    </w:p>
    <w:p>
      <w:pPr>
        <w:spacing w:after="0" w:line="260" w:lineRule="exact"/>
        <w:rPr>
          <w:rFonts w:ascii="Arial" w:cs="Arial" w:eastAsia="Arial" w:hAnsi="Arial"/>
          <w:sz w:val="12"/>
          <w:szCs w:val="12"/>
          <w:color w:val="auto"/>
        </w:rPr>
      </w:pPr>
    </w:p>
    <w:p>
      <w:pPr>
        <w:ind w:left="4949" w:hanging="79"/>
        <w:spacing w:after="0"/>
        <w:tabs>
          <w:tab w:leader="none" w:pos="4949" w:val="left"/>
        </w:tabs>
        <w:numPr>
          <w:ilvl w:val="2"/>
          <w:numId w:val="11"/>
        </w:numPr>
        <w:rPr>
          <w:rFonts w:ascii="Arial" w:cs="Arial" w:eastAsia="Arial" w:hAnsi="Arial"/>
          <w:sz w:val="13"/>
          <w:szCs w:val="13"/>
          <w:color w:val="FFFFFF"/>
        </w:rPr>
      </w:pPr>
      <w:r>
        <w:rPr>
          <w:rFonts w:ascii="Arial" w:cs="Arial" w:eastAsia="Arial" w:hAnsi="Arial"/>
          <w:sz w:val="13"/>
          <w:szCs w:val="13"/>
          <w:color w:val="FFFFFF"/>
        </w:rPr>
        <w:t>Page 11-</w:t>
      </w:r>
    </w:p>
    <w:p>
      <w:pPr>
        <w:sectPr>
          <w:pgSz w:w="11900" w:h="16838" w:orient="portrait"/>
          <w:cols w:equalWidth="0" w:num="1">
            <w:col w:w="10569"/>
          </w:cols>
          <w:pgMar w:left="471" w:top="497" w:right="859" w:bottom="1440" w:gutter="0" w:footer="0" w:header="0"/>
        </w:sectPr>
      </w:pPr>
    </w:p>
    <w:bookmarkStart w:id="14" w:name="page15"/>
    <w:bookmarkEnd w:id="14"/>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Ring Tone Market-Ready for Vringo’sInnovation</w:t>
      </w:r>
    </w:p>
    <w:p>
      <w:pPr>
        <w:spacing w:after="0" w:line="225" w:lineRule="exact"/>
        <w:rPr>
          <w:sz w:val="20"/>
          <w:szCs w:val="20"/>
          <w:color w:val="auto"/>
        </w:rPr>
      </w:pPr>
    </w:p>
    <w:p>
      <w:pPr>
        <w:ind w:left="320" w:hanging="263"/>
        <w:spacing w:after="0"/>
        <w:tabs>
          <w:tab w:leader="none" w:pos="320" w:val="left"/>
        </w:tabs>
        <w:numPr>
          <w:ilvl w:val="0"/>
          <w:numId w:val="12"/>
        </w:numPr>
        <w:rPr>
          <w:rFonts w:ascii="Arial" w:cs="Arial" w:eastAsia="Arial" w:hAnsi="Arial"/>
          <w:sz w:val="21"/>
          <w:szCs w:val="21"/>
          <w:color w:val="auto"/>
        </w:rPr>
      </w:pPr>
      <w:r>
        <w:rPr>
          <w:rFonts w:ascii="Arial" w:cs="Arial" w:eastAsia="Arial" w:hAnsi="Arial"/>
          <w:sz w:val="27"/>
          <w:szCs w:val="27"/>
          <w:b w:val="1"/>
          <w:bCs w:val="1"/>
          <w:color w:val="auto"/>
        </w:rPr>
        <w:t>Ringtone business was created in 1997</w:t>
      </w:r>
    </w:p>
    <w:p>
      <w:pPr>
        <w:spacing w:after="0" w:line="41" w:lineRule="exact"/>
        <w:rPr>
          <w:rFonts w:ascii="Arial" w:cs="Arial" w:eastAsia="Arial" w:hAnsi="Arial"/>
          <w:sz w:val="21"/>
          <w:szCs w:val="21"/>
          <w:color w:val="auto"/>
        </w:rPr>
      </w:pPr>
    </w:p>
    <w:p>
      <w:pPr>
        <w:ind w:left="780" w:hanging="326"/>
        <w:spacing w:after="0"/>
        <w:tabs>
          <w:tab w:leader="none" w:pos="780" w:val="left"/>
        </w:tabs>
        <w:numPr>
          <w:ilvl w:val="1"/>
          <w:numId w:val="12"/>
        </w:numPr>
        <w:rPr>
          <w:rFonts w:ascii="Arial" w:cs="Arial" w:eastAsia="Arial" w:hAnsi="Arial"/>
          <w:sz w:val="20"/>
          <w:szCs w:val="20"/>
          <w:color w:val="auto"/>
        </w:rPr>
      </w:pPr>
      <w:r>
        <w:rPr>
          <w:rFonts w:ascii="Arial" w:cs="Arial" w:eastAsia="Arial" w:hAnsi="Arial"/>
          <w:sz w:val="25"/>
          <w:szCs w:val="25"/>
          <w:color w:val="auto"/>
        </w:rPr>
        <w:t>Further developed in 2002 with the creation of truetoneand mastertone</w:t>
      </w:r>
    </w:p>
    <w:p>
      <w:pPr>
        <w:spacing w:after="0" w:line="210" w:lineRule="exact"/>
        <w:rPr>
          <w:rFonts w:ascii="Arial" w:cs="Arial" w:eastAsia="Arial" w:hAnsi="Arial"/>
          <w:sz w:val="20"/>
          <w:szCs w:val="20"/>
          <w:color w:val="auto"/>
        </w:rPr>
      </w:pPr>
    </w:p>
    <w:p>
      <w:pPr>
        <w:ind w:left="320" w:hanging="263"/>
        <w:spacing w:after="0"/>
        <w:tabs>
          <w:tab w:leader="none" w:pos="320" w:val="left"/>
        </w:tabs>
        <w:numPr>
          <w:ilvl w:val="0"/>
          <w:numId w:val="12"/>
        </w:numPr>
        <w:rPr>
          <w:rFonts w:ascii="Arial" w:cs="Arial" w:eastAsia="Arial" w:hAnsi="Arial"/>
          <w:sz w:val="21"/>
          <w:szCs w:val="21"/>
          <w:color w:val="auto"/>
        </w:rPr>
      </w:pPr>
      <w:r>
        <w:rPr>
          <w:rFonts w:ascii="Arial" w:cs="Arial" w:eastAsia="Arial" w:hAnsi="Arial"/>
          <w:sz w:val="27"/>
          <w:szCs w:val="27"/>
          <w:b w:val="1"/>
          <w:bCs w:val="1"/>
          <w:color w:val="auto"/>
        </w:rPr>
        <w:t>Ringbacktone was created in 2004</w:t>
      </w:r>
    </w:p>
    <w:p>
      <w:pPr>
        <w:spacing w:after="0" w:line="30" w:lineRule="exact"/>
        <w:rPr>
          <w:rFonts w:ascii="Arial" w:cs="Arial" w:eastAsia="Arial" w:hAnsi="Arial"/>
          <w:sz w:val="21"/>
          <w:szCs w:val="21"/>
          <w:color w:val="auto"/>
        </w:rPr>
      </w:pPr>
    </w:p>
    <w:p>
      <w:pPr>
        <w:ind w:left="780" w:hanging="326"/>
        <w:spacing w:after="0" w:line="190" w:lineRule="auto"/>
        <w:tabs>
          <w:tab w:leader="none" w:pos="780" w:val="left"/>
        </w:tabs>
        <w:numPr>
          <w:ilvl w:val="1"/>
          <w:numId w:val="12"/>
        </w:numPr>
        <w:rPr>
          <w:rFonts w:ascii="Arial" w:cs="Arial" w:eastAsia="Arial" w:hAnsi="Arial"/>
          <w:sz w:val="21"/>
          <w:szCs w:val="21"/>
          <w:color w:val="auto"/>
        </w:rPr>
      </w:pPr>
      <w:r>
        <w:rPr>
          <w:rFonts w:ascii="Arial" w:cs="Arial" w:eastAsia="Arial" w:hAnsi="Arial"/>
          <w:sz w:val="27"/>
          <w:szCs w:val="27"/>
          <w:color w:val="auto"/>
        </w:rPr>
        <w:t>$4.7 B ringbacktone market by 2012</w:t>
      </w:r>
      <w:r>
        <w:rPr>
          <w:rFonts w:ascii="Arial" w:cs="Arial" w:eastAsia="Arial" w:hAnsi="Arial"/>
          <w:sz w:val="35"/>
          <w:szCs w:val="35"/>
          <w:color w:val="auto"/>
          <w:vertAlign w:val="superscript"/>
        </w:rPr>
        <w:t>(1)</w:t>
      </w:r>
    </w:p>
    <w:p>
      <w:pPr>
        <w:spacing w:after="0" w:line="1" w:lineRule="exact"/>
        <w:rPr>
          <w:rFonts w:ascii="Arial" w:cs="Arial" w:eastAsia="Arial" w:hAnsi="Arial"/>
          <w:sz w:val="21"/>
          <w:szCs w:val="21"/>
          <w:color w:val="auto"/>
        </w:rPr>
      </w:pPr>
    </w:p>
    <w:p>
      <w:pPr>
        <w:ind w:left="1180" w:hanging="328"/>
        <w:spacing w:after="0"/>
        <w:tabs>
          <w:tab w:leader="none" w:pos="1180" w:val="left"/>
        </w:tabs>
        <w:numPr>
          <w:ilvl w:val="2"/>
          <w:numId w:val="12"/>
        </w:numPr>
        <w:rPr>
          <w:rFonts w:ascii="Arial" w:cs="Arial" w:eastAsia="Arial" w:hAnsi="Arial"/>
          <w:sz w:val="21"/>
          <w:szCs w:val="21"/>
          <w:color w:val="auto"/>
        </w:rPr>
      </w:pPr>
      <w:r>
        <w:rPr>
          <w:rFonts w:ascii="Arial" w:cs="Arial" w:eastAsia="Arial" w:hAnsi="Arial"/>
          <w:sz w:val="27"/>
          <w:szCs w:val="27"/>
          <w:color w:val="auto"/>
        </w:rPr>
        <w:t>3x growth from 2008</w:t>
      </w:r>
    </w:p>
    <w:p>
      <w:pPr>
        <w:spacing w:after="0" w:line="171" w:lineRule="exact"/>
        <w:rPr>
          <w:rFonts w:ascii="Arial" w:cs="Arial" w:eastAsia="Arial" w:hAnsi="Arial"/>
          <w:sz w:val="21"/>
          <w:szCs w:val="21"/>
          <w:color w:val="auto"/>
        </w:rPr>
      </w:pPr>
    </w:p>
    <w:p>
      <w:pPr>
        <w:ind w:left="320" w:hanging="263"/>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4"/>
          <w:szCs w:val="24"/>
          <w:b w:val="1"/>
          <w:bCs w:val="1"/>
          <w:color w:val="auto"/>
        </w:rPr>
        <w:t>Morethanone-thirdofmobileusersdownloadringtonesfromvarioussources</w:t>
      </w:r>
      <w:r>
        <w:rPr>
          <w:rFonts w:ascii="Arial" w:cs="Arial" w:eastAsia="Arial" w:hAnsi="Arial"/>
          <w:sz w:val="32"/>
          <w:szCs w:val="32"/>
          <w:color w:val="auto"/>
          <w:vertAlign w:val="superscript"/>
        </w:rPr>
        <w:t>(1)</w:t>
      </w:r>
    </w:p>
    <w:p>
      <w:pPr>
        <w:ind w:left="780" w:hanging="326"/>
        <w:spacing w:after="0"/>
        <w:tabs>
          <w:tab w:leader="none" w:pos="780" w:val="left"/>
        </w:tabs>
        <w:numPr>
          <w:ilvl w:val="1"/>
          <w:numId w:val="12"/>
        </w:numPr>
        <w:rPr>
          <w:rFonts w:ascii="Arial" w:cs="Arial" w:eastAsia="Arial" w:hAnsi="Arial"/>
          <w:sz w:val="21"/>
          <w:szCs w:val="21"/>
          <w:color w:val="auto"/>
        </w:rPr>
      </w:pPr>
      <w:r>
        <w:rPr>
          <w:rFonts w:ascii="Arial" w:cs="Arial" w:eastAsia="Arial" w:hAnsi="Arial"/>
          <w:sz w:val="27"/>
          <w:szCs w:val="27"/>
          <w:color w:val="auto"/>
        </w:rPr>
        <w:t>40% of such users frequently change their ringtones</w:t>
      </w:r>
    </w:p>
    <w:p>
      <w:pPr>
        <w:spacing w:after="0" w:line="187" w:lineRule="exact"/>
        <w:rPr>
          <w:rFonts w:ascii="Arial" w:cs="Arial" w:eastAsia="Arial" w:hAnsi="Arial"/>
          <w:sz w:val="21"/>
          <w:szCs w:val="21"/>
          <w:color w:val="auto"/>
        </w:rPr>
      </w:pPr>
    </w:p>
    <w:p>
      <w:pPr>
        <w:ind w:left="320" w:hanging="263"/>
        <w:spacing w:after="0"/>
        <w:tabs>
          <w:tab w:leader="none" w:pos="320" w:val="left"/>
        </w:tabs>
        <w:numPr>
          <w:ilvl w:val="0"/>
          <w:numId w:val="12"/>
        </w:numPr>
        <w:rPr>
          <w:rFonts w:ascii="Arial" w:cs="Arial" w:eastAsia="Arial" w:hAnsi="Arial"/>
          <w:sz w:val="21"/>
          <w:szCs w:val="21"/>
          <w:color w:val="auto"/>
        </w:rPr>
      </w:pPr>
      <w:r>
        <w:rPr>
          <w:rFonts w:ascii="Arial" w:cs="Arial" w:eastAsia="Arial" w:hAnsi="Arial"/>
          <w:sz w:val="27"/>
          <w:szCs w:val="27"/>
          <w:b w:val="1"/>
          <w:bCs w:val="1"/>
          <w:color w:val="auto"/>
        </w:rPr>
        <w:t>Ringtone business has seen little innovation since 2004</w:t>
      </w:r>
    </w:p>
    <w:p>
      <w:pPr>
        <w:spacing w:after="0" w:line="41" w:lineRule="exact"/>
        <w:rPr>
          <w:rFonts w:ascii="Arial" w:cs="Arial" w:eastAsia="Arial" w:hAnsi="Arial"/>
          <w:sz w:val="21"/>
          <w:szCs w:val="21"/>
          <w:color w:val="auto"/>
        </w:rPr>
      </w:pPr>
    </w:p>
    <w:p>
      <w:pPr>
        <w:ind w:left="780" w:hanging="326"/>
        <w:spacing w:after="0"/>
        <w:tabs>
          <w:tab w:leader="none" w:pos="780" w:val="left"/>
        </w:tabs>
        <w:numPr>
          <w:ilvl w:val="1"/>
          <w:numId w:val="12"/>
        </w:numPr>
        <w:rPr>
          <w:rFonts w:ascii="Arial" w:cs="Arial" w:eastAsia="Arial" w:hAnsi="Arial"/>
          <w:sz w:val="21"/>
          <w:szCs w:val="21"/>
          <w:color w:val="auto"/>
        </w:rPr>
      </w:pPr>
      <w:r>
        <w:rPr>
          <w:rFonts w:ascii="Arial" w:cs="Arial" w:eastAsia="Arial" w:hAnsi="Arial"/>
          <w:sz w:val="27"/>
          <w:szCs w:val="27"/>
          <w:color w:val="auto"/>
        </w:rPr>
        <w:t>Market ready for next evolution of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8"/>
        <w:spacing w:after="0"/>
        <w:tabs>
          <w:tab w:leader="none" w:pos="4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IpsosMediaCT</w:t>
      </w:r>
    </w:p>
    <w:p>
      <w:pPr>
        <w:spacing w:after="0" w:line="33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FFFFFF"/>
        </w:rPr>
        <w:t>- Page 12-</w:t>
      </w:r>
    </w:p>
    <w:p>
      <w:pPr>
        <w:sectPr>
          <w:pgSz w:w="11900" w:h="16838" w:orient="portrait"/>
          <w:cols w:equalWidth="0" w:num="1">
            <w:col w:w="9879"/>
          </w:cols>
          <w:pgMar w:left="580" w:top="497" w:right="1440" w:bottom="1440" w:gutter="0" w:footer="0" w:header="0"/>
        </w:sectPr>
      </w:pPr>
    </w:p>
    <w:bookmarkStart w:id="15" w:name="page16"/>
    <w:bookmarkEnd w:id="15"/>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Getting a New VringoOnto a Phone</w:t>
      </w:r>
    </w:p>
    <w:p>
      <w:pPr>
        <w:sectPr>
          <w:pgSz w:w="11900" w:h="16838" w:orient="portrait"/>
          <w:cols w:equalWidth="0" w:num="1">
            <w:col w:w="10460"/>
          </w:cols>
          <w:pgMar w:left="580" w:top="497" w:right="859" w:bottom="1440" w:gutter="0" w:footer="0" w:header="0"/>
        </w:sectPr>
      </w:pPr>
    </w:p>
    <w:p>
      <w:pPr>
        <w:spacing w:after="0" w:line="26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Justin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spacing w:after="0"/>
        <w:rPr>
          <w:sz w:val="20"/>
          <w:szCs w:val="20"/>
          <w:color w:val="auto"/>
        </w:rPr>
      </w:pPr>
      <w:r>
        <w:rPr>
          <w:rFonts w:ascii="Arial" w:cs="Arial" w:eastAsia="Arial" w:hAnsi="Arial"/>
          <w:sz w:val="23"/>
          <w:szCs w:val="23"/>
          <w:color w:val="auto"/>
        </w:rPr>
        <w:t>5. New Vringois cached on</w:t>
      </w:r>
    </w:p>
    <w:p>
      <w:pPr>
        <w:spacing w:after="0" w:line="12" w:lineRule="exact"/>
        <w:rPr>
          <w:sz w:val="20"/>
          <w:szCs w:val="20"/>
          <w:color w:val="auto"/>
        </w:rPr>
      </w:pPr>
    </w:p>
    <w:p>
      <w:pPr>
        <w:ind w:left="1380"/>
        <w:spacing w:after="0" w:line="204" w:lineRule="auto"/>
        <w:rPr>
          <w:sz w:val="20"/>
          <w:szCs w:val="20"/>
          <w:color w:val="auto"/>
        </w:rPr>
      </w:pPr>
      <w:r>
        <w:rPr>
          <w:rFonts w:ascii="Arial" w:cs="Arial" w:eastAsia="Arial" w:hAnsi="Arial"/>
          <w:sz w:val="23"/>
          <w:szCs w:val="23"/>
          <w:color w:val="auto"/>
        </w:rPr>
        <w:t xml:space="preserve">handsets, ready to be played </w:t>
      </w:r>
      <w:r>
        <w:rPr>
          <w:rFonts w:ascii="Arial" w:cs="Arial" w:eastAsia="Arial" w:hAnsi="Arial"/>
          <w:sz w:val="35"/>
          <w:szCs w:val="35"/>
          <w:color w:val="C0504D"/>
          <w:vertAlign w:val="subscript"/>
        </w:rPr>
        <w:t>HTTP</w:t>
      </w:r>
      <w:r>
        <w:rPr>
          <w:rFonts w:ascii="Arial" w:cs="Arial" w:eastAsia="Arial" w:hAnsi="Arial"/>
          <w:sz w:val="23"/>
          <w:szCs w:val="23"/>
          <w:color w:val="auto"/>
        </w:rPr>
        <w:t xml:space="preserve"> whenever Justin calls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261" w:right="700" w:hanging="261"/>
        <w:spacing w:after="0" w:line="259" w:lineRule="auto"/>
        <w:tabs>
          <w:tab w:leader="none" w:pos="261" w:val="left"/>
        </w:tabs>
        <w:numPr>
          <w:ilvl w:val="0"/>
          <w:numId w:val="14"/>
        </w:numPr>
        <w:rPr>
          <w:rFonts w:ascii="Arial" w:cs="Arial" w:eastAsia="Arial" w:hAnsi="Arial"/>
          <w:sz w:val="23"/>
          <w:szCs w:val="23"/>
          <w:color w:val="auto"/>
        </w:rPr>
      </w:pPr>
      <w:r>
        <w:rPr>
          <w:rFonts w:ascii="Arial" w:cs="Arial" w:eastAsia="Arial" w:hAnsi="Arial"/>
          <w:sz w:val="23"/>
          <w:szCs w:val="23"/>
          <w:color w:val="auto"/>
        </w:rPr>
        <w:t>Justin logs onto Vringo.comon his PC/mobile or browses through his Vringo application for a new clip</w:t>
      </w:r>
    </w:p>
    <w:p>
      <w:pPr>
        <w:spacing w:after="0" w:line="499" w:lineRule="exact"/>
        <w:rPr>
          <w:sz w:val="20"/>
          <w:szCs w:val="20"/>
          <w:color w:val="auto"/>
        </w:rPr>
      </w:pPr>
    </w:p>
    <w:p>
      <w:pPr>
        <w:sectPr>
          <w:pgSz w:w="11900" w:h="16838" w:orient="portrait"/>
          <w:cols w:equalWidth="0" w:num="2">
            <w:col w:w="6500" w:space="459"/>
            <w:col w:w="3501"/>
          </w:cols>
          <w:pgMar w:left="580" w:top="49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Vringoclients</w:t>
      </w:r>
    </w:p>
    <w:p>
      <w:pPr>
        <w:sectPr>
          <w:pgSz w:w="11900" w:h="16838" w:orient="portrait"/>
          <w:cols w:equalWidth="0" w:num="1">
            <w:col w:w="10460"/>
          </w:cols>
          <w:pgMar w:left="580" w:top="49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Vringo.com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VringoMobile App</w:t>
      </w:r>
    </w:p>
    <w:p>
      <w:pPr>
        <w:spacing w:after="0" w:line="381" w:lineRule="exact"/>
        <w:rPr>
          <w:sz w:val="20"/>
          <w:szCs w:val="20"/>
          <w:color w:val="auto"/>
        </w:rPr>
      </w:pPr>
    </w:p>
    <w:p>
      <w:pPr>
        <w:sectPr>
          <w:pgSz w:w="11900" w:h="16838" w:orient="portrait"/>
          <w:cols w:equalWidth="0" w:num="2">
            <w:col w:w="6860" w:space="440"/>
            <w:col w:w="3160"/>
          </w:cols>
          <w:pgMar w:left="580" w:top="49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hanging="263"/>
        <w:spacing w:after="0" w:line="267" w:lineRule="auto"/>
        <w:tabs>
          <w:tab w:leader="none" w:pos="320" w:val="left"/>
        </w:tabs>
        <w:numPr>
          <w:ilvl w:val="0"/>
          <w:numId w:val="15"/>
        </w:numPr>
        <w:rPr>
          <w:rFonts w:ascii="Arial" w:cs="Arial" w:eastAsia="Arial" w:hAnsi="Arial"/>
          <w:sz w:val="23"/>
          <w:szCs w:val="23"/>
          <w:color w:val="auto"/>
        </w:rPr>
      </w:pPr>
      <w:r>
        <w:rPr>
          <w:rFonts w:ascii="Arial" w:cs="Arial" w:eastAsia="Arial" w:hAnsi="Arial"/>
          <w:sz w:val="23"/>
          <w:szCs w:val="23"/>
          <w:color w:val="auto"/>
        </w:rPr>
        <w:t>Justin’s new Vringois automatically sent to all of Justin’s buddies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600"/>
        <w:spacing w:after="0"/>
        <w:rPr>
          <w:sz w:val="20"/>
          <w:szCs w:val="20"/>
          <w:color w:val="auto"/>
        </w:rPr>
      </w:pPr>
      <w:r>
        <w:rPr>
          <w:rFonts w:ascii="Arial" w:cs="Arial" w:eastAsia="Arial" w:hAnsi="Arial"/>
          <w:sz w:val="23"/>
          <w:szCs w:val="23"/>
          <w:color w:val="auto"/>
        </w:rPr>
        <w:t>2. Justin picks out a</w:t>
      </w:r>
    </w:p>
    <w:p>
      <w:pPr>
        <w:spacing w:after="0" w:line="12" w:lineRule="exact"/>
        <w:rPr>
          <w:sz w:val="20"/>
          <w:szCs w:val="20"/>
          <w:color w:val="auto"/>
        </w:rPr>
      </w:pPr>
    </w:p>
    <w:p>
      <w:pPr>
        <w:ind w:left="4860"/>
        <w:spacing w:after="0"/>
        <w:rPr>
          <w:sz w:val="20"/>
          <w:szCs w:val="20"/>
          <w:color w:val="auto"/>
        </w:rPr>
      </w:pPr>
      <w:r>
        <w:rPr>
          <w:rFonts w:ascii="Arial" w:cs="Arial" w:eastAsia="Arial" w:hAnsi="Arial"/>
          <w:sz w:val="23"/>
          <w:szCs w:val="23"/>
          <w:color w:val="auto"/>
        </w:rPr>
        <w:t>Rolling Stones clip and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23"/>
          <w:szCs w:val="23"/>
          <w:color w:val="auto"/>
        </w:rPr>
        <w:t>makes it his phone’s</w:t>
      </w:r>
    </w:p>
    <w:p>
      <w:pPr>
        <w:spacing w:after="0" w:line="187" w:lineRule="auto"/>
        <w:tabs>
          <w:tab w:leader="none" w:pos="4840" w:val="left"/>
        </w:tabs>
        <w:rPr>
          <w:sz w:val="20"/>
          <w:szCs w:val="20"/>
          <w:color w:val="auto"/>
        </w:rPr>
      </w:pPr>
      <w:r>
        <w:rPr>
          <w:rFonts w:ascii="Arial" w:cs="Arial" w:eastAsia="Arial" w:hAnsi="Arial"/>
          <w:sz w:val="21"/>
          <w:szCs w:val="21"/>
          <w:color w:val="C0504D"/>
          <w:vertAlign w:val="superscript"/>
        </w:rPr>
        <w:t>TCP/IP</w:t>
      </w:r>
      <w:r>
        <w:rPr>
          <w:sz w:val="20"/>
          <w:szCs w:val="20"/>
          <w:color w:val="auto"/>
        </w:rPr>
        <w:tab/>
      </w:r>
      <w:r>
        <w:rPr>
          <w:rFonts w:ascii="Arial" w:cs="Arial" w:eastAsia="Arial" w:hAnsi="Arial"/>
          <w:sz w:val="15"/>
          <w:szCs w:val="15"/>
          <w:color w:val="auto"/>
        </w:rPr>
        <w:t>ringtone</w:t>
      </w:r>
    </w:p>
    <w:p>
      <w:pPr>
        <w:spacing w:after="0" w:line="6" w:lineRule="exact"/>
        <w:rPr>
          <w:sz w:val="20"/>
          <w:szCs w:val="20"/>
          <w:color w:val="auto"/>
        </w:rPr>
      </w:pPr>
    </w:p>
    <w:p>
      <w:pPr>
        <w:ind w:left="2660"/>
        <w:spacing w:after="0"/>
        <w:rPr>
          <w:sz w:val="20"/>
          <w:szCs w:val="20"/>
          <w:color w:val="auto"/>
        </w:rPr>
      </w:pPr>
      <w:r>
        <w:rPr>
          <w:rFonts w:ascii="Arial" w:cs="Arial" w:eastAsia="Arial" w:hAnsi="Arial"/>
          <w:sz w:val="18"/>
          <w:szCs w:val="18"/>
          <w:color w:val="C0504D"/>
        </w:rPr>
        <w:t>HTTP</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Vringoserver</w:t>
      </w:r>
    </w:p>
    <w:p>
      <w:pPr>
        <w:spacing w:after="0" w:line="85" w:lineRule="exact"/>
        <w:rPr>
          <w:sz w:val="20"/>
          <w:szCs w:val="20"/>
          <w:color w:val="auto"/>
        </w:rPr>
      </w:pPr>
    </w:p>
    <w:p>
      <w:pPr>
        <w:ind w:left="3380" w:right="1420" w:hanging="269"/>
        <w:spacing w:after="0" w:line="274" w:lineRule="auto"/>
        <w:tabs>
          <w:tab w:leader="none" w:pos="3373" w:val="left"/>
        </w:tabs>
        <w:numPr>
          <w:ilvl w:val="0"/>
          <w:numId w:val="16"/>
        </w:numPr>
        <w:rPr>
          <w:rFonts w:ascii="Arial" w:cs="Arial" w:eastAsia="Arial" w:hAnsi="Arial"/>
          <w:sz w:val="23"/>
          <w:szCs w:val="23"/>
          <w:color w:val="auto"/>
        </w:rPr>
      </w:pPr>
      <w:r>
        <w:rPr>
          <w:rFonts w:ascii="Arial" w:cs="Arial" w:eastAsia="Arial" w:hAnsi="Arial"/>
          <w:sz w:val="23"/>
          <w:szCs w:val="23"/>
          <w:color w:val="auto"/>
        </w:rPr>
        <w:t>Vringoserver is updated immediately</w:t>
      </w:r>
    </w:p>
    <w:p>
      <w:pPr>
        <w:spacing w:after="0" w:line="200" w:lineRule="exact"/>
        <w:rPr>
          <w:sz w:val="20"/>
          <w:szCs w:val="20"/>
          <w:color w:val="auto"/>
        </w:rPr>
      </w:pPr>
    </w:p>
    <w:p>
      <w:pPr>
        <w:sectPr>
          <w:pgSz w:w="11900" w:h="16838" w:orient="portrait"/>
          <w:cols w:equalWidth="0" w:num="2">
            <w:col w:w="2520" w:space="720"/>
            <w:col w:w="7220"/>
          </w:cols>
          <w:pgMar w:left="580" w:top="497" w:right="859" w:bottom="1440" w:gutter="0" w:footer="0" w:header="0"/>
          <w:type w:val="continuous"/>
        </w:sectPr>
      </w:pPr>
    </w:p>
    <w:p>
      <w:pPr>
        <w:spacing w:after="0" w:line="390"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FFFFFF"/>
        </w:rPr>
        <w:t>- Page 13-</w:t>
      </w:r>
    </w:p>
    <w:p>
      <w:pPr>
        <w:sectPr>
          <w:pgSz w:w="11900" w:h="16838" w:orient="portrait"/>
          <w:cols w:equalWidth="0" w:num="1">
            <w:col w:w="10460"/>
          </w:cols>
          <w:pgMar w:left="580" w:top="497" w:right="8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9"/>
          <w:szCs w:val="39"/>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SpecialFeaturesSupportedby VringoTechnology</w:t>
      </w:r>
    </w:p>
    <w:p>
      <w:pPr>
        <w:sectPr>
          <w:pgSz w:w="11900" w:h="16838" w:orient="portrait"/>
          <w:cols w:equalWidth="0" w:num="1">
            <w:col w:w="10120"/>
          </w:cols>
          <w:pgMar w:left="580" w:top="49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00"/>
        <w:spacing w:after="0"/>
        <w:rPr>
          <w:sz w:val="20"/>
          <w:szCs w:val="20"/>
          <w:color w:val="auto"/>
        </w:rPr>
      </w:pPr>
      <w:r>
        <w:rPr>
          <w:rFonts w:ascii="Arial" w:cs="Arial" w:eastAsia="Arial" w:hAnsi="Arial"/>
          <w:sz w:val="25"/>
          <w:szCs w:val="25"/>
          <w:b w:val="1"/>
          <w:bCs w:val="1"/>
          <w:color w:val="FFFFFF"/>
        </w:rPr>
        <w:t>VringForward™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620" w:val="left"/>
        </w:tabs>
        <w:rPr>
          <w:sz w:val="20"/>
          <w:szCs w:val="20"/>
          <w:color w:val="auto"/>
        </w:rPr>
      </w:pPr>
      <w:r>
        <w:rPr>
          <w:rFonts w:ascii="Arial" w:cs="Arial" w:eastAsia="Arial" w:hAnsi="Arial"/>
          <w:sz w:val="27"/>
          <w:szCs w:val="27"/>
          <w:b w:val="1"/>
          <w:bCs w:val="1"/>
          <w:color w:val="FFFFFF"/>
        </w:rPr>
        <w:t>Mobile Video Voting</w:t>
      </w:r>
      <w:r>
        <w:rPr>
          <w:sz w:val="20"/>
          <w:szCs w:val="20"/>
          <w:color w:val="auto"/>
        </w:rPr>
        <w:tab/>
      </w:r>
      <w:r>
        <w:rPr>
          <w:rFonts w:ascii="Arial" w:cs="Arial" w:eastAsia="Arial" w:hAnsi="Arial"/>
          <w:sz w:val="25"/>
          <w:szCs w:val="25"/>
          <w:b w:val="1"/>
          <w:bCs w:val="1"/>
          <w:color w:val="FFFFFF"/>
        </w:rPr>
        <w:t>Context-Appropriate</w:t>
      </w:r>
    </w:p>
    <w:p>
      <w:pPr>
        <w:spacing w:after="0" w:line="41" w:lineRule="exact"/>
        <w:rPr>
          <w:sz w:val="20"/>
          <w:szCs w:val="20"/>
          <w:color w:val="auto"/>
        </w:rPr>
      </w:pPr>
    </w:p>
    <w:p>
      <w:pPr>
        <w:ind w:left="720"/>
        <w:spacing w:after="0"/>
        <w:tabs>
          <w:tab w:leader="none" w:pos="4140" w:val="left"/>
        </w:tabs>
        <w:rPr>
          <w:sz w:val="20"/>
          <w:szCs w:val="20"/>
          <w:color w:val="auto"/>
        </w:rPr>
      </w:pPr>
      <w:r>
        <w:rPr>
          <w:rFonts w:ascii="Arial" w:cs="Arial" w:eastAsia="Arial" w:hAnsi="Arial"/>
          <w:sz w:val="27"/>
          <w:szCs w:val="27"/>
          <w:b w:val="1"/>
          <w:bCs w:val="1"/>
          <w:color w:val="FFFFFF"/>
        </w:rPr>
        <w:t>Rewards</w:t>
      </w:r>
      <w:r>
        <w:rPr>
          <w:sz w:val="20"/>
          <w:szCs w:val="20"/>
          <w:color w:val="auto"/>
        </w:rPr>
        <w:tab/>
      </w:r>
      <w:r>
        <w:rPr>
          <w:rFonts w:ascii="Arial" w:cs="Arial" w:eastAsia="Arial" w:hAnsi="Arial"/>
          <w:sz w:val="27"/>
          <w:szCs w:val="27"/>
          <w:b w:val="1"/>
          <w:bCs w:val="1"/>
          <w:color w:val="FFFFFF"/>
        </w:rPr>
        <w:t>Advertising</w:t>
      </w:r>
    </w:p>
    <w:p>
      <w:pPr>
        <w:spacing w:after="0" w:line="200" w:lineRule="exact"/>
        <w:rPr>
          <w:sz w:val="20"/>
          <w:szCs w:val="20"/>
          <w:color w:val="auto"/>
        </w:rPr>
      </w:pPr>
    </w:p>
    <w:p>
      <w:pPr>
        <w:sectPr>
          <w:pgSz w:w="11900" w:h="16838" w:orient="portrait"/>
          <w:cols w:equalWidth="0" w:num="2">
            <w:col w:w="3080" w:space="720"/>
            <w:col w:w="6320"/>
          </w:cols>
          <w:pgMar w:left="580" w:top="497"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440" w:right="41" w:hanging="262"/>
        <w:spacing w:after="0" w:line="251" w:lineRule="auto"/>
        <w:tabs>
          <w:tab w:leader="none" w:pos="440" w:val="left"/>
        </w:tabs>
        <w:numPr>
          <w:ilvl w:val="0"/>
          <w:numId w:val="17"/>
        </w:numPr>
        <w:rPr>
          <w:rFonts w:ascii="Arial" w:cs="Arial" w:eastAsia="Arial" w:hAnsi="Arial"/>
          <w:sz w:val="27"/>
          <w:szCs w:val="27"/>
          <w:color w:val="auto"/>
        </w:rPr>
      </w:pPr>
      <w:r>
        <w:rPr>
          <w:rFonts w:ascii="Arial" w:cs="Arial" w:eastAsia="Arial" w:hAnsi="Arial"/>
          <w:sz w:val="27"/>
          <w:szCs w:val="27"/>
          <w:color w:val="auto"/>
        </w:rPr>
        <w:t>Decide what ringtone friends see when you call them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79"/>
        <w:spacing w:after="0"/>
        <w:rPr>
          <w:sz w:val="20"/>
          <w:szCs w:val="20"/>
          <w:color w:val="auto"/>
        </w:rPr>
      </w:pPr>
      <w:r>
        <w:rPr>
          <w:rFonts w:ascii="Arial" w:cs="Arial" w:eastAsia="Arial" w:hAnsi="Arial"/>
          <w:sz w:val="12"/>
          <w:szCs w:val="12"/>
          <w:color w:val="FF0000"/>
        </w:rPr>
        <w:t>Thanks for</w:t>
      </w:r>
    </w:p>
    <w:p>
      <w:pPr>
        <w:ind w:left="1079"/>
        <w:spacing w:after="0"/>
        <w:rPr>
          <w:sz w:val="20"/>
          <w:szCs w:val="20"/>
          <w:color w:val="auto"/>
        </w:rPr>
      </w:pPr>
      <w:r>
        <w:rPr>
          <w:rFonts w:ascii="Arial" w:cs="Arial" w:eastAsia="Arial" w:hAnsi="Arial"/>
          <w:sz w:val="12"/>
          <w:szCs w:val="12"/>
          <w:color w:val="FF0000"/>
        </w:rPr>
        <w:t>voting! Get</w:t>
      </w:r>
    </w:p>
    <w:p>
      <w:pPr>
        <w:spacing w:after="0" w:line="6" w:lineRule="exact"/>
        <w:rPr>
          <w:sz w:val="20"/>
          <w:szCs w:val="20"/>
          <w:color w:val="auto"/>
        </w:rPr>
      </w:pPr>
    </w:p>
    <w:p>
      <w:pPr>
        <w:ind w:left="79"/>
        <w:spacing w:after="0"/>
        <w:tabs>
          <w:tab w:leader="none" w:pos="1018" w:val="left"/>
        </w:tabs>
        <w:rPr>
          <w:sz w:val="20"/>
          <w:szCs w:val="20"/>
          <w:color w:val="auto"/>
        </w:rPr>
      </w:pPr>
      <w:r>
        <w:rPr>
          <w:rFonts w:ascii="Arial" w:cs="Arial" w:eastAsia="Arial" w:hAnsi="Arial"/>
          <w:sz w:val="12"/>
          <w:szCs w:val="12"/>
          <w:color w:val="FF0000"/>
        </w:rPr>
        <w:t>Vote!!!</w:t>
      </w:r>
      <w:r>
        <w:rPr>
          <w:sz w:val="20"/>
          <w:szCs w:val="20"/>
          <w:color w:val="auto"/>
        </w:rPr>
        <w:tab/>
      </w:r>
      <w:r>
        <w:rPr>
          <w:rFonts w:ascii="Arial" w:cs="Arial" w:eastAsia="Arial" w:hAnsi="Arial"/>
          <w:sz w:val="12"/>
          <w:szCs w:val="12"/>
          <w:color w:val="FF0000"/>
        </w:rPr>
        <w:t>an exclusive</w:t>
      </w:r>
    </w:p>
    <w:p>
      <w:pPr>
        <w:spacing w:after="0" w:line="6" w:lineRule="exact"/>
        <w:rPr>
          <w:sz w:val="20"/>
          <w:szCs w:val="20"/>
          <w:color w:val="auto"/>
        </w:rPr>
      </w:pPr>
    </w:p>
    <w:p>
      <w:pPr>
        <w:ind w:left="1019"/>
        <w:spacing w:after="0"/>
        <w:rPr>
          <w:sz w:val="20"/>
          <w:szCs w:val="20"/>
          <w:color w:val="auto"/>
        </w:rPr>
      </w:pPr>
      <w:r>
        <w:rPr>
          <w:rFonts w:ascii="Arial" w:cs="Arial" w:eastAsia="Arial" w:hAnsi="Arial"/>
          <w:sz w:val="12"/>
          <w:szCs w:val="12"/>
          <w:color w:val="FF0000"/>
        </w:rPr>
        <w:t>video clip at:</w:t>
      </w:r>
    </w:p>
    <w:p>
      <w:pPr>
        <w:spacing w:after="0" w:line="6" w:lineRule="exact"/>
        <w:rPr>
          <w:sz w:val="20"/>
          <w:szCs w:val="20"/>
          <w:color w:val="auto"/>
        </w:rPr>
      </w:pPr>
    </w:p>
    <w:p>
      <w:pPr>
        <w:ind w:left="1079"/>
        <w:spacing w:after="0"/>
        <w:rPr>
          <w:sz w:val="20"/>
          <w:szCs w:val="20"/>
          <w:color w:val="auto"/>
        </w:rPr>
      </w:pPr>
      <w:r>
        <w:rPr>
          <w:rFonts w:ascii="Arial" w:cs="Arial" w:eastAsia="Arial" w:hAnsi="Arial"/>
          <w:sz w:val="12"/>
          <w:szCs w:val="12"/>
          <w:color w:val="0000FF"/>
        </w:rPr>
        <w:t>http://URL</w:t>
      </w:r>
    </w:p>
    <w:p>
      <w:pPr>
        <w:spacing w:after="0" w:line="200" w:lineRule="exact"/>
        <w:rPr>
          <w:sz w:val="20"/>
          <w:szCs w:val="20"/>
          <w:color w:val="auto"/>
        </w:rPr>
      </w:pPr>
    </w:p>
    <w:p>
      <w:pPr>
        <w:spacing w:after="0" w:line="305" w:lineRule="exact"/>
        <w:rPr>
          <w:sz w:val="20"/>
          <w:szCs w:val="20"/>
          <w:color w:val="auto"/>
        </w:rPr>
      </w:pPr>
    </w:p>
    <w:p>
      <w:pPr>
        <w:ind w:left="259" w:hanging="259"/>
        <w:spacing w:after="0" w:line="251" w:lineRule="auto"/>
        <w:tabs>
          <w:tab w:leader="none" w:pos="259" w:val="left"/>
        </w:tabs>
        <w:numPr>
          <w:ilvl w:val="0"/>
          <w:numId w:val="18"/>
        </w:numPr>
        <w:rPr>
          <w:rFonts w:ascii="Arial" w:cs="Arial" w:eastAsia="Arial" w:hAnsi="Arial"/>
          <w:sz w:val="27"/>
          <w:szCs w:val="27"/>
          <w:color w:val="auto"/>
        </w:rPr>
      </w:pPr>
      <w:r>
        <w:rPr>
          <w:rFonts w:ascii="Arial" w:cs="Arial" w:eastAsia="Arial" w:hAnsi="Arial"/>
          <w:sz w:val="27"/>
          <w:szCs w:val="27"/>
          <w:color w:val="auto"/>
        </w:rPr>
        <w:t>Get video ringtones as rewards for voting on contest shows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527"/>
        <w:spacing w:after="0"/>
        <w:rPr>
          <w:sz w:val="20"/>
          <w:szCs w:val="20"/>
          <w:color w:val="auto"/>
        </w:rPr>
      </w:pPr>
      <w:r>
        <w:rPr>
          <w:rFonts w:ascii="Arial" w:cs="Arial" w:eastAsia="Arial" w:hAnsi="Arial"/>
          <w:sz w:val="21"/>
          <w:szCs w:val="21"/>
          <w:b w:val="1"/>
          <w:bCs w:val="1"/>
          <w:color w:val="auto"/>
        </w:rPr>
        <w:t>Your Favorite Brand</w:t>
      </w:r>
    </w:p>
    <w:p>
      <w:pPr>
        <w:spacing w:after="0" w:line="187" w:lineRule="exact"/>
        <w:rPr>
          <w:sz w:val="20"/>
          <w:szCs w:val="20"/>
          <w:color w:val="auto"/>
        </w:rPr>
      </w:pPr>
    </w:p>
    <w:p>
      <w:pPr>
        <w:ind w:left="327"/>
        <w:spacing w:after="0"/>
        <w:rPr>
          <w:sz w:val="20"/>
          <w:szCs w:val="20"/>
          <w:color w:val="auto"/>
        </w:rPr>
      </w:pPr>
      <w:r>
        <w:rPr>
          <w:rFonts w:ascii="Arial" w:cs="Arial" w:eastAsia="Arial" w:hAnsi="Arial"/>
          <w:sz w:val="27"/>
          <w:szCs w:val="27"/>
          <w:color w:val="FFFFFF"/>
        </w:rPr>
        <w:t>Brought to you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7" w:hanging="267"/>
        <w:spacing w:after="0" w:line="249" w:lineRule="auto"/>
        <w:tabs>
          <w:tab w:leader="none" w:pos="267" w:val="left"/>
        </w:tabs>
        <w:numPr>
          <w:ilvl w:val="0"/>
          <w:numId w:val="19"/>
        </w:numPr>
        <w:rPr>
          <w:rFonts w:ascii="Arial" w:cs="Arial" w:eastAsia="Arial" w:hAnsi="Arial"/>
          <w:sz w:val="27"/>
          <w:szCs w:val="27"/>
          <w:color w:val="auto"/>
        </w:rPr>
      </w:pPr>
      <w:r>
        <w:rPr>
          <w:rFonts w:ascii="Arial" w:cs="Arial" w:eastAsia="Arial" w:hAnsi="Arial"/>
          <w:sz w:val="27"/>
          <w:szCs w:val="27"/>
          <w:color w:val="auto"/>
        </w:rPr>
        <w:t>Receive relevant commercial messages (post-, pre-roll, post-call)</w:t>
      </w:r>
    </w:p>
    <w:p>
      <w:pPr>
        <w:spacing w:after="0" w:line="200" w:lineRule="exact"/>
        <w:rPr>
          <w:sz w:val="20"/>
          <w:szCs w:val="20"/>
          <w:color w:val="auto"/>
        </w:rPr>
      </w:pPr>
    </w:p>
    <w:p>
      <w:pPr>
        <w:sectPr>
          <w:pgSz w:w="11900" w:h="16838" w:orient="portrait"/>
          <w:cols w:equalWidth="0" w:num="3">
            <w:col w:w="2981" w:space="720"/>
            <w:col w:w="2919" w:space="593"/>
            <w:col w:w="2907"/>
          </w:cols>
          <w:pgMar w:left="580" w:top="497"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FFFFF"/>
        </w:rPr>
        <w:t>- Page 14-</w:t>
      </w:r>
    </w:p>
    <w:p>
      <w:pPr>
        <w:sectPr>
          <w:pgSz w:w="11900" w:h="16838" w:orient="portrait"/>
          <w:cols w:equalWidth="0" w:num="1">
            <w:col w:w="10120"/>
          </w:cols>
          <w:pgMar w:left="580" w:top="497" w:right="11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Future of Mobile Personalization</w:t>
      </w:r>
    </w:p>
    <w:p>
      <w:pPr>
        <w:sectPr>
          <w:pgSz w:w="11900" w:h="16838" w:orient="portrait"/>
          <w:cols w:equalWidth="0" w:num="1">
            <w:col w:w="9900"/>
          </w:cols>
          <w:pgMar w:left="580" w:top="4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A9FF04"/>
        </w:rPr>
        <w:t>Phone</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9FF04"/>
        </w:rPr>
        <w:t>capabilities</w:t>
      </w:r>
    </w:p>
    <w:p>
      <w:pPr>
        <w:spacing w:after="0" w:line="200" w:lineRule="exact"/>
        <w:rPr>
          <w:sz w:val="20"/>
          <w:szCs w:val="20"/>
          <w:color w:val="auto"/>
        </w:rPr>
      </w:pPr>
    </w:p>
    <w:p>
      <w:pPr>
        <w:spacing w:after="0" w:line="373" w:lineRule="exact"/>
        <w:rPr>
          <w:sz w:val="20"/>
          <w:szCs w:val="20"/>
          <w:color w:val="auto"/>
        </w:rPr>
      </w:pPr>
    </w:p>
    <w:p>
      <w:pPr>
        <w:ind w:left="480" w:hanging="76"/>
        <w:spacing w:after="0" w:line="271" w:lineRule="auto"/>
        <w:rPr>
          <w:sz w:val="20"/>
          <w:szCs w:val="20"/>
          <w:color w:val="auto"/>
        </w:rPr>
      </w:pPr>
      <w:r>
        <w:rPr>
          <w:rFonts w:ascii="Arial" w:cs="Arial" w:eastAsia="Arial" w:hAnsi="Arial"/>
          <w:sz w:val="40"/>
          <w:szCs w:val="40"/>
          <w:color w:val="95085B"/>
        </w:rPr>
        <w:t>Vringo’s market</w:t>
      </w:r>
    </w:p>
    <w:p>
      <w:pPr>
        <w:spacing w:after="0" w:line="342" w:lineRule="exact"/>
        <w:rPr>
          <w:sz w:val="20"/>
          <w:szCs w:val="20"/>
          <w:color w:val="auto"/>
        </w:rPr>
      </w:pPr>
    </w:p>
    <w:p>
      <w:pPr>
        <w:jc w:val="center"/>
        <w:ind w:left="420" w:right="40"/>
        <w:spacing w:after="0" w:line="257" w:lineRule="auto"/>
        <w:rPr>
          <w:sz w:val="20"/>
          <w:szCs w:val="20"/>
          <w:color w:val="auto"/>
        </w:rPr>
      </w:pPr>
      <w:r>
        <w:rPr>
          <w:rFonts w:ascii="Arial" w:cs="Arial" w:eastAsia="Arial" w:hAnsi="Arial"/>
          <w:sz w:val="38"/>
          <w:szCs w:val="38"/>
          <w:color w:val="auto"/>
        </w:rPr>
        <w:t>Audio ringtone market today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color w:val="auto"/>
        </w:rPr>
        <w:t>audio</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1"/>
          <w:szCs w:val="21"/>
          <w:color w:val="auto"/>
        </w:rPr>
        <w:t>ring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audio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ring back</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1"/>
                <w:szCs w:val="21"/>
                <w:color w:val="auto"/>
              </w:rPr>
              <w:t>social</w:t>
            </w:r>
          </w:p>
        </w:tc>
        <w:tc>
          <w:tcPr>
            <w:tcW w:w="1600" w:type="dxa"/>
            <w:vAlign w:val="bottom"/>
            <w:vMerge w:val="restart"/>
          </w:tcPr>
          <w:p>
            <w:pPr>
              <w:jc w:val="center"/>
              <w:ind w:left="155"/>
              <w:spacing w:after="0"/>
              <w:rPr>
                <w:sz w:val="20"/>
                <w:szCs w:val="20"/>
                <w:color w:val="auto"/>
              </w:rPr>
            </w:pPr>
            <w:r>
              <w:rPr>
                <w:rFonts w:ascii="Arial" w:cs="Arial" w:eastAsia="Arial" w:hAnsi="Arial"/>
                <w:sz w:val="21"/>
                <w:szCs w:val="21"/>
                <w:b w:val="1"/>
                <w:bCs w:val="1"/>
                <w:color w:val="FFFFFF"/>
                <w:w w:val="99"/>
              </w:rPr>
              <w:t>Better user</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1"/>
                <w:szCs w:val="21"/>
                <w:color w:val="auto"/>
                <w:w w:val="98"/>
              </w:rPr>
              <w:t>personal-</w:t>
            </w: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98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21"/>
                <w:szCs w:val="21"/>
                <w:color w:val="auto"/>
                <w:w w:val="99"/>
              </w:rPr>
              <w:t>video</w:t>
            </w:r>
          </w:p>
        </w:tc>
        <w:tc>
          <w:tcPr>
            <w:tcW w:w="1320" w:type="dxa"/>
            <w:vAlign w:val="bottom"/>
            <w:vMerge w:val="continue"/>
          </w:tcPr>
          <w:p>
            <w:pPr>
              <w:spacing w:after="0"/>
              <w:rPr>
                <w:sz w:val="8"/>
                <w:szCs w:val="8"/>
                <w:color w:val="auto"/>
              </w:rPr>
            </w:pPr>
          </w:p>
        </w:tc>
        <w:tc>
          <w:tcPr>
            <w:tcW w:w="1600" w:type="dxa"/>
            <w:vAlign w:val="bottom"/>
            <w:vMerge w:val="restart"/>
          </w:tcPr>
          <w:p>
            <w:pPr>
              <w:jc w:val="center"/>
              <w:ind w:left="155"/>
              <w:spacing w:after="0"/>
              <w:rPr>
                <w:sz w:val="20"/>
                <w:szCs w:val="20"/>
                <w:color w:val="auto"/>
              </w:rPr>
            </w:pPr>
            <w:r>
              <w:rPr>
                <w:rFonts w:ascii="Arial" w:cs="Arial" w:eastAsia="Arial" w:hAnsi="Arial"/>
                <w:sz w:val="21"/>
                <w:szCs w:val="21"/>
                <w:b w:val="1"/>
                <w:bCs w:val="1"/>
                <w:color w:val="FFFFFF"/>
              </w:rPr>
              <w:t>experience</w:t>
            </w:r>
          </w:p>
        </w:tc>
        <w:tc>
          <w:tcPr>
            <w:tcW w:w="0" w:type="dxa"/>
            <w:vAlign w:val="bottom"/>
          </w:tcPr>
          <w:p>
            <w:pPr>
              <w:spacing w:after="0"/>
              <w:rPr>
                <w:sz w:val="1"/>
                <w:szCs w:val="1"/>
                <w:color w:val="auto"/>
              </w:rPr>
            </w:pPr>
          </w:p>
        </w:tc>
      </w:tr>
      <w:tr>
        <w:trPr>
          <w:trHeight w:val="177"/>
        </w:trPr>
        <w:tc>
          <w:tcPr>
            <w:tcW w:w="9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320" w:type="dxa"/>
            <w:vAlign w:val="bottom"/>
            <w:vMerge w:val="restart"/>
          </w:tcPr>
          <w:p>
            <w:pPr>
              <w:jc w:val="center"/>
              <w:spacing w:after="0" w:line="223" w:lineRule="exact"/>
              <w:rPr>
                <w:sz w:val="20"/>
                <w:szCs w:val="20"/>
                <w:color w:val="auto"/>
              </w:rPr>
            </w:pPr>
            <w:r>
              <w:rPr>
                <w:rFonts w:ascii="Arial" w:cs="Arial" w:eastAsia="Arial" w:hAnsi="Arial"/>
                <w:sz w:val="21"/>
                <w:szCs w:val="21"/>
                <w:color w:val="auto"/>
                <w:w w:val="98"/>
              </w:rPr>
              <w:t>ization</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98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80" w:type="dxa"/>
            <w:vAlign w:val="bottom"/>
            <w:vMerge w:val="restart"/>
          </w:tcPr>
          <w:p>
            <w:pPr>
              <w:jc w:val="center"/>
              <w:ind w:right="95"/>
              <w:spacing w:after="0"/>
              <w:rPr>
                <w:sz w:val="20"/>
                <w:szCs w:val="20"/>
                <w:color w:val="auto"/>
              </w:rPr>
            </w:pPr>
            <w:r>
              <w:rPr>
                <w:rFonts w:ascii="Arial" w:cs="Arial" w:eastAsia="Arial" w:hAnsi="Arial"/>
                <w:sz w:val="21"/>
                <w:szCs w:val="21"/>
                <w:color w:val="auto"/>
                <w:w w:val="99"/>
              </w:rPr>
              <w:t>video</w:t>
            </w:r>
          </w:p>
        </w:tc>
        <w:tc>
          <w:tcPr>
            <w:tcW w:w="1260" w:type="dxa"/>
            <w:vAlign w:val="bottom"/>
          </w:tcPr>
          <w:p>
            <w:pPr>
              <w:jc w:val="center"/>
              <w:spacing w:after="0"/>
              <w:rPr>
                <w:sz w:val="20"/>
                <w:szCs w:val="20"/>
                <w:color w:val="auto"/>
              </w:rPr>
            </w:pPr>
            <w:r>
              <w:rPr>
                <w:rFonts w:ascii="Arial" w:cs="Arial" w:eastAsia="Arial" w:hAnsi="Arial"/>
                <w:sz w:val="21"/>
                <w:szCs w:val="21"/>
                <w:color w:val="auto"/>
                <w:w w:val="98"/>
              </w:rPr>
              <w:t>ringback/</w:t>
            </w:r>
          </w:p>
        </w:tc>
        <w:tc>
          <w:tcPr>
            <w:tcW w:w="1320" w:type="dxa"/>
            <w:vAlign w:val="bottom"/>
          </w:tcPr>
          <w:p>
            <w:pPr>
              <w:jc w:val="center"/>
              <w:spacing w:after="0"/>
              <w:rPr>
                <w:sz w:val="20"/>
                <w:szCs w:val="20"/>
                <w:color w:val="auto"/>
              </w:rPr>
            </w:pPr>
            <w:r>
              <w:rPr>
                <w:rFonts w:ascii="Arial" w:cs="Arial" w:eastAsia="Arial" w:hAnsi="Arial"/>
                <w:sz w:val="21"/>
                <w:szCs w:val="21"/>
                <w:color w:val="auto"/>
                <w:w w:val="99"/>
              </w:rPr>
              <w:t>tools</w:t>
            </w:r>
          </w:p>
        </w:tc>
        <w:tc>
          <w:tcPr>
            <w:tcW w:w="1600" w:type="dxa"/>
            <w:vAlign w:val="bottom"/>
            <w:vMerge w:val="restart"/>
          </w:tcPr>
          <w:p>
            <w:pPr>
              <w:ind w:left="240"/>
              <w:spacing w:after="0"/>
              <w:rPr>
                <w:sz w:val="20"/>
                <w:szCs w:val="20"/>
                <w:color w:val="auto"/>
              </w:rPr>
            </w:pPr>
            <w:r>
              <w:rPr>
                <w:rFonts w:ascii="Arial" w:cs="Arial" w:eastAsia="Arial" w:hAnsi="Arial"/>
                <w:sz w:val="21"/>
                <w:szCs w:val="21"/>
                <w:b w:val="1"/>
                <w:bCs w:val="1"/>
                <w:color w:val="FFFFFF"/>
              </w:rPr>
              <w:t>New revenue</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21"/>
                <w:szCs w:val="21"/>
                <w:color w:val="auto"/>
              </w:rPr>
              <w:t>ring</w:t>
            </w:r>
          </w:p>
        </w:tc>
        <w:tc>
          <w:tcPr>
            <w:tcW w:w="13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jc w:val="center"/>
              <w:ind w:right="115"/>
              <w:spacing w:after="0"/>
              <w:rPr>
                <w:sz w:val="20"/>
                <w:szCs w:val="20"/>
                <w:color w:val="auto"/>
              </w:rPr>
            </w:pPr>
            <w:r>
              <w:rPr>
                <w:rFonts w:ascii="Arial" w:cs="Arial" w:eastAsia="Arial" w:hAnsi="Arial"/>
                <w:sz w:val="21"/>
                <w:szCs w:val="21"/>
                <w:color w:val="auto"/>
              </w:rPr>
              <w:t>ringtone</w:t>
            </w:r>
          </w:p>
        </w:tc>
        <w:tc>
          <w:tcPr>
            <w:tcW w:w="12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600" w:type="dxa"/>
            <w:vAlign w:val="bottom"/>
            <w:vMerge w:val="restart"/>
          </w:tcPr>
          <w:p>
            <w:pPr>
              <w:jc w:val="center"/>
              <w:ind w:left="155"/>
              <w:spacing w:after="0"/>
              <w:rPr>
                <w:sz w:val="20"/>
                <w:szCs w:val="20"/>
                <w:color w:val="auto"/>
              </w:rPr>
            </w:pPr>
            <w:r>
              <w:rPr>
                <w:rFonts w:ascii="Arial" w:cs="Arial" w:eastAsia="Arial" w:hAnsi="Arial"/>
                <w:sz w:val="21"/>
                <w:szCs w:val="21"/>
                <w:b w:val="1"/>
                <w:bCs w:val="1"/>
                <w:color w:val="FFFFFF"/>
                <w:w w:val="99"/>
              </w:rPr>
              <w:t>opportunities</w:t>
            </w:r>
          </w:p>
        </w:tc>
        <w:tc>
          <w:tcPr>
            <w:tcW w:w="0" w:type="dxa"/>
            <w:vAlign w:val="bottom"/>
          </w:tcPr>
          <w:p>
            <w:pPr>
              <w:spacing w:after="0"/>
              <w:rPr>
                <w:sz w:val="1"/>
                <w:szCs w:val="1"/>
                <w:color w:val="auto"/>
              </w:rPr>
            </w:pPr>
          </w:p>
        </w:tc>
      </w:tr>
      <w:tr>
        <w:trPr>
          <w:trHeight w:val="252"/>
        </w:trPr>
        <w:tc>
          <w:tcPr>
            <w:tcW w:w="980" w:type="dxa"/>
            <w:vAlign w:val="bottom"/>
            <w:vMerge w:val="continue"/>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1"/>
                <w:szCs w:val="21"/>
                <w:color w:val="auto"/>
                <w:w w:val="99"/>
              </w:rPr>
              <w:t>forward</w:t>
            </w:r>
          </w:p>
        </w:tc>
        <w:tc>
          <w:tcPr>
            <w:tcW w:w="13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410" w:lineRule="exact"/>
        <w:rPr>
          <w:sz w:val="20"/>
          <w:szCs w:val="20"/>
          <w:color w:val="auto"/>
        </w:rPr>
      </w:pPr>
    </w:p>
    <w:p>
      <w:pPr>
        <w:sectPr>
          <w:pgSz w:w="11900" w:h="16838" w:orient="portrait"/>
          <w:cols w:equalWidth="0" w:num="4">
            <w:col w:w="1860" w:space="440"/>
            <w:col w:w="520" w:space="580"/>
            <w:col w:w="840" w:space="500"/>
            <w:col w:w="5160"/>
          </w:cols>
          <w:pgMar w:left="580" w:top="4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FFFFFF"/>
        </w:rPr>
        <w:t>- Page 15 -</w:t>
      </w:r>
    </w:p>
    <w:p>
      <w:pPr>
        <w:sectPr>
          <w:pgSz w:w="11900" w:h="16838" w:orient="portrait"/>
          <w:cols w:equalWidth="0" w:num="1">
            <w:col w:w="9900"/>
          </w:cols>
          <w:pgMar w:left="580" w:top="497" w:right="14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Four Product Platform Components</w:t>
      </w:r>
    </w:p>
    <w:p>
      <w:pPr>
        <w:spacing w:after="0" w:line="324" w:lineRule="exact"/>
        <w:rPr>
          <w:sz w:val="20"/>
          <w:szCs w:val="20"/>
          <w:color w:val="auto"/>
        </w:rPr>
      </w:pPr>
    </w:p>
    <w:p>
      <w:pPr>
        <w:spacing w:after="0"/>
        <w:tabs>
          <w:tab w:leader="none" w:pos="5280" w:val="left"/>
        </w:tabs>
        <w:rPr>
          <w:sz w:val="20"/>
          <w:szCs w:val="20"/>
          <w:color w:val="auto"/>
        </w:rPr>
      </w:pPr>
      <w:r>
        <w:rPr>
          <w:rFonts w:ascii="Arial" w:cs="Arial" w:eastAsia="Arial" w:hAnsi="Arial"/>
          <w:sz w:val="27"/>
          <w:szCs w:val="27"/>
          <w:b w:val="1"/>
          <w:bCs w:val="1"/>
          <w:color w:val="FFFFFF"/>
        </w:rPr>
        <w:t>Mobile application</w:t>
      </w:r>
      <w:r>
        <w:rPr>
          <w:sz w:val="20"/>
          <w:szCs w:val="20"/>
          <w:color w:val="auto"/>
        </w:rPr>
        <w:tab/>
      </w:r>
      <w:r>
        <w:rPr>
          <w:rFonts w:ascii="Arial" w:cs="Arial" w:eastAsia="Arial" w:hAnsi="Arial"/>
          <w:sz w:val="25"/>
          <w:szCs w:val="25"/>
          <w:b w:val="1"/>
          <w:bCs w:val="1"/>
          <w:color w:val="FFFFFF"/>
        </w:rPr>
        <w:t>Channelsautomatic- content delivery</w:t>
      </w:r>
    </w:p>
    <w:p>
      <w:pPr>
        <w:spacing w:after="0" w:line="200" w:lineRule="exact"/>
        <w:rPr>
          <w:sz w:val="20"/>
          <w:szCs w:val="20"/>
          <w:color w:val="auto"/>
        </w:rPr>
      </w:pPr>
    </w:p>
    <w:p>
      <w:pPr>
        <w:spacing w:after="0" w:line="363"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F2F2F2"/>
        </w:rPr>
        <w:t>• Customer store front</w:t>
      </w:r>
      <w:r>
        <w:rPr>
          <w:sz w:val="20"/>
          <w:szCs w:val="20"/>
          <w:color w:val="auto"/>
        </w:rPr>
        <w:tab/>
      </w:r>
      <w:r>
        <w:rPr>
          <w:rFonts w:ascii="Arial" w:cs="Arial" w:eastAsia="Arial" w:hAnsi="Arial"/>
          <w:sz w:val="17"/>
          <w:szCs w:val="17"/>
          <w:color w:val="F2F2F2"/>
        </w:rPr>
        <w:t>• Video ringtones have a</w:t>
      </w:r>
    </w:p>
    <w:p>
      <w:pPr>
        <w:spacing w:after="0" w:line="3"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F2F2F2"/>
        </w:rPr>
        <w:t>• Viral marketing engine</w:t>
      </w:r>
      <w:r>
        <w:rPr>
          <w:sz w:val="20"/>
          <w:szCs w:val="20"/>
          <w:color w:val="auto"/>
        </w:rPr>
        <w:tab/>
      </w:r>
      <w:r>
        <w:rPr>
          <w:rFonts w:ascii="Arial" w:cs="Arial" w:eastAsia="Arial" w:hAnsi="Arial"/>
          <w:sz w:val="17"/>
          <w:szCs w:val="17"/>
          <w:color w:val="F2F2F2"/>
        </w:rPr>
        <w:t>shorter shelf life</w:t>
      </w:r>
    </w:p>
    <w:p>
      <w:pPr>
        <w:spacing w:after="0" w:line="3"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F2F2F2"/>
        </w:rPr>
        <w:t>• 300+ handsets</w:t>
      </w:r>
      <w:r>
        <w:rPr>
          <w:sz w:val="20"/>
          <w:szCs w:val="20"/>
          <w:color w:val="auto"/>
        </w:rPr>
        <w:tab/>
      </w:r>
      <w:r>
        <w:rPr>
          <w:rFonts w:ascii="Arial" w:cs="Arial" w:eastAsia="Arial" w:hAnsi="Arial"/>
          <w:sz w:val="17"/>
          <w:szCs w:val="17"/>
          <w:color w:val="F2F2F2"/>
        </w:rPr>
        <w:t>• Customers can</w:t>
      </w:r>
    </w:p>
    <w:p>
      <w:pPr>
        <w:spacing w:after="0" w:line="3"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F2F2F2"/>
        </w:rPr>
        <w:t>• Java, Blackberry, Windows Mobile,</w:t>
      </w:r>
      <w:r>
        <w:rPr>
          <w:sz w:val="20"/>
          <w:szCs w:val="20"/>
          <w:color w:val="auto"/>
        </w:rPr>
        <w:tab/>
      </w:r>
      <w:r>
        <w:rPr>
          <w:rFonts w:ascii="Arial" w:cs="Arial" w:eastAsia="Arial" w:hAnsi="Arial"/>
          <w:sz w:val="17"/>
          <w:szCs w:val="17"/>
          <w:color w:val="F2F2F2"/>
        </w:rPr>
        <w:t>subscribe to automatic</w:t>
      </w:r>
    </w:p>
    <w:p>
      <w:pPr>
        <w:spacing w:after="0" w:line="3" w:lineRule="exact"/>
        <w:rPr>
          <w:sz w:val="20"/>
          <w:szCs w:val="20"/>
          <w:color w:val="auto"/>
        </w:rPr>
      </w:pPr>
    </w:p>
    <w:p>
      <w:pPr>
        <w:ind w:left="100"/>
        <w:spacing w:after="0"/>
        <w:tabs>
          <w:tab w:leader="none" w:pos="5400" w:val="left"/>
        </w:tabs>
        <w:rPr>
          <w:sz w:val="20"/>
          <w:szCs w:val="20"/>
          <w:color w:val="auto"/>
        </w:rPr>
      </w:pPr>
      <w:r>
        <w:rPr>
          <w:rFonts w:ascii="Arial" w:cs="Arial" w:eastAsia="Arial" w:hAnsi="Arial"/>
          <w:sz w:val="18"/>
          <w:szCs w:val="18"/>
          <w:color w:val="F2F2F2"/>
        </w:rPr>
        <w:t>Android, Symbian</w:t>
      </w:r>
      <w:r>
        <w:rPr>
          <w:sz w:val="20"/>
          <w:szCs w:val="20"/>
          <w:color w:val="auto"/>
        </w:rPr>
        <w:tab/>
      </w:r>
      <w:r>
        <w:rPr>
          <w:rFonts w:ascii="Arial" w:cs="Arial" w:eastAsia="Arial" w:hAnsi="Arial"/>
          <w:sz w:val="17"/>
          <w:szCs w:val="17"/>
          <w:color w:val="F2F2F2"/>
        </w:rPr>
        <w:t>content refreshes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F2F2F2"/>
        </w:rPr>
        <w:t>• Opportunity exists to sell premium</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F2F2F2"/>
        </w:rPr>
        <w:t>content bundles based on the core</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F2F2F2"/>
        </w:rPr>
        <w:t>application</w:t>
      </w:r>
    </w:p>
    <w:p>
      <w:pPr>
        <w:sectPr>
          <w:pgSz w:w="11900" w:h="16838" w:orient="portrait"/>
          <w:cols w:equalWidth="0" w:num="1">
            <w:col w:w="9879"/>
          </w:cols>
          <w:pgMar w:left="580" w:top="4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Studio online- ringtone 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right="2560" w:hanging="105"/>
        <w:spacing w:after="0" w:line="257" w:lineRule="auto"/>
        <w:tabs>
          <w:tab w:leader="none" w:pos="140" w:val="left"/>
        </w:tabs>
        <w:numPr>
          <w:ilvl w:val="0"/>
          <w:numId w:val="20"/>
        </w:numPr>
        <w:rPr>
          <w:rFonts w:ascii="Arial" w:cs="Arial" w:eastAsia="Arial" w:hAnsi="Arial"/>
          <w:sz w:val="17"/>
          <w:szCs w:val="17"/>
          <w:color w:val="F2F2F2"/>
        </w:rPr>
      </w:pPr>
      <w:r>
        <w:rPr>
          <w:rFonts w:ascii="Arial" w:cs="Arial" w:eastAsia="Arial" w:hAnsi="Arial"/>
          <w:sz w:val="17"/>
          <w:szCs w:val="17"/>
          <w:color w:val="F2F2F2"/>
        </w:rPr>
        <w:t>World’s first Web-based video ringtone editor</w:t>
      </w:r>
    </w:p>
    <w:p>
      <w:pPr>
        <w:jc w:val="both"/>
        <w:ind w:left="140" w:right="2660" w:hanging="105"/>
        <w:spacing w:after="0" w:line="277" w:lineRule="auto"/>
        <w:tabs>
          <w:tab w:leader="none" w:pos="140" w:val="left"/>
        </w:tabs>
        <w:numPr>
          <w:ilvl w:val="0"/>
          <w:numId w:val="20"/>
        </w:numPr>
        <w:rPr>
          <w:rFonts w:ascii="Arial" w:cs="Arial" w:eastAsia="Arial" w:hAnsi="Arial"/>
          <w:sz w:val="17"/>
          <w:szCs w:val="17"/>
          <w:color w:val="F2F2F2"/>
        </w:rPr>
      </w:pPr>
      <w:r>
        <w:rPr>
          <w:rFonts w:ascii="Arial" w:cs="Arial" w:eastAsia="Arial" w:hAnsi="Arial"/>
          <w:sz w:val="17"/>
          <w:szCs w:val="17"/>
          <w:color w:val="F2F2F2"/>
        </w:rPr>
        <w:t>Can be customized for partners (e.g., Marvel)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Custom store fronts</w:t>
      </w:r>
    </w:p>
    <w:p>
      <w:pPr>
        <w:spacing w:after="0" w:line="398" w:lineRule="exact"/>
        <w:rPr>
          <w:sz w:val="20"/>
          <w:szCs w:val="20"/>
          <w:color w:val="auto"/>
        </w:rPr>
      </w:pPr>
    </w:p>
    <w:p>
      <w:pPr>
        <w:ind w:left="180" w:right="2659" w:hanging="112"/>
        <w:spacing w:after="0" w:line="257" w:lineRule="auto"/>
        <w:tabs>
          <w:tab w:leader="none" w:pos="180" w:val="left"/>
        </w:tabs>
        <w:numPr>
          <w:ilvl w:val="0"/>
          <w:numId w:val="21"/>
        </w:numPr>
        <w:rPr>
          <w:rFonts w:ascii="Arial" w:cs="Arial" w:eastAsia="Arial" w:hAnsi="Arial"/>
          <w:sz w:val="17"/>
          <w:szCs w:val="17"/>
          <w:color w:val="F2F2F2"/>
        </w:rPr>
      </w:pPr>
      <w:r>
        <w:rPr>
          <w:rFonts w:ascii="Arial" w:cs="Arial" w:eastAsia="Arial" w:hAnsi="Arial"/>
          <w:sz w:val="17"/>
          <w:szCs w:val="17"/>
          <w:color w:val="F2F2F2"/>
        </w:rPr>
        <w:t>Customizable web/mobile store front</w:t>
      </w:r>
    </w:p>
    <w:p>
      <w:pPr>
        <w:ind w:left="180" w:right="2539" w:hanging="112"/>
        <w:spacing w:after="0" w:line="246" w:lineRule="auto"/>
        <w:tabs>
          <w:tab w:leader="none" w:pos="180" w:val="left"/>
        </w:tabs>
        <w:numPr>
          <w:ilvl w:val="0"/>
          <w:numId w:val="21"/>
        </w:numPr>
        <w:rPr>
          <w:rFonts w:ascii="Arial" w:cs="Arial" w:eastAsia="Arial" w:hAnsi="Arial"/>
          <w:sz w:val="18"/>
          <w:szCs w:val="18"/>
          <w:color w:val="F2F2F2"/>
        </w:rPr>
      </w:pPr>
      <w:r>
        <w:rPr>
          <w:rFonts w:ascii="Arial" w:cs="Arial" w:eastAsia="Arial" w:hAnsi="Arial"/>
          <w:sz w:val="18"/>
          <w:szCs w:val="18"/>
          <w:color w:val="F2F2F2"/>
        </w:rPr>
        <w:t>TV networks, retailers, political campaigns, live events</w:t>
      </w:r>
    </w:p>
    <w:p>
      <w:pPr>
        <w:spacing w:after="0" w:line="4" w:lineRule="exact"/>
        <w:rPr>
          <w:rFonts w:ascii="Arial" w:cs="Arial" w:eastAsia="Arial" w:hAnsi="Arial"/>
          <w:sz w:val="18"/>
          <w:szCs w:val="18"/>
          <w:color w:val="F2F2F2"/>
        </w:rPr>
      </w:pPr>
    </w:p>
    <w:p>
      <w:pPr>
        <w:ind w:left="180" w:right="2799" w:hanging="112"/>
        <w:spacing w:after="0" w:line="257" w:lineRule="auto"/>
        <w:tabs>
          <w:tab w:leader="none" w:pos="180" w:val="left"/>
        </w:tabs>
        <w:numPr>
          <w:ilvl w:val="0"/>
          <w:numId w:val="21"/>
        </w:numPr>
        <w:rPr>
          <w:rFonts w:ascii="Arial" w:cs="Arial" w:eastAsia="Arial" w:hAnsi="Arial"/>
          <w:sz w:val="17"/>
          <w:szCs w:val="17"/>
          <w:color w:val="F2F2F2"/>
        </w:rPr>
      </w:pPr>
      <w:r>
        <w:rPr>
          <w:rFonts w:ascii="Arial" w:cs="Arial" w:eastAsia="Arial" w:hAnsi="Arial"/>
          <w:sz w:val="17"/>
          <w:szCs w:val="17"/>
          <w:color w:val="F2F2F2"/>
        </w:rPr>
        <w:t>Opportunity exists to set up advertising-</w:t>
      </w:r>
    </w:p>
    <w:p>
      <w:pPr>
        <w:ind w:left="180"/>
        <w:spacing w:after="0" w:line="183" w:lineRule="auto"/>
        <w:rPr>
          <w:sz w:val="20"/>
          <w:szCs w:val="20"/>
          <w:color w:val="auto"/>
        </w:rPr>
      </w:pPr>
      <w:r>
        <w:rPr>
          <w:rFonts w:ascii="Arial" w:cs="Arial" w:eastAsia="Arial" w:hAnsi="Arial"/>
          <w:sz w:val="14"/>
          <w:szCs w:val="14"/>
          <w:color w:val="F2F2F2"/>
        </w:rPr>
        <w:t xml:space="preserve">supported storefronts – </w:t>
      </w:r>
      <w:r>
        <w:rPr>
          <w:rFonts w:ascii="Arial" w:cs="Arial" w:eastAsia="Arial" w:hAnsi="Arial"/>
          <w:sz w:val="24"/>
          <w:szCs w:val="24"/>
          <w:color w:val="000000"/>
          <w:vertAlign w:val="subscript"/>
        </w:rPr>
        <w:t>Indicative</w:t>
      </w:r>
    </w:p>
    <w:p>
      <w:pPr>
        <w:ind w:left="180"/>
        <w:spacing w:after="0"/>
        <w:tabs>
          <w:tab w:leader="none" w:pos="2060" w:val="left"/>
        </w:tabs>
        <w:rPr>
          <w:sz w:val="20"/>
          <w:szCs w:val="20"/>
          <w:color w:val="auto"/>
        </w:rPr>
      </w:pPr>
      <w:r>
        <w:rPr>
          <w:rFonts w:ascii="Arial" w:cs="Arial" w:eastAsia="Arial" w:hAnsi="Arial"/>
          <w:sz w:val="18"/>
          <w:szCs w:val="18"/>
          <w:color w:val="F2F2F2"/>
        </w:rPr>
        <w:t>“free” to consumers</w:t>
      </w:r>
      <w:r>
        <w:rPr>
          <w:sz w:val="20"/>
          <w:szCs w:val="20"/>
          <w:color w:val="auto"/>
        </w:rPr>
        <w:tab/>
      </w:r>
      <w:r>
        <w:rPr>
          <w:rFonts w:ascii="Arial" w:cs="Arial" w:eastAsia="Arial" w:hAnsi="Arial"/>
          <w:sz w:val="16"/>
          <w:szCs w:val="16"/>
          <w:color w:val="auto"/>
        </w:rPr>
        <w:t>example</w:t>
      </w:r>
    </w:p>
    <w:p>
      <w:pPr>
        <w:spacing w:after="0" w:line="200" w:lineRule="exact"/>
        <w:rPr>
          <w:sz w:val="20"/>
          <w:szCs w:val="20"/>
          <w:color w:val="auto"/>
        </w:rPr>
      </w:pPr>
    </w:p>
    <w:p>
      <w:pPr>
        <w:sectPr>
          <w:pgSz w:w="11900" w:h="16838" w:orient="portrait"/>
          <w:cols w:equalWidth="0" w:num="2">
            <w:col w:w="4580" w:space="720"/>
            <w:col w:w="4579"/>
          </w:cols>
          <w:pgMar w:left="580" w:top="4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FFFFFF"/>
        </w:rPr>
        <w:t>- Page 16 -</w:t>
      </w:r>
    </w:p>
    <w:p>
      <w:pPr>
        <w:sectPr>
          <w:pgSz w:w="11900" w:h="16838" w:orient="portrait"/>
          <w:cols w:equalWidth="0" w:num="1">
            <w:col w:w="9879"/>
          </w:cols>
          <w:pgMar w:left="580" w:top="497"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World’s Largest Video Ringtone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2199"/>
        <w:spacing w:after="0"/>
        <w:rPr>
          <w:sz w:val="20"/>
          <w:szCs w:val="20"/>
          <w:color w:val="auto"/>
        </w:rPr>
      </w:pPr>
      <w:r>
        <w:rPr>
          <w:rFonts w:ascii="Arial" w:cs="Arial" w:eastAsia="Arial" w:hAnsi="Arial"/>
          <w:sz w:val="53"/>
          <w:szCs w:val="53"/>
          <w:b w:val="1"/>
          <w:bCs w:val="1"/>
          <w:color w:val="FFFFFF"/>
        </w:rPr>
        <w:t>5,000+ video clips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FFFFFF"/>
        </w:rPr>
        <w:t>- Page 17-</w:t>
      </w:r>
    </w:p>
    <w:p>
      <w:pPr>
        <w:sectPr>
          <w:pgSz w:w="11900" w:h="16838" w:orient="portrait"/>
          <w:cols w:equalWidth="0" w:num="1">
            <w:col w:w="9879"/>
          </w:cols>
          <w:pgMar w:left="580" w:top="497"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Signed Revenue Deals: Initial Basis for Growth</w:t>
      </w:r>
    </w:p>
    <w:p>
      <w:pPr>
        <w:spacing w:after="0" w:line="368" w:lineRule="exact"/>
        <w:rPr>
          <w:sz w:val="20"/>
          <w:szCs w:val="20"/>
          <w:color w:val="auto"/>
        </w:rPr>
      </w:pPr>
    </w:p>
    <w:p>
      <w:pPr>
        <w:ind w:left="2600" w:right="79" w:hanging="1203"/>
        <w:spacing w:after="0" w:line="295" w:lineRule="auto"/>
        <w:rPr>
          <w:sz w:val="20"/>
          <w:szCs w:val="20"/>
          <w:color w:val="auto"/>
        </w:rPr>
      </w:pPr>
      <w:r>
        <w:rPr>
          <w:rFonts w:ascii="Arial" w:cs="Arial" w:eastAsia="Arial" w:hAnsi="Arial"/>
          <w:sz w:val="27"/>
          <w:szCs w:val="27"/>
          <w:b w:val="1"/>
          <w:bCs w:val="1"/>
          <w:color w:val="auto"/>
        </w:rPr>
        <w:t>Markets in which we have launched or will launch our service have severalhundredmillionmobilesubscribers</w:t>
      </w:r>
      <w:r>
        <w:rPr>
          <w:rFonts w:ascii="Arial" w:cs="Arial" w:eastAsia="Arial" w:hAnsi="Arial"/>
          <w:sz w:val="35"/>
          <w:szCs w:val="35"/>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166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27"/>
                <w:szCs w:val="27"/>
                <w:b w:val="1"/>
                <w:bCs w:val="1"/>
                <w:color w:val="auto"/>
                <w:w w:val="97"/>
              </w:rPr>
              <w:t>Currently in discussions with several other carriers pursuing</w:t>
            </w:r>
          </w:p>
        </w:tc>
      </w:tr>
      <w:tr>
        <w:trPr>
          <w:trHeight w:val="374"/>
        </w:trPr>
        <w:tc>
          <w:tcPr>
            <w:tcW w:w="1660" w:type="dxa"/>
            <w:vAlign w:val="bottom"/>
          </w:tcPr>
          <w:p>
            <w:pPr>
              <w:spacing w:after="0"/>
              <w:rPr>
                <w:sz w:val="20"/>
                <w:szCs w:val="20"/>
                <w:color w:val="auto"/>
              </w:rPr>
            </w:pPr>
            <w:r>
              <w:rPr>
                <w:rFonts w:ascii="Arial" w:cs="Arial" w:eastAsia="Arial" w:hAnsi="Arial"/>
                <w:sz w:val="12"/>
                <w:szCs w:val="12"/>
                <w:b w:val="1"/>
                <w:bCs w:val="1"/>
                <w:color w:val="auto"/>
              </w:rPr>
              <w:t>(1) Source: United Nations</w:t>
            </w:r>
          </w:p>
        </w:tc>
        <w:tc>
          <w:tcPr>
            <w:tcW w:w="7780" w:type="dxa"/>
            <w:vAlign w:val="bottom"/>
          </w:tcPr>
          <w:p>
            <w:pPr>
              <w:ind w:left="520"/>
              <w:spacing w:after="0"/>
              <w:rPr>
                <w:sz w:val="20"/>
                <w:szCs w:val="20"/>
                <w:color w:val="auto"/>
              </w:rPr>
            </w:pPr>
            <w:r>
              <w:rPr>
                <w:rFonts w:ascii="Arial" w:cs="Arial" w:eastAsia="Arial" w:hAnsi="Arial"/>
                <w:sz w:val="27"/>
                <w:szCs w:val="27"/>
                <w:b w:val="1"/>
                <w:bCs w:val="1"/>
                <w:color w:val="auto"/>
              </w:rPr>
              <w:t>additional agreements over the next2412months-</w:t>
            </w:r>
          </w:p>
        </w:tc>
      </w:tr>
      <w:tr>
        <w:trPr>
          <w:trHeight w:val="435"/>
        </w:trPr>
        <w:tc>
          <w:tcPr>
            <w:tcW w:w="1660" w:type="dxa"/>
            <w:vAlign w:val="bottom"/>
          </w:tcPr>
          <w:p>
            <w:pPr>
              <w:spacing w:after="0"/>
              <w:rPr>
                <w:sz w:val="24"/>
                <w:szCs w:val="24"/>
                <w:color w:val="auto"/>
              </w:rPr>
            </w:pPr>
          </w:p>
        </w:tc>
        <w:tc>
          <w:tcPr>
            <w:tcW w:w="7780" w:type="dxa"/>
            <w:vAlign w:val="bottom"/>
          </w:tcPr>
          <w:p>
            <w:pPr>
              <w:ind w:left="3100"/>
              <w:spacing w:after="0"/>
              <w:rPr>
                <w:sz w:val="20"/>
                <w:szCs w:val="20"/>
                <w:color w:val="auto"/>
              </w:rPr>
            </w:pPr>
            <w:r>
              <w:rPr>
                <w:rFonts w:ascii="Arial" w:cs="Arial" w:eastAsia="Arial" w:hAnsi="Arial"/>
                <w:sz w:val="13"/>
                <w:szCs w:val="13"/>
                <w:color w:val="FFFFFF"/>
              </w:rPr>
              <w:t>- Page 18-</w:t>
            </w:r>
          </w:p>
        </w:tc>
      </w:tr>
    </w:tbl>
    <w:p>
      <w:pPr>
        <w:sectPr>
          <w:pgSz w:w="11900" w:h="16838" w:orient="portrait"/>
          <w:cols w:equalWidth="0" w:num="1">
            <w:col w:w="9879"/>
          </w:cols>
          <w:pgMar w:left="580" w:top="474"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Simple, Scalable Business Model</w:t>
      </w:r>
    </w:p>
    <w:p>
      <w:pPr>
        <w:spacing w:after="0" w:line="200" w:lineRule="exact"/>
        <w:rPr>
          <w:sz w:val="20"/>
          <w:szCs w:val="20"/>
          <w:color w:val="auto"/>
        </w:rPr>
      </w:pPr>
    </w:p>
    <w:p>
      <w:pPr>
        <w:spacing w:after="0" w:line="301" w:lineRule="exact"/>
        <w:rPr>
          <w:sz w:val="20"/>
          <w:szCs w:val="20"/>
          <w:color w:val="auto"/>
        </w:rPr>
      </w:pPr>
    </w:p>
    <w:p>
      <w:pPr>
        <w:jc w:val="center"/>
        <w:ind w:right="1460"/>
        <w:spacing w:after="0"/>
        <w:rPr>
          <w:sz w:val="20"/>
          <w:szCs w:val="20"/>
          <w:color w:val="auto"/>
        </w:rPr>
      </w:pPr>
      <w:r>
        <w:rPr>
          <w:rFonts w:ascii="Arial" w:cs="Arial" w:eastAsia="Arial" w:hAnsi="Arial"/>
          <w:sz w:val="27"/>
          <w:szCs w:val="27"/>
          <w:b w:val="1"/>
          <w:bCs w:val="1"/>
          <w:color w:val="auto"/>
        </w:rPr>
        <w:t>Target: $6 $-12 per user per year for</w:t>
      </w:r>
    </w:p>
    <w:p>
      <w:pPr>
        <w:spacing w:after="0" w:line="41" w:lineRule="exact"/>
        <w:rPr>
          <w:sz w:val="20"/>
          <w:szCs w:val="20"/>
          <w:color w:val="auto"/>
        </w:rPr>
      </w:pPr>
    </w:p>
    <w:p>
      <w:pPr>
        <w:jc w:val="center"/>
        <w:ind w:right="1540"/>
        <w:spacing w:after="0"/>
        <w:rPr>
          <w:sz w:val="20"/>
          <w:szCs w:val="20"/>
          <w:color w:val="auto"/>
        </w:rPr>
      </w:pPr>
      <w:r>
        <w:rPr>
          <w:rFonts w:ascii="Arial" w:cs="Arial" w:eastAsia="Arial" w:hAnsi="Arial"/>
          <w:sz w:val="27"/>
          <w:szCs w:val="27"/>
          <w:b w:val="1"/>
          <w:bCs w:val="1"/>
          <w:color w:val="auto"/>
        </w:rPr>
        <w:t>Net Vringo ARPU</w:t>
      </w: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27"/>
          <w:szCs w:val="27"/>
          <w:b w:val="1"/>
          <w:bCs w:val="1"/>
          <w:color w:val="FFFFFF"/>
        </w:rPr>
        <w:t>Premium: $1-3 per clip</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595959"/>
        </w:rPr>
        <w:t>Monthly user subscription</w:t>
      </w:r>
    </w:p>
    <w:p>
      <w:pPr>
        <w:spacing w:after="0" w:line="200" w:lineRule="exact"/>
        <w:rPr>
          <w:sz w:val="20"/>
          <w:szCs w:val="20"/>
          <w:color w:val="auto"/>
        </w:rPr>
      </w:pP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342"/>
        </w:trPr>
        <w:tc>
          <w:tcPr>
            <w:tcW w:w="1740" w:type="dxa"/>
            <w:vAlign w:val="bottom"/>
          </w:tcPr>
          <w:p>
            <w:pPr>
              <w:jc w:val="center"/>
              <w:ind w:right="434"/>
              <w:spacing w:after="0"/>
              <w:rPr>
                <w:sz w:val="20"/>
                <w:szCs w:val="20"/>
                <w:color w:val="auto"/>
              </w:rPr>
            </w:pPr>
            <w:r>
              <w:rPr>
                <w:rFonts w:ascii="Arial" w:cs="Arial" w:eastAsia="Arial" w:hAnsi="Arial"/>
                <w:sz w:val="27"/>
                <w:szCs w:val="27"/>
                <w:color w:val="auto"/>
                <w:w w:val="98"/>
              </w:rPr>
              <w:t>User</w:t>
            </w:r>
          </w:p>
        </w:tc>
        <w:tc>
          <w:tcPr>
            <w:tcW w:w="2440" w:type="dxa"/>
            <w:vAlign w:val="bottom"/>
          </w:tcPr>
          <w:p>
            <w:pPr>
              <w:jc w:val="center"/>
              <w:ind w:right="72"/>
              <w:spacing w:after="0"/>
              <w:rPr>
                <w:sz w:val="20"/>
                <w:szCs w:val="20"/>
                <w:color w:val="auto"/>
              </w:rPr>
            </w:pPr>
            <w:r>
              <w:rPr>
                <w:rFonts w:ascii="Arial" w:cs="Arial" w:eastAsia="Arial" w:hAnsi="Arial"/>
                <w:sz w:val="27"/>
                <w:szCs w:val="27"/>
                <w:color w:val="FFFFFF"/>
                <w:w w:val="97"/>
              </w:rPr>
              <w:t>Vringo</w:t>
            </w:r>
          </w:p>
        </w:tc>
        <w:tc>
          <w:tcPr>
            <w:tcW w:w="1160" w:type="dxa"/>
            <w:vAlign w:val="bottom"/>
            <w:vMerge w:val="restart"/>
          </w:tcPr>
          <w:p>
            <w:pPr>
              <w:ind w:left="680"/>
              <w:spacing w:after="0"/>
              <w:rPr>
                <w:sz w:val="20"/>
                <w:szCs w:val="20"/>
                <w:color w:val="auto"/>
              </w:rPr>
            </w:pPr>
            <w:r>
              <w:rPr>
                <w:rFonts w:ascii="Arial" w:cs="Arial" w:eastAsia="Arial" w:hAnsi="Arial"/>
                <w:sz w:val="71"/>
                <w:szCs w:val="71"/>
                <w:b w:val="1"/>
                <w:bCs w:val="1"/>
                <w:color w:val="auto"/>
                <w:w w:val="97"/>
              </w:rPr>
              <w:t>X</w:t>
            </w:r>
          </w:p>
        </w:tc>
        <w:tc>
          <w:tcPr>
            <w:tcW w:w="0" w:type="dxa"/>
            <w:vAlign w:val="bottom"/>
          </w:tcPr>
          <w:p>
            <w:pPr>
              <w:spacing w:after="0"/>
              <w:rPr>
                <w:sz w:val="1"/>
                <w:szCs w:val="1"/>
                <w:color w:val="auto"/>
              </w:rPr>
            </w:pPr>
          </w:p>
        </w:tc>
      </w:tr>
      <w:tr>
        <w:trPr>
          <w:trHeight w:val="453"/>
        </w:trPr>
        <w:tc>
          <w:tcPr>
            <w:tcW w:w="1740" w:type="dxa"/>
            <w:vAlign w:val="bottom"/>
          </w:tcPr>
          <w:p>
            <w:pPr>
              <w:spacing w:after="0"/>
              <w:rPr>
                <w:sz w:val="24"/>
                <w:szCs w:val="24"/>
                <w:color w:val="auto"/>
              </w:rPr>
            </w:pPr>
          </w:p>
        </w:tc>
        <w:tc>
          <w:tcPr>
            <w:tcW w:w="2440" w:type="dxa"/>
            <w:vAlign w:val="bottom"/>
          </w:tcPr>
          <w:p>
            <w:pPr>
              <w:jc w:val="right"/>
              <w:ind w:right="532"/>
              <w:spacing w:after="0"/>
              <w:rPr>
                <w:sz w:val="20"/>
                <w:szCs w:val="20"/>
                <w:color w:val="auto"/>
              </w:rPr>
            </w:pPr>
            <w:r>
              <w:rPr>
                <w:rFonts w:ascii="Arial" w:cs="Arial" w:eastAsia="Arial" w:hAnsi="Arial"/>
                <w:sz w:val="27"/>
                <w:szCs w:val="27"/>
                <w:b w:val="1"/>
                <w:bCs w:val="1"/>
                <w:color w:val="FFFFFF"/>
              </w:rPr>
              <w:t>$0.3*-$1.5</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740" w:type="dxa"/>
            <w:vAlign w:val="bottom"/>
            <w:vMerge w:val="restart"/>
          </w:tcPr>
          <w:p>
            <w:pPr>
              <w:jc w:val="center"/>
              <w:ind w:right="454"/>
              <w:spacing w:after="0"/>
              <w:rPr>
                <w:sz w:val="20"/>
                <w:szCs w:val="20"/>
                <w:color w:val="auto"/>
              </w:rPr>
            </w:pPr>
            <w:r>
              <w:rPr>
                <w:rFonts w:ascii="Arial" w:cs="Arial" w:eastAsia="Arial" w:hAnsi="Arial"/>
                <w:sz w:val="27"/>
                <w:szCs w:val="27"/>
                <w:b w:val="1"/>
                <w:bCs w:val="1"/>
                <w:color w:val="auto"/>
                <w:w w:val="97"/>
              </w:rPr>
              <w:t>$1.0 -$3.0</w:t>
            </w:r>
          </w:p>
        </w:tc>
        <w:tc>
          <w:tcPr>
            <w:tcW w:w="24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74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ind w:right="454"/>
              <w:spacing w:after="0"/>
              <w:rPr>
                <w:sz w:val="20"/>
                <w:szCs w:val="20"/>
                <w:color w:val="auto"/>
              </w:rPr>
            </w:pPr>
            <w:r>
              <w:rPr>
                <w:rFonts w:ascii="Arial" w:cs="Arial" w:eastAsia="Arial" w:hAnsi="Arial"/>
                <w:sz w:val="18"/>
                <w:szCs w:val="18"/>
                <w:color w:val="auto"/>
                <w:w w:val="98"/>
              </w:rPr>
              <w:t>No data</w:t>
            </w:r>
          </w:p>
        </w:tc>
        <w:tc>
          <w:tcPr>
            <w:tcW w:w="2440" w:type="dxa"/>
            <w:vAlign w:val="bottom"/>
            <w:vMerge w:val="restart"/>
          </w:tcPr>
          <w:p>
            <w:pPr>
              <w:jc w:val="center"/>
              <w:ind w:right="72"/>
              <w:spacing w:after="0"/>
              <w:rPr>
                <w:sz w:val="20"/>
                <w:szCs w:val="20"/>
                <w:color w:val="auto"/>
              </w:rPr>
            </w:pPr>
            <w:r>
              <w:rPr>
                <w:rFonts w:ascii="Arial" w:cs="Arial" w:eastAsia="Arial" w:hAnsi="Arial"/>
                <w:sz w:val="23"/>
                <w:szCs w:val="23"/>
                <w:color w:val="FFFFFF"/>
              </w:rPr>
              <w:t>Operator</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40" w:type="dxa"/>
            <w:vAlign w:val="bottom"/>
            <w:vMerge w:val="restart"/>
          </w:tcPr>
          <w:p>
            <w:pPr>
              <w:jc w:val="center"/>
              <w:ind w:right="494"/>
              <w:spacing w:after="0"/>
              <w:rPr>
                <w:sz w:val="20"/>
                <w:szCs w:val="20"/>
                <w:color w:val="auto"/>
              </w:rPr>
            </w:pPr>
            <w:r>
              <w:rPr>
                <w:rFonts w:ascii="Arial" w:cs="Arial" w:eastAsia="Arial" w:hAnsi="Arial"/>
                <w:sz w:val="18"/>
                <w:szCs w:val="18"/>
                <w:color w:val="auto"/>
                <w:w w:val="95"/>
              </w:rPr>
              <w:t>traffic</w:t>
            </w:r>
          </w:p>
        </w:tc>
        <w:tc>
          <w:tcPr>
            <w:tcW w:w="24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4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740" w:type="dxa"/>
            <w:vAlign w:val="bottom"/>
          </w:tcPr>
          <w:p>
            <w:pPr>
              <w:jc w:val="center"/>
              <w:ind w:right="414"/>
              <w:spacing w:after="0"/>
              <w:rPr>
                <w:sz w:val="20"/>
                <w:szCs w:val="20"/>
                <w:color w:val="auto"/>
              </w:rPr>
            </w:pPr>
            <w:r>
              <w:rPr>
                <w:rFonts w:ascii="Arial" w:cs="Arial" w:eastAsia="Arial" w:hAnsi="Arial"/>
                <w:sz w:val="18"/>
                <w:szCs w:val="18"/>
                <w:color w:val="auto"/>
                <w:w w:val="96"/>
              </w:rPr>
              <w:t>charges</w:t>
            </w:r>
          </w:p>
        </w:tc>
        <w:tc>
          <w:tcPr>
            <w:tcW w:w="2440" w:type="dxa"/>
            <w:vAlign w:val="bottom"/>
            <w:vMerge w:val="restart"/>
          </w:tcPr>
          <w:p>
            <w:pPr>
              <w:jc w:val="center"/>
              <w:ind w:right="12"/>
              <w:spacing w:after="0"/>
              <w:rPr>
                <w:sz w:val="20"/>
                <w:szCs w:val="20"/>
                <w:color w:val="auto"/>
              </w:rPr>
            </w:pPr>
            <w:r>
              <w:rPr>
                <w:rFonts w:ascii="Arial" w:cs="Arial" w:eastAsia="Arial" w:hAnsi="Arial"/>
                <w:sz w:val="27"/>
                <w:szCs w:val="27"/>
                <w:b w:val="1"/>
                <w:bCs w:val="1"/>
                <w:color w:val="FFFFFF"/>
                <w:w w:val="97"/>
              </w:rPr>
              <w:t>$0.6 -$2.0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Operator penetration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00"/>
        <w:spacing w:after="0"/>
        <w:rPr>
          <w:sz w:val="20"/>
          <w:szCs w:val="20"/>
          <w:color w:val="auto"/>
        </w:rPr>
      </w:pPr>
      <w:r>
        <w:rPr>
          <w:rFonts w:ascii="Arial" w:cs="Arial" w:eastAsia="Arial" w:hAnsi="Arial"/>
          <w:sz w:val="27"/>
          <w:szCs w:val="27"/>
          <w:b w:val="1"/>
          <w:bCs w:val="1"/>
          <w:color w:val="auto"/>
        </w:rPr>
        <w:t>Target</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80"/>
        <w:spacing w:after="0"/>
        <w:rPr>
          <w:sz w:val="20"/>
          <w:szCs w:val="20"/>
          <w:color w:val="auto"/>
        </w:rPr>
      </w:pPr>
      <w:r>
        <w:rPr>
          <w:rFonts w:ascii="Arial" w:cs="Arial" w:eastAsia="Arial" w:hAnsi="Arial"/>
          <w:sz w:val="25"/>
          <w:szCs w:val="25"/>
          <w:b w:val="1"/>
          <w:bCs w:val="1"/>
          <w:color w:val="auto"/>
        </w:rPr>
        <w:t>Modeling assumptions</w:t>
      </w:r>
    </w:p>
    <w:p>
      <w:pPr>
        <w:spacing w:after="0" w:line="243" w:lineRule="exact"/>
        <w:rPr>
          <w:sz w:val="20"/>
          <w:szCs w:val="20"/>
          <w:color w:val="auto"/>
        </w:rPr>
      </w:pPr>
    </w:p>
    <w:p>
      <w:pPr>
        <w:jc w:val="center"/>
        <w:ind w:right="380"/>
        <w:spacing w:after="0"/>
        <w:rPr>
          <w:sz w:val="20"/>
          <w:szCs w:val="20"/>
          <w:color w:val="auto"/>
        </w:rPr>
      </w:pPr>
      <w:r>
        <w:rPr>
          <w:rFonts w:ascii="Arial" w:cs="Arial" w:eastAsia="Arial" w:hAnsi="Arial"/>
          <w:sz w:val="27"/>
          <w:szCs w:val="27"/>
          <w:b w:val="1"/>
          <w:b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0" w:right="560" w:hanging="706"/>
        <w:spacing w:after="0" w:line="441" w:lineRule="auto"/>
        <w:rPr>
          <w:sz w:val="20"/>
          <w:szCs w:val="20"/>
          <w:color w:val="auto"/>
        </w:rPr>
      </w:pPr>
      <w:r>
        <w:rPr>
          <w:rFonts w:ascii="Arial" w:cs="Arial" w:eastAsia="Arial" w:hAnsi="Arial"/>
          <w:sz w:val="27"/>
          <w:szCs w:val="27"/>
          <w:b w:val="1"/>
          <w:bCs w:val="1"/>
          <w:color w:val="auto"/>
        </w:rPr>
        <w:t>Current audio RBT ~15%</w:t>
      </w:r>
    </w:p>
    <w:p>
      <w:pPr>
        <w:spacing w:after="0" w:line="200" w:lineRule="exact"/>
        <w:rPr>
          <w:sz w:val="20"/>
          <w:szCs w:val="20"/>
          <w:color w:val="auto"/>
        </w:rPr>
      </w:pPr>
    </w:p>
    <w:p>
      <w:pPr>
        <w:sectPr>
          <w:pgSz w:w="11900" w:h="16838" w:orient="portrait"/>
          <w:cols w:equalWidth="0" w:num="2">
            <w:col w:w="6360" w:space="720"/>
            <w:col w:w="3160"/>
          </w:cols>
          <w:pgMar w:left="540" w:top="497" w:right="1119" w:bottom="1440" w:gutter="0" w:footer="0" w:header="0"/>
        </w:sectPr>
      </w:pPr>
    </w:p>
    <w:p>
      <w:pPr>
        <w:spacing w:after="0" w:line="328" w:lineRule="exact"/>
        <w:rPr>
          <w:sz w:val="20"/>
          <w:szCs w:val="20"/>
          <w:color w:val="auto"/>
        </w:rPr>
      </w:pPr>
    </w:p>
    <w:p>
      <w:pPr>
        <w:ind w:left="160" w:right="860" w:hanging="151"/>
        <w:spacing w:after="0" w:line="261" w:lineRule="auto"/>
        <w:tabs>
          <w:tab w:leader="none" w:pos="1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revenue of $0.15 per subscribernet- of uncollected subscription fees</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3"/>
          <w:szCs w:val="13"/>
          <w:color w:val="FFFFFF"/>
        </w:rPr>
        <w:t>- Page 19 -</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89" w:hanging="189"/>
        <w:spacing w:after="0" w:line="248" w:lineRule="auto"/>
        <w:tabs>
          <w:tab w:leader="none" w:pos="1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Penetration of addressable market within 1 year of new market launch</w:t>
      </w:r>
    </w:p>
    <w:p>
      <w:pPr>
        <w:sectPr>
          <w:pgSz w:w="11900" w:h="16838" w:orient="portrait"/>
          <w:cols w:equalWidth="0" w:num="2">
            <w:col w:w="5460" w:space="291"/>
            <w:col w:w="4489"/>
          </w:cols>
          <w:pgMar w:left="540" w:top="497" w:right="11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5 Launches So Far…</w:t>
      </w: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30"/>
          <w:szCs w:val="30"/>
          <w:color w:val="auto"/>
        </w:rPr>
        <w:t>•  2 Pending Launches will Grow Addressable Market by 3X</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8"/>
              </w:rPr>
              <w:t>Name of Operator/Partner</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Launch Date</w:t>
            </w:r>
          </w:p>
        </w:tc>
        <w:tc>
          <w:tcPr>
            <w:tcW w:w="1480" w:type="dxa"/>
            <w:vAlign w:val="bottom"/>
          </w:tcPr>
          <w:p>
            <w:pPr>
              <w:jc w:val="center"/>
              <w:ind w:right="39"/>
              <w:spacing w:after="0"/>
              <w:rPr>
                <w:sz w:val="20"/>
                <w:szCs w:val="20"/>
                <w:color w:val="auto"/>
              </w:rPr>
            </w:pPr>
            <w:r>
              <w:rPr>
                <w:rFonts w:ascii="Arial" w:cs="Arial" w:eastAsia="Arial" w:hAnsi="Arial"/>
                <w:sz w:val="18"/>
                <w:szCs w:val="18"/>
                <w:b w:val="1"/>
                <w:bCs w:val="1"/>
                <w:color w:val="auto"/>
                <w:w w:val="97"/>
              </w:rPr>
              <w:t>Operator</w:t>
            </w:r>
          </w:p>
        </w:tc>
        <w:tc>
          <w:tcPr>
            <w:tcW w:w="4620" w:type="dxa"/>
            <w:vAlign w:val="bottom"/>
          </w:tcPr>
          <w:p>
            <w:pPr>
              <w:ind w:left="1440"/>
              <w:spacing w:after="0"/>
              <w:rPr>
                <w:sz w:val="20"/>
                <w:szCs w:val="20"/>
                <w:color w:val="auto"/>
              </w:rPr>
            </w:pPr>
            <w:r>
              <w:rPr>
                <w:rFonts w:ascii="Arial" w:cs="Arial" w:eastAsia="Arial" w:hAnsi="Arial"/>
                <w:sz w:val="18"/>
                <w:szCs w:val="18"/>
                <w:b w:val="1"/>
                <w:bCs w:val="1"/>
                <w:color w:val="auto"/>
              </w:rPr>
              <w:t>Growth Potential</w:t>
            </w:r>
          </w:p>
        </w:tc>
      </w:tr>
      <w:tr>
        <w:trPr>
          <w:trHeight w:val="234"/>
        </w:trPr>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w:cs="Arial" w:eastAsia="Arial" w:hAnsi="Arial"/>
                <w:sz w:val="18"/>
                <w:szCs w:val="18"/>
                <w:b w:val="1"/>
                <w:bCs w:val="1"/>
                <w:color w:val="auto"/>
              </w:rPr>
              <w:t>Subscribers (M)</w:t>
            </w:r>
          </w:p>
        </w:tc>
        <w:tc>
          <w:tcPr>
            <w:tcW w:w="4620" w:type="dxa"/>
            <w:vAlign w:val="bottom"/>
          </w:tcPr>
          <w:p>
            <w:pPr>
              <w:spacing w:after="0"/>
              <w:rPr>
                <w:sz w:val="20"/>
                <w:szCs w:val="20"/>
                <w:color w:val="auto"/>
              </w:rPr>
            </w:pPr>
          </w:p>
        </w:tc>
      </w:tr>
      <w:tr>
        <w:trPr>
          <w:trHeight w:val="343"/>
        </w:trPr>
        <w:tc>
          <w:tcPr>
            <w:tcW w:w="2560" w:type="dxa"/>
            <w:vAlign w:val="bottom"/>
          </w:tcPr>
          <w:p>
            <w:pPr>
              <w:jc w:val="center"/>
              <w:spacing w:after="0"/>
              <w:rPr>
                <w:sz w:val="20"/>
                <w:szCs w:val="20"/>
                <w:color w:val="auto"/>
              </w:rPr>
            </w:pPr>
            <w:r>
              <w:rPr>
                <w:rFonts w:ascii="Arial" w:cs="Arial" w:eastAsia="Arial" w:hAnsi="Arial"/>
                <w:sz w:val="21"/>
                <w:szCs w:val="21"/>
                <w:b w:val="1"/>
                <w:bCs w:val="1"/>
                <w:color w:val="auto"/>
                <w:w w:val="99"/>
              </w:rPr>
              <w:t>MTS Group/Vivacell</w:t>
            </w:r>
          </w:p>
        </w:tc>
        <w:tc>
          <w:tcPr>
            <w:tcW w:w="1640" w:type="dxa"/>
            <w:vAlign w:val="bottom"/>
            <w:gridSpan w:val="2"/>
          </w:tcPr>
          <w:p>
            <w:pPr>
              <w:jc w:val="center"/>
              <w:spacing w:after="0"/>
              <w:rPr>
                <w:sz w:val="20"/>
                <w:szCs w:val="20"/>
                <w:color w:val="auto"/>
              </w:rPr>
            </w:pPr>
            <w:r>
              <w:rPr>
                <w:rFonts w:ascii="Arial" w:cs="Arial" w:eastAsia="Arial" w:hAnsi="Arial"/>
                <w:sz w:val="21"/>
                <w:szCs w:val="21"/>
                <w:color w:val="auto"/>
                <w:w w:val="97"/>
              </w:rPr>
              <w:t>July 2009</w:t>
            </w:r>
          </w:p>
        </w:tc>
        <w:tc>
          <w:tcPr>
            <w:tcW w:w="1480" w:type="dxa"/>
            <w:vAlign w:val="bottom"/>
          </w:tcPr>
          <w:p>
            <w:pPr>
              <w:jc w:val="right"/>
              <w:ind w:right="679"/>
              <w:spacing w:after="0"/>
              <w:rPr>
                <w:sz w:val="20"/>
                <w:szCs w:val="20"/>
                <w:color w:val="auto"/>
              </w:rPr>
            </w:pPr>
            <w:r>
              <w:rPr>
                <w:rFonts w:ascii="Arial" w:cs="Arial" w:eastAsia="Arial" w:hAnsi="Arial"/>
                <w:sz w:val="21"/>
                <w:szCs w:val="21"/>
                <w:color w:val="auto"/>
              </w:rPr>
              <w:t>2</w:t>
            </w:r>
          </w:p>
        </w:tc>
        <w:tc>
          <w:tcPr>
            <w:tcW w:w="4620" w:type="dxa"/>
            <w:vAlign w:val="bottom"/>
          </w:tcPr>
          <w:p>
            <w:pPr>
              <w:jc w:val="center"/>
              <w:spacing w:after="0"/>
              <w:rPr>
                <w:sz w:val="20"/>
                <w:szCs w:val="20"/>
                <w:color w:val="auto"/>
              </w:rPr>
            </w:pPr>
            <w:r>
              <w:rPr>
                <w:rFonts w:ascii="Arial" w:cs="Arial" w:eastAsia="Arial" w:hAnsi="Arial"/>
                <w:sz w:val="21"/>
                <w:szCs w:val="21"/>
                <w:color w:val="auto"/>
              </w:rPr>
              <w:t>Part of MTS Group which has 100 M subs</w:t>
            </w:r>
          </w:p>
        </w:tc>
      </w:tr>
      <w:tr>
        <w:trPr>
          <w:trHeight w:val="252"/>
        </w:trPr>
        <w:tc>
          <w:tcPr>
            <w:tcW w:w="2560" w:type="dxa"/>
            <w:vAlign w:val="bottom"/>
          </w:tcPr>
          <w:p>
            <w:pPr>
              <w:jc w:val="center"/>
              <w:ind w:right="58"/>
              <w:spacing w:after="0"/>
              <w:rPr>
                <w:sz w:val="20"/>
                <w:szCs w:val="20"/>
                <w:color w:val="auto"/>
              </w:rPr>
            </w:pPr>
            <w:r>
              <w:rPr>
                <w:rFonts w:ascii="Arial" w:cs="Arial" w:eastAsia="Arial" w:hAnsi="Arial"/>
                <w:sz w:val="21"/>
                <w:szCs w:val="21"/>
                <w:color w:val="auto"/>
                <w:w w:val="99"/>
              </w:rPr>
              <w:t>(Armenia)</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364"/>
        </w:trPr>
        <w:tc>
          <w:tcPr>
            <w:tcW w:w="2560" w:type="dxa"/>
            <w:vAlign w:val="bottom"/>
          </w:tcPr>
          <w:p>
            <w:pPr>
              <w:jc w:val="center"/>
              <w:ind w:right="38"/>
              <w:spacing w:after="0"/>
              <w:rPr>
                <w:sz w:val="20"/>
                <w:szCs w:val="20"/>
                <w:color w:val="auto"/>
              </w:rPr>
            </w:pPr>
            <w:r>
              <w:rPr>
                <w:rFonts w:ascii="Arial" w:cs="Arial" w:eastAsia="Arial" w:hAnsi="Arial"/>
                <w:sz w:val="21"/>
                <w:szCs w:val="21"/>
                <w:b w:val="1"/>
                <w:bCs w:val="1"/>
                <w:color w:val="auto"/>
                <w:w w:val="99"/>
              </w:rPr>
              <w:t>Maxis</w:t>
            </w:r>
            <w:r>
              <w:rPr>
                <w:rFonts w:ascii="Arial" w:cs="Arial" w:eastAsia="Arial" w:hAnsi="Arial"/>
                <w:sz w:val="21"/>
                <w:szCs w:val="21"/>
                <w:color w:val="auto"/>
                <w:w w:val="99"/>
              </w:rPr>
              <w:t>(Malaysia)</w:t>
            </w:r>
          </w:p>
        </w:tc>
        <w:tc>
          <w:tcPr>
            <w:tcW w:w="1640" w:type="dxa"/>
            <w:vAlign w:val="bottom"/>
            <w:gridSpan w:val="2"/>
          </w:tcPr>
          <w:p>
            <w:pPr>
              <w:jc w:val="center"/>
              <w:spacing w:after="0"/>
              <w:rPr>
                <w:sz w:val="20"/>
                <w:szCs w:val="20"/>
                <w:color w:val="auto"/>
              </w:rPr>
            </w:pPr>
            <w:r>
              <w:rPr>
                <w:rFonts w:ascii="Arial" w:cs="Arial" w:eastAsia="Arial" w:hAnsi="Arial"/>
                <w:sz w:val="21"/>
                <w:szCs w:val="21"/>
                <w:color w:val="auto"/>
                <w:w w:val="98"/>
              </w:rPr>
              <w:t>October 2009</w:t>
            </w:r>
          </w:p>
        </w:tc>
        <w:tc>
          <w:tcPr>
            <w:tcW w:w="1480" w:type="dxa"/>
            <w:vAlign w:val="bottom"/>
          </w:tcPr>
          <w:p>
            <w:pPr>
              <w:jc w:val="center"/>
              <w:ind w:right="79"/>
              <w:spacing w:after="0"/>
              <w:rPr>
                <w:sz w:val="20"/>
                <w:szCs w:val="20"/>
                <w:color w:val="auto"/>
              </w:rPr>
            </w:pPr>
            <w:r>
              <w:rPr>
                <w:rFonts w:ascii="Arial" w:cs="Arial" w:eastAsia="Arial" w:hAnsi="Arial"/>
                <w:sz w:val="21"/>
                <w:szCs w:val="21"/>
                <w:color w:val="auto"/>
              </w:rPr>
              <w:t>11.4</w:t>
            </w:r>
          </w:p>
        </w:tc>
        <w:tc>
          <w:tcPr>
            <w:tcW w:w="4620" w:type="dxa"/>
            <w:vAlign w:val="bottom"/>
          </w:tcPr>
          <w:p>
            <w:pPr>
              <w:ind w:left="900"/>
              <w:spacing w:after="0"/>
              <w:rPr>
                <w:sz w:val="20"/>
                <w:szCs w:val="20"/>
                <w:color w:val="auto"/>
              </w:rPr>
            </w:pPr>
            <w:r>
              <w:rPr>
                <w:rFonts w:ascii="Arial" w:cs="Arial" w:eastAsia="Arial" w:hAnsi="Arial"/>
                <w:sz w:val="21"/>
                <w:szCs w:val="21"/>
                <w:color w:val="auto"/>
              </w:rPr>
              <w:t>Largest operator in Malaysia</w:t>
            </w:r>
          </w:p>
        </w:tc>
      </w:tr>
      <w:tr>
        <w:trPr>
          <w:trHeight w:val="400"/>
        </w:trPr>
        <w:tc>
          <w:tcPr>
            <w:tcW w:w="2560" w:type="dxa"/>
            <w:vAlign w:val="bottom"/>
          </w:tcPr>
          <w:p>
            <w:pPr>
              <w:jc w:val="center"/>
              <w:ind w:right="58"/>
              <w:spacing w:after="0"/>
              <w:rPr>
                <w:sz w:val="20"/>
                <w:szCs w:val="20"/>
                <w:color w:val="auto"/>
              </w:rPr>
            </w:pPr>
            <w:r>
              <w:rPr>
                <w:rFonts w:ascii="Arial" w:cs="Arial" w:eastAsia="Arial" w:hAnsi="Arial"/>
                <w:sz w:val="21"/>
                <w:szCs w:val="21"/>
                <w:b w:val="1"/>
                <w:bCs w:val="1"/>
                <w:color w:val="auto"/>
                <w:w w:val="96"/>
              </w:rPr>
              <w:t>Avea</w:t>
            </w:r>
            <w:r>
              <w:rPr>
                <w:rFonts w:ascii="Arial" w:cs="Arial" w:eastAsia="Arial" w:hAnsi="Arial"/>
                <w:sz w:val="21"/>
                <w:szCs w:val="21"/>
                <w:color w:val="auto"/>
                <w:w w:val="96"/>
              </w:rPr>
              <w:t>(Turkey)</w:t>
            </w:r>
          </w:p>
        </w:tc>
        <w:tc>
          <w:tcPr>
            <w:tcW w:w="1640" w:type="dxa"/>
            <w:vAlign w:val="bottom"/>
            <w:gridSpan w:val="2"/>
          </w:tcPr>
          <w:p>
            <w:pPr>
              <w:jc w:val="center"/>
              <w:spacing w:after="0"/>
              <w:rPr>
                <w:sz w:val="20"/>
                <w:szCs w:val="20"/>
                <w:color w:val="auto"/>
              </w:rPr>
            </w:pPr>
            <w:r>
              <w:rPr>
                <w:rFonts w:ascii="Arial" w:cs="Arial" w:eastAsia="Arial" w:hAnsi="Arial"/>
                <w:sz w:val="21"/>
                <w:szCs w:val="21"/>
                <w:color w:val="auto"/>
                <w:w w:val="99"/>
              </w:rPr>
              <w:t>November 2009</w:t>
            </w:r>
          </w:p>
        </w:tc>
        <w:tc>
          <w:tcPr>
            <w:tcW w:w="1480" w:type="dxa"/>
            <w:vAlign w:val="bottom"/>
          </w:tcPr>
          <w:p>
            <w:pPr>
              <w:jc w:val="center"/>
              <w:ind w:right="79"/>
              <w:spacing w:after="0"/>
              <w:rPr>
                <w:sz w:val="20"/>
                <w:szCs w:val="20"/>
                <w:color w:val="auto"/>
              </w:rPr>
            </w:pPr>
            <w:r>
              <w:rPr>
                <w:rFonts w:ascii="Arial" w:cs="Arial" w:eastAsia="Arial" w:hAnsi="Arial"/>
                <w:sz w:val="21"/>
                <w:szCs w:val="21"/>
                <w:color w:val="auto"/>
              </w:rPr>
              <w:t>12.1</w:t>
            </w:r>
          </w:p>
        </w:tc>
        <w:tc>
          <w:tcPr>
            <w:tcW w:w="4620" w:type="dxa"/>
            <w:vAlign w:val="bottom"/>
          </w:tcPr>
          <w:p>
            <w:pPr>
              <w:jc w:val="center"/>
              <w:spacing w:after="0"/>
              <w:rPr>
                <w:sz w:val="20"/>
                <w:szCs w:val="20"/>
                <w:color w:val="auto"/>
              </w:rPr>
            </w:pPr>
            <w:r>
              <w:rPr>
                <w:rFonts w:ascii="Arial" w:cs="Arial" w:eastAsia="Arial" w:hAnsi="Arial"/>
                <w:sz w:val="21"/>
                <w:szCs w:val="21"/>
                <w:color w:val="auto"/>
                <w:w w:val="99"/>
              </w:rPr>
              <w:t>Third largest operator in Turkey; subsequently</w:t>
            </w:r>
          </w:p>
        </w:tc>
      </w:tr>
      <w:tr>
        <w:trPr>
          <w:trHeight w:val="252"/>
        </w:trPr>
        <w:tc>
          <w:tcPr>
            <w:tcW w:w="2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20" w:type="dxa"/>
            <w:vAlign w:val="bottom"/>
          </w:tcPr>
          <w:p>
            <w:pPr>
              <w:jc w:val="center"/>
              <w:ind w:right="17"/>
              <w:spacing w:after="0"/>
              <w:rPr>
                <w:sz w:val="20"/>
                <w:szCs w:val="20"/>
                <w:color w:val="auto"/>
              </w:rPr>
            </w:pPr>
            <w:r>
              <w:rPr>
                <w:rFonts w:ascii="Arial" w:cs="Arial" w:eastAsia="Arial" w:hAnsi="Arial"/>
                <w:sz w:val="21"/>
                <w:szCs w:val="21"/>
                <w:color w:val="auto"/>
                <w:w w:val="99"/>
              </w:rPr>
              <w:t>replaced by agreement with Retromedya</w:t>
            </w:r>
          </w:p>
        </w:tc>
      </w:tr>
      <w:tr>
        <w:trPr>
          <w:trHeight w:val="364"/>
        </w:trPr>
        <w:tc>
          <w:tcPr>
            <w:tcW w:w="2560" w:type="dxa"/>
            <w:vAlign w:val="bottom"/>
          </w:tcPr>
          <w:p>
            <w:pPr>
              <w:jc w:val="center"/>
              <w:ind w:right="38"/>
              <w:spacing w:after="0"/>
              <w:rPr>
                <w:sz w:val="20"/>
                <w:szCs w:val="20"/>
                <w:color w:val="auto"/>
              </w:rPr>
            </w:pPr>
            <w:r>
              <w:rPr>
                <w:rFonts w:ascii="Arial" w:cs="Arial" w:eastAsia="Arial" w:hAnsi="Arial"/>
                <w:sz w:val="21"/>
                <w:szCs w:val="21"/>
                <w:b w:val="1"/>
                <w:bCs w:val="1"/>
                <w:color w:val="auto"/>
                <w:w w:val="95"/>
              </w:rPr>
              <w:t>Etisalat</w:t>
            </w:r>
            <w:r>
              <w:rPr>
                <w:rFonts w:ascii="Arial" w:cs="Arial" w:eastAsia="Arial" w:hAnsi="Arial"/>
                <w:sz w:val="21"/>
                <w:szCs w:val="21"/>
                <w:color w:val="auto"/>
                <w:w w:val="95"/>
              </w:rPr>
              <w:t>(UAE)</w:t>
            </w:r>
          </w:p>
        </w:tc>
        <w:tc>
          <w:tcPr>
            <w:tcW w:w="1640" w:type="dxa"/>
            <w:vAlign w:val="bottom"/>
            <w:gridSpan w:val="2"/>
          </w:tcPr>
          <w:p>
            <w:pPr>
              <w:jc w:val="center"/>
              <w:spacing w:after="0"/>
              <w:rPr>
                <w:sz w:val="20"/>
                <w:szCs w:val="20"/>
                <w:color w:val="auto"/>
              </w:rPr>
            </w:pPr>
            <w:r>
              <w:rPr>
                <w:rFonts w:ascii="Arial" w:cs="Arial" w:eastAsia="Arial" w:hAnsi="Arial"/>
                <w:sz w:val="21"/>
                <w:szCs w:val="21"/>
                <w:color w:val="auto"/>
                <w:w w:val="99"/>
              </w:rPr>
              <w:t>March 2010</w:t>
            </w:r>
          </w:p>
        </w:tc>
        <w:tc>
          <w:tcPr>
            <w:tcW w:w="1480" w:type="dxa"/>
            <w:vAlign w:val="bottom"/>
          </w:tcPr>
          <w:p>
            <w:pPr>
              <w:jc w:val="center"/>
              <w:ind w:right="99"/>
              <w:spacing w:after="0"/>
              <w:rPr>
                <w:sz w:val="20"/>
                <w:szCs w:val="20"/>
                <w:color w:val="auto"/>
              </w:rPr>
            </w:pPr>
            <w:r>
              <w:rPr>
                <w:rFonts w:ascii="Arial" w:cs="Arial" w:eastAsia="Arial" w:hAnsi="Arial"/>
                <w:sz w:val="21"/>
                <w:szCs w:val="21"/>
                <w:color w:val="auto"/>
                <w:w w:val="95"/>
              </w:rPr>
              <w:t>7.3</w:t>
            </w:r>
          </w:p>
        </w:tc>
        <w:tc>
          <w:tcPr>
            <w:tcW w:w="4620" w:type="dxa"/>
            <w:vAlign w:val="bottom"/>
          </w:tcPr>
          <w:p>
            <w:pPr>
              <w:jc w:val="center"/>
              <w:spacing w:after="0"/>
              <w:rPr>
                <w:sz w:val="20"/>
                <w:szCs w:val="20"/>
                <w:color w:val="auto"/>
              </w:rPr>
            </w:pPr>
            <w:r>
              <w:rPr>
                <w:rFonts w:ascii="Arial" w:cs="Arial" w:eastAsia="Arial" w:hAnsi="Arial"/>
                <w:sz w:val="21"/>
                <w:szCs w:val="21"/>
                <w:color w:val="auto"/>
              </w:rPr>
              <w:t>Group includes 16 countries, 94 M global subs</w:t>
            </w:r>
          </w:p>
        </w:tc>
      </w:tr>
      <w:tr>
        <w:trPr>
          <w:trHeight w:val="364"/>
        </w:trPr>
        <w:tc>
          <w:tcPr>
            <w:tcW w:w="2560" w:type="dxa"/>
            <w:vAlign w:val="bottom"/>
          </w:tcPr>
          <w:p>
            <w:pPr>
              <w:jc w:val="center"/>
              <w:ind w:right="18"/>
              <w:spacing w:after="0"/>
              <w:rPr>
                <w:sz w:val="20"/>
                <w:szCs w:val="20"/>
                <w:color w:val="auto"/>
              </w:rPr>
            </w:pPr>
            <w:r>
              <w:rPr>
                <w:rFonts w:ascii="Arial" w:cs="Arial" w:eastAsia="Arial" w:hAnsi="Arial"/>
                <w:sz w:val="21"/>
                <w:szCs w:val="21"/>
                <w:b w:val="1"/>
                <w:bCs w:val="1"/>
                <w:color w:val="auto"/>
                <w:w w:val="94"/>
              </w:rPr>
              <w:t>RTL</w:t>
            </w:r>
            <w:r>
              <w:rPr>
                <w:rFonts w:ascii="Arial" w:cs="Arial" w:eastAsia="Arial" w:hAnsi="Arial"/>
                <w:sz w:val="21"/>
                <w:szCs w:val="21"/>
                <w:color w:val="auto"/>
                <w:w w:val="94"/>
              </w:rPr>
              <w:t>(Belgium)</w:t>
            </w:r>
          </w:p>
        </w:tc>
        <w:tc>
          <w:tcPr>
            <w:tcW w:w="1640" w:type="dxa"/>
            <w:vAlign w:val="bottom"/>
            <w:gridSpan w:val="2"/>
          </w:tcPr>
          <w:p>
            <w:pPr>
              <w:jc w:val="center"/>
              <w:spacing w:after="0"/>
              <w:rPr>
                <w:sz w:val="20"/>
                <w:szCs w:val="20"/>
                <w:color w:val="auto"/>
              </w:rPr>
            </w:pPr>
            <w:r>
              <w:rPr>
                <w:rFonts w:ascii="Arial" w:cs="Arial" w:eastAsia="Arial" w:hAnsi="Arial"/>
                <w:sz w:val="21"/>
                <w:szCs w:val="21"/>
                <w:color w:val="auto"/>
              </w:rPr>
              <w:t>May 2010</w:t>
            </w:r>
          </w:p>
        </w:tc>
        <w:tc>
          <w:tcPr>
            <w:tcW w:w="1480" w:type="dxa"/>
            <w:vAlign w:val="bottom"/>
          </w:tcPr>
          <w:p>
            <w:pPr>
              <w:jc w:val="right"/>
              <w:ind w:right="619"/>
              <w:spacing w:after="0"/>
              <w:rPr>
                <w:sz w:val="20"/>
                <w:szCs w:val="20"/>
                <w:color w:val="auto"/>
              </w:rPr>
            </w:pPr>
            <w:r>
              <w:rPr>
                <w:rFonts w:ascii="Arial" w:cs="Arial" w:eastAsia="Arial" w:hAnsi="Arial"/>
                <w:sz w:val="21"/>
                <w:szCs w:val="21"/>
                <w:color w:val="auto"/>
              </w:rPr>
              <w:t>11</w:t>
            </w:r>
          </w:p>
        </w:tc>
        <w:tc>
          <w:tcPr>
            <w:tcW w:w="4620" w:type="dxa"/>
            <w:vAlign w:val="bottom"/>
          </w:tcPr>
          <w:p>
            <w:pPr>
              <w:ind w:left="80"/>
              <w:spacing w:after="0"/>
              <w:rPr>
                <w:sz w:val="20"/>
                <w:szCs w:val="20"/>
                <w:color w:val="auto"/>
              </w:rPr>
            </w:pPr>
            <w:r>
              <w:rPr>
                <w:rFonts w:ascii="Arial" w:cs="Arial" w:eastAsia="Arial" w:hAnsi="Arial"/>
                <w:sz w:val="21"/>
                <w:szCs w:val="21"/>
                <w:color w:val="auto"/>
                <w:w w:val="99"/>
              </w:rPr>
              <w:t>Launching via TV ads, etc. on all 3 major carriers</w:t>
            </w:r>
          </w:p>
        </w:tc>
      </w:tr>
      <w:tr>
        <w:trPr>
          <w:trHeight w:val="375"/>
        </w:trPr>
        <w:tc>
          <w:tcPr>
            <w:tcW w:w="2560" w:type="dxa"/>
            <w:vAlign w:val="bottom"/>
          </w:tcPr>
          <w:p>
            <w:pPr>
              <w:jc w:val="center"/>
              <w:ind w:right="38"/>
              <w:spacing w:after="0"/>
              <w:rPr>
                <w:sz w:val="20"/>
                <w:szCs w:val="20"/>
                <w:color w:val="auto"/>
              </w:rPr>
            </w:pPr>
            <w:r>
              <w:rPr>
                <w:rFonts w:ascii="Arial" w:cs="Arial" w:eastAsia="Arial" w:hAnsi="Arial"/>
                <w:sz w:val="21"/>
                <w:szCs w:val="21"/>
                <w:b w:val="1"/>
                <w:bCs w:val="1"/>
                <w:color w:val="auto"/>
                <w:w w:val="95"/>
              </w:rPr>
              <w:t>Verizon</w:t>
            </w:r>
            <w:r>
              <w:rPr>
                <w:rFonts w:ascii="Arial" w:cs="Arial" w:eastAsia="Arial" w:hAnsi="Arial"/>
                <w:sz w:val="21"/>
                <w:szCs w:val="21"/>
                <w:color w:val="auto"/>
                <w:w w:val="95"/>
              </w:rPr>
              <w:t>(US)</w:t>
            </w:r>
          </w:p>
        </w:tc>
        <w:tc>
          <w:tcPr>
            <w:tcW w:w="1640" w:type="dxa"/>
            <w:vAlign w:val="bottom"/>
            <w:gridSpan w:val="2"/>
          </w:tcPr>
          <w:p>
            <w:pPr>
              <w:jc w:val="center"/>
              <w:spacing w:after="0"/>
              <w:rPr>
                <w:sz w:val="20"/>
                <w:szCs w:val="20"/>
                <w:color w:val="auto"/>
              </w:rPr>
            </w:pPr>
            <w:r>
              <w:rPr>
                <w:rFonts w:ascii="Arial" w:cs="Arial" w:eastAsia="Arial" w:hAnsi="Arial"/>
                <w:sz w:val="21"/>
                <w:szCs w:val="21"/>
                <w:color w:val="auto"/>
              </w:rPr>
              <w:t>Pending: 4Q 10</w:t>
            </w:r>
          </w:p>
        </w:tc>
        <w:tc>
          <w:tcPr>
            <w:tcW w:w="1480" w:type="dxa"/>
            <w:vAlign w:val="bottom"/>
          </w:tcPr>
          <w:p>
            <w:pPr>
              <w:jc w:val="center"/>
              <w:ind w:right="59"/>
              <w:spacing w:after="0"/>
              <w:rPr>
                <w:sz w:val="20"/>
                <w:szCs w:val="20"/>
                <w:color w:val="auto"/>
              </w:rPr>
            </w:pPr>
            <w:r>
              <w:rPr>
                <w:rFonts w:ascii="Arial" w:cs="Arial" w:eastAsia="Arial" w:hAnsi="Arial"/>
                <w:sz w:val="21"/>
                <w:szCs w:val="21"/>
                <w:color w:val="auto"/>
                <w:w w:val="96"/>
              </w:rPr>
              <w:t>&gt; 92</w:t>
            </w:r>
          </w:p>
        </w:tc>
        <w:tc>
          <w:tcPr>
            <w:tcW w:w="4620" w:type="dxa"/>
            <w:vAlign w:val="bottom"/>
          </w:tcPr>
          <w:p>
            <w:pPr>
              <w:jc w:val="center"/>
              <w:spacing w:after="0"/>
              <w:rPr>
                <w:sz w:val="20"/>
                <w:szCs w:val="20"/>
                <w:color w:val="auto"/>
              </w:rPr>
            </w:pPr>
            <w:r>
              <w:rPr>
                <w:rFonts w:ascii="Arial" w:cs="Arial" w:eastAsia="Arial" w:hAnsi="Arial"/>
                <w:sz w:val="21"/>
                <w:szCs w:val="21"/>
                <w:color w:val="auto"/>
                <w:w w:val="99"/>
              </w:rPr>
              <w:t>Initial launch for Blackberry &amp; Android phones</w:t>
            </w:r>
          </w:p>
        </w:tc>
      </w:tr>
      <w:tr>
        <w:trPr>
          <w:trHeight w:val="400"/>
        </w:trPr>
        <w:tc>
          <w:tcPr>
            <w:tcW w:w="3540" w:type="dxa"/>
            <w:vAlign w:val="bottom"/>
            <w:gridSpan w:val="2"/>
          </w:tcPr>
          <w:p>
            <w:pPr>
              <w:spacing w:after="0"/>
              <w:rPr>
                <w:sz w:val="20"/>
                <w:szCs w:val="20"/>
                <w:color w:val="auto"/>
              </w:rPr>
            </w:pPr>
            <w:r>
              <w:rPr>
                <w:rFonts w:ascii="Arial" w:cs="Arial" w:eastAsia="Arial" w:hAnsi="Arial"/>
                <w:sz w:val="21"/>
                <w:szCs w:val="21"/>
                <w:b w:val="1"/>
                <w:bCs w:val="1"/>
                <w:color w:val="auto"/>
                <w:w w:val="97"/>
              </w:rPr>
              <w:t>Everything Everywhere Ltd</w:t>
            </w:r>
            <w:r>
              <w:rPr>
                <w:rFonts w:ascii="Arial" w:cs="Arial" w:eastAsia="Arial" w:hAnsi="Arial"/>
                <w:sz w:val="21"/>
                <w:szCs w:val="21"/>
                <w:color w:val="auto"/>
                <w:w w:val="97"/>
              </w:rPr>
              <w:t>Pending:</w:t>
            </w:r>
            <w:r>
              <w:rPr>
                <w:rFonts w:ascii="Arial" w:cs="Arial" w:eastAsia="Arial" w:hAnsi="Arial"/>
                <w:sz w:val="21"/>
                <w:szCs w:val="21"/>
                <w:b w:val="1"/>
                <w:bCs w:val="1"/>
                <w:color w:val="auto"/>
                <w:w w:val="97"/>
              </w:rPr>
              <w:t>.</w:t>
            </w:r>
          </w:p>
        </w:tc>
        <w:tc>
          <w:tcPr>
            <w:tcW w:w="660" w:type="dxa"/>
            <w:vAlign w:val="bottom"/>
          </w:tcPr>
          <w:p>
            <w:pPr>
              <w:ind w:left="40"/>
              <w:spacing w:after="0"/>
              <w:rPr>
                <w:sz w:val="20"/>
                <w:szCs w:val="20"/>
                <w:color w:val="auto"/>
              </w:rPr>
            </w:pPr>
            <w:r>
              <w:rPr>
                <w:rFonts w:ascii="Arial" w:cs="Arial" w:eastAsia="Arial" w:hAnsi="Arial"/>
                <w:sz w:val="21"/>
                <w:szCs w:val="21"/>
                <w:color w:val="auto"/>
              </w:rPr>
              <w:t>4Q 10</w:t>
            </w:r>
          </w:p>
        </w:tc>
        <w:tc>
          <w:tcPr>
            <w:tcW w:w="1480" w:type="dxa"/>
            <w:vAlign w:val="bottom"/>
          </w:tcPr>
          <w:p>
            <w:pPr>
              <w:jc w:val="center"/>
              <w:ind w:right="59"/>
              <w:spacing w:after="0"/>
              <w:rPr>
                <w:sz w:val="20"/>
                <w:szCs w:val="20"/>
                <w:color w:val="auto"/>
              </w:rPr>
            </w:pPr>
            <w:r>
              <w:rPr>
                <w:rFonts w:ascii="Arial" w:cs="Arial" w:eastAsia="Arial" w:hAnsi="Arial"/>
                <w:sz w:val="21"/>
                <w:szCs w:val="21"/>
                <w:color w:val="auto"/>
                <w:w w:val="96"/>
              </w:rPr>
              <w:t>&gt; 30</w:t>
            </w:r>
          </w:p>
        </w:tc>
        <w:tc>
          <w:tcPr>
            <w:tcW w:w="4620" w:type="dxa"/>
            <w:vAlign w:val="bottom"/>
          </w:tcPr>
          <w:p>
            <w:pPr>
              <w:jc w:val="center"/>
              <w:spacing w:after="0"/>
              <w:rPr>
                <w:sz w:val="20"/>
                <w:szCs w:val="20"/>
                <w:color w:val="auto"/>
              </w:rPr>
            </w:pPr>
            <w:r>
              <w:rPr>
                <w:rFonts w:ascii="Arial" w:cs="Arial" w:eastAsia="Arial" w:hAnsi="Arial"/>
                <w:sz w:val="21"/>
                <w:szCs w:val="21"/>
                <w:color w:val="auto"/>
                <w:w w:val="99"/>
              </w:rPr>
              <w:t>UK’s biggest communications company</w:t>
            </w:r>
          </w:p>
        </w:tc>
      </w:tr>
      <w:tr>
        <w:trPr>
          <w:trHeight w:val="252"/>
        </w:trPr>
        <w:tc>
          <w:tcPr>
            <w:tcW w:w="2560" w:type="dxa"/>
            <w:vAlign w:val="bottom"/>
          </w:tcPr>
          <w:p>
            <w:pPr>
              <w:jc w:val="center"/>
              <w:spacing w:after="0"/>
              <w:rPr>
                <w:sz w:val="20"/>
                <w:szCs w:val="20"/>
                <w:color w:val="auto"/>
              </w:rPr>
            </w:pPr>
            <w:r>
              <w:rPr>
                <w:rFonts w:ascii="Arial" w:cs="Arial" w:eastAsia="Arial" w:hAnsi="Arial"/>
                <w:sz w:val="18"/>
                <w:szCs w:val="18"/>
                <w:color w:val="auto"/>
                <w:w w:val="97"/>
              </w:rPr>
              <w:t>(Orange (UK) / T-Mobile (UK))</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20" w:type="dxa"/>
            <w:vAlign w:val="bottom"/>
          </w:tcPr>
          <w:p>
            <w:pPr>
              <w:jc w:val="center"/>
              <w:spacing w:after="0"/>
              <w:rPr>
                <w:sz w:val="20"/>
                <w:szCs w:val="20"/>
                <w:color w:val="auto"/>
              </w:rPr>
            </w:pPr>
            <w:r>
              <w:rPr>
                <w:rFonts w:ascii="Arial" w:cs="Arial" w:eastAsia="Arial" w:hAnsi="Arial"/>
                <w:sz w:val="21"/>
                <w:szCs w:val="21"/>
                <w:color w:val="auto"/>
                <w:w w:val="99"/>
              </w:rPr>
              <w:t>jointly-owned by Deutsche and France Telecom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FFFFFF"/>
        </w:rPr>
        <w:t>- Page 20-</w:t>
      </w:r>
    </w:p>
    <w:p>
      <w:pPr>
        <w:sectPr>
          <w:pgSz w:w="11900" w:h="16838" w:orient="portrait"/>
          <w:cols w:equalWidth="0" w:num="1">
            <w:col w:w="10540"/>
          </w:cols>
          <w:pgMar w:left="580" w:top="575" w:right="779" w:bottom="1440" w:gutter="0" w:footer="0" w:header="0"/>
        </w:sectPr>
      </w:pPr>
    </w:p>
    <w:bookmarkStart w:id="23" w:name="page24"/>
    <w:bookmarkEnd w:id="23"/>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Promising Results: Carrier #1</w:t>
      </w:r>
    </w:p>
    <w:p>
      <w:pPr>
        <w:spacing w:after="0" w:line="247" w:lineRule="exact"/>
        <w:rPr>
          <w:sz w:val="20"/>
          <w:szCs w:val="20"/>
          <w:color w:val="auto"/>
        </w:rPr>
      </w:pPr>
    </w:p>
    <w:p>
      <w:pPr>
        <w:ind w:left="380" w:hanging="268"/>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5"/>
          <w:szCs w:val="25"/>
          <w:b w:val="1"/>
          <w:bCs w:val="1"/>
          <w:color w:val="auto"/>
        </w:rPr>
        <w:t>Since service launch with mid-tier carrier, user acquisitions have grown</w:t>
      </w:r>
    </w:p>
    <w:p>
      <w:pPr>
        <w:spacing w:after="0" w:line="64" w:lineRule="exact"/>
        <w:rPr>
          <w:rFonts w:ascii="Arial" w:cs="Arial" w:eastAsia="Arial" w:hAnsi="Arial"/>
          <w:sz w:val="20"/>
          <w:szCs w:val="20"/>
          <w:color w:val="auto"/>
        </w:rPr>
      </w:pPr>
    </w:p>
    <w:p>
      <w:pPr>
        <w:ind w:left="840" w:hanging="330"/>
        <w:spacing w:after="0"/>
        <w:tabs>
          <w:tab w:leader="none" w:pos="840" w:val="left"/>
        </w:tabs>
        <w:numPr>
          <w:ilvl w:val="1"/>
          <w:numId w:val="24"/>
        </w:numPr>
        <w:rPr>
          <w:rFonts w:ascii="Arial" w:cs="Arial" w:eastAsia="Arial" w:hAnsi="Arial"/>
          <w:sz w:val="21"/>
          <w:szCs w:val="21"/>
          <w:color w:val="auto"/>
        </w:rPr>
      </w:pPr>
      <w:r>
        <w:rPr>
          <w:rFonts w:ascii="Arial" w:cs="Arial" w:eastAsia="Arial" w:hAnsi="Arial"/>
          <w:sz w:val="27"/>
          <w:szCs w:val="27"/>
          <w:color w:val="auto"/>
        </w:rPr>
        <w:t>3x per quarter and transactions have expanded at 4x per quarter</w:t>
      </w:r>
    </w:p>
    <w:p>
      <w:pPr>
        <w:spacing w:after="0" w:line="143" w:lineRule="exact"/>
        <w:rPr>
          <w:rFonts w:ascii="Arial" w:cs="Arial" w:eastAsia="Arial" w:hAnsi="Arial"/>
          <w:sz w:val="21"/>
          <w:szCs w:val="21"/>
          <w:color w:val="auto"/>
        </w:rPr>
      </w:pPr>
    </w:p>
    <w:p>
      <w:pPr>
        <w:ind w:left="380" w:hanging="268"/>
        <w:spacing w:after="0"/>
        <w:tabs>
          <w:tab w:leader="none" w:pos="380" w:val="left"/>
        </w:tabs>
        <w:numPr>
          <w:ilvl w:val="0"/>
          <w:numId w:val="24"/>
        </w:numPr>
        <w:rPr>
          <w:rFonts w:ascii="Arial" w:cs="Arial" w:eastAsia="Arial" w:hAnsi="Arial"/>
          <w:sz w:val="21"/>
          <w:szCs w:val="21"/>
          <w:color w:val="auto"/>
        </w:rPr>
      </w:pPr>
      <w:r>
        <w:rPr>
          <w:rFonts w:ascii="Arial" w:cs="Arial" w:eastAsia="Arial" w:hAnsi="Arial"/>
          <w:sz w:val="27"/>
          <w:szCs w:val="27"/>
          <w:b w:val="1"/>
          <w:bCs w:val="1"/>
          <w:color w:val="auto"/>
        </w:rPr>
        <w:t>70% conversion to paid subs after free trial period</w:t>
      </w:r>
    </w:p>
    <w:p>
      <w:pPr>
        <w:spacing w:after="0" w:line="186" w:lineRule="exact"/>
        <w:rPr>
          <w:rFonts w:ascii="Arial" w:cs="Arial" w:eastAsia="Arial" w:hAnsi="Arial"/>
          <w:sz w:val="21"/>
          <w:szCs w:val="21"/>
          <w:color w:val="auto"/>
        </w:rPr>
      </w:pPr>
    </w:p>
    <w:p>
      <w:pPr>
        <w:ind w:left="380" w:hanging="268"/>
        <w:spacing w:after="0"/>
        <w:tabs>
          <w:tab w:leader="none" w:pos="380" w:val="left"/>
        </w:tabs>
        <w:numPr>
          <w:ilvl w:val="0"/>
          <w:numId w:val="24"/>
        </w:numPr>
        <w:rPr>
          <w:rFonts w:ascii="Arial" w:cs="Arial" w:eastAsia="Arial" w:hAnsi="Arial"/>
          <w:sz w:val="21"/>
          <w:szCs w:val="21"/>
          <w:color w:val="auto"/>
        </w:rPr>
      </w:pPr>
      <w:r>
        <w:rPr>
          <w:rFonts w:ascii="Arial" w:cs="Arial" w:eastAsia="Arial" w:hAnsi="Arial"/>
          <w:sz w:val="27"/>
          <w:szCs w:val="27"/>
          <w:b w:val="1"/>
          <w:bCs w:val="1"/>
          <w:color w:val="auto"/>
        </w:rPr>
        <w:t>Opt-out rates of less than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FFFFFF"/>
        </w:rPr>
        <w:t>- Page 21-</w:t>
      </w:r>
    </w:p>
    <w:p>
      <w:pPr>
        <w:sectPr>
          <w:pgSz w:w="11900" w:h="16838" w:orient="portrait"/>
          <w:cols w:equalWidth="0" w:num="1">
            <w:col w:w="9879"/>
          </w:cols>
          <w:pgMar w:left="580" w:top="474" w:right="1440" w:bottom="1440" w:gutter="0" w:footer="0" w:header="0"/>
        </w:sectPr>
      </w:pPr>
    </w:p>
    <w:bookmarkStart w:id="24" w:name="page25"/>
    <w:bookmarkEnd w:id="24"/>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User Growth: Carrier #2</w:t>
      </w:r>
    </w:p>
    <w:p>
      <w:pPr>
        <w:spacing w:after="0" w:line="247" w:lineRule="exact"/>
        <w:rPr>
          <w:sz w:val="20"/>
          <w:szCs w:val="20"/>
          <w:color w:val="auto"/>
        </w:rPr>
      </w:pPr>
    </w:p>
    <w:p>
      <w:pPr>
        <w:ind w:left="300" w:hanging="263"/>
        <w:spacing w:after="0"/>
        <w:tabs>
          <w:tab w:leader="none" w:pos="300" w:val="left"/>
        </w:tabs>
        <w:numPr>
          <w:ilvl w:val="0"/>
          <w:numId w:val="25"/>
        </w:numPr>
        <w:rPr>
          <w:rFonts w:ascii="Arial" w:cs="Arial" w:eastAsia="Arial" w:hAnsi="Arial"/>
          <w:sz w:val="21"/>
          <w:szCs w:val="21"/>
          <w:color w:val="auto"/>
        </w:rPr>
      </w:pPr>
      <w:r>
        <w:rPr>
          <w:rFonts w:ascii="Arial" w:cs="Arial" w:eastAsia="Arial" w:hAnsi="Arial"/>
          <w:sz w:val="27"/>
          <w:szCs w:val="27"/>
          <w:b w:val="1"/>
          <w:bCs w:val="1"/>
          <w:color w:val="auto"/>
        </w:rPr>
        <w:t>Since launch in 2009, new registrations have grown steadily</w:t>
      </w:r>
    </w:p>
    <w:p>
      <w:pPr>
        <w:spacing w:after="0" w:line="41" w:lineRule="exact"/>
        <w:rPr>
          <w:rFonts w:ascii="Arial" w:cs="Arial" w:eastAsia="Arial" w:hAnsi="Arial"/>
          <w:sz w:val="21"/>
          <w:szCs w:val="21"/>
          <w:color w:val="auto"/>
        </w:rPr>
      </w:pPr>
    </w:p>
    <w:p>
      <w:pPr>
        <w:ind w:left="700" w:hanging="266"/>
        <w:spacing w:after="0"/>
        <w:tabs>
          <w:tab w:leader="none" w:pos="700" w:val="left"/>
        </w:tabs>
        <w:numPr>
          <w:ilvl w:val="1"/>
          <w:numId w:val="25"/>
        </w:numPr>
        <w:rPr>
          <w:rFonts w:ascii="Arial" w:cs="Arial" w:eastAsia="Arial" w:hAnsi="Arial"/>
          <w:sz w:val="21"/>
          <w:szCs w:val="21"/>
          <w:color w:val="auto"/>
        </w:rPr>
      </w:pPr>
      <w:r>
        <w:rPr>
          <w:rFonts w:ascii="Arial" w:cs="Arial" w:eastAsia="Arial" w:hAnsi="Arial"/>
          <w:sz w:val="27"/>
          <w:szCs w:val="27"/>
          <w:color w:val="auto"/>
        </w:rPr>
        <w:t>Over 40 K registrations in 6 months</w:t>
      </w:r>
    </w:p>
    <w:p>
      <w:pPr>
        <w:spacing w:after="0" w:line="154" w:lineRule="exact"/>
        <w:rPr>
          <w:rFonts w:ascii="Arial" w:cs="Arial" w:eastAsia="Arial" w:hAnsi="Arial"/>
          <w:sz w:val="21"/>
          <w:szCs w:val="21"/>
          <w:color w:val="auto"/>
        </w:rPr>
      </w:pPr>
    </w:p>
    <w:p>
      <w:pPr>
        <w:ind w:left="300" w:hanging="263"/>
        <w:spacing w:after="0"/>
        <w:tabs>
          <w:tab w:leader="none" w:pos="300" w:val="left"/>
        </w:tabs>
        <w:numPr>
          <w:ilvl w:val="0"/>
          <w:numId w:val="25"/>
        </w:numPr>
        <w:rPr>
          <w:rFonts w:ascii="Arial" w:cs="Arial" w:eastAsia="Arial" w:hAnsi="Arial"/>
          <w:sz w:val="20"/>
          <w:szCs w:val="20"/>
          <w:color w:val="auto"/>
        </w:rPr>
      </w:pPr>
      <w:r>
        <w:rPr>
          <w:rFonts w:ascii="Arial" w:cs="Arial" w:eastAsia="Arial" w:hAnsi="Arial"/>
          <w:sz w:val="25"/>
          <w:szCs w:val="25"/>
          <w:b w:val="1"/>
          <w:bCs w:val="1"/>
          <w:color w:val="auto"/>
        </w:rPr>
        <w:t>Carrier reports Vringois among its fastest growing paid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FFFFFF"/>
        </w:rPr>
        <w:t>- Page 22-</w:t>
      </w:r>
    </w:p>
    <w:p>
      <w:pPr>
        <w:sectPr>
          <w:pgSz w:w="11900" w:h="16838" w:orient="portrait"/>
          <w:cols w:equalWidth="0" w:num="1">
            <w:col w:w="9859"/>
          </w:cols>
          <w:pgMar w:left="600" w:top="485" w:right="1440" w:bottom="1440" w:gutter="0" w:footer="0" w:header="0"/>
        </w:sectPr>
      </w:pPr>
    </w:p>
    <w:bookmarkStart w:id="25" w:name="page26"/>
    <w:bookmarkEnd w:id="25"/>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0755" cy="33655"/>
                    </a:xfrm>
                    <a:prstGeom prst="rect">
                      <a:avLst/>
                    </a:prstGeom>
                    <a:noFill/>
                  </pic:spPr>
                </pic:pic>
              </a:graphicData>
            </a:graphic>
          </wp:anchor>
        </w:drawing>
        <w:t>Marketing the Service: Sample Collateral</w:t>
      </w:r>
    </w:p>
    <w:p>
      <w:pPr>
        <w:sectPr>
          <w:pgSz w:w="11900" w:h="16838" w:orient="portrait"/>
          <w:cols w:equalWidth="0" w:num="1">
            <w:col w:w="9879"/>
          </w:cols>
          <w:pgMar w:left="580" w:top="4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FFFFFF"/>
        </w:rPr>
        <w:t>- Page 23 -</w:t>
      </w:r>
    </w:p>
    <w:p>
      <w:pPr>
        <w:sectPr>
          <w:pgSz w:w="11900" w:h="16838" w:orient="portrait"/>
          <w:cols w:equalWidth="0" w:num="1">
            <w:col w:w="9879"/>
          </w:cols>
          <w:pgMar w:left="580" w:top="497"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210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5210175"/>
                    </a:xfrm>
                    <a:prstGeom prst="rect">
                      <a:avLst/>
                    </a:prstGeom>
                    <a:noFill/>
                  </pic:spPr>
                </pic:pic>
              </a:graphicData>
            </a:graphic>
          </wp:anchor>
        </w:drawing>
        <w:t>Consistently Winning Industry Awards</w:t>
      </w:r>
    </w:p>
    <w:p>
      <w:pPr>
        <w:sectPr>
          <w:pgSz w:w="11900" w:h="16838" w:orient="portrait"/>
          <w:cols w:equalWidth="0" w:num="1">
            <w:col w:w="9879"/>
          </w:cols>
          <w:pgMar w:left="580" w:top="5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Best mobile service for social community and user generated content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6A6A6"/>
        </w:rPr>
        <w:t>- October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ind w:left="2880"/>
              <w:spacing w:after="0"/>
              <w:rPr>
                <w:sz w:val="20"/>
                <w:szCs w:val="20"/>
                <w:color w:val="auto"/>
              </w:rPr>
            </w:pPr>
            <w:r>
              <w:rPr>
                <w:rFonts w:ascii="Arial" w:cs="Arial" w:eastAsia="Arial" w:hAnsi="Arial"/>
                <w:sz w:val="17"/>
                <w:szCs w:val="17"/>
                <w:color w:val="auto"/>
              </w:rPr>
              <w:t>nd</w:t>
            </w:r>
          </w:p>
        </w:tc>
        <w:tc>
          <w:tcPr>
            <w:tcW w:w="2920" w:type="dxa"/>
            <w:vAlign w:val="bottom"/>
            <w:vMerge w:val="restart"/>
          </w:tcPr>
          <w:p>
            <w:pPr>
              <w:ind w:left="160"/>
              <w:spacing w:after="0"/>
              <w:rPr>
                <w:sz w:val="20"/>
                <w:szCs w:val="20"/>
                <w:color w:val="auto"/>
              </w:rPr>
            </w:pPr>
            <w:r>
              <w:rPr>
                <w:rFonts w:ascii="Arial" w:cs="Arial" w:eastAsia="Arial" w:hAnsi="Arial"/>
                <w:sz w:val="18"/>
                <w:szCs w:val="18"/>
                <w:color w:val="auto"/>
                <w:w w:val="97"/>
              </w:rPr>
              <w:t>Best mobile community/fan content</w:t>
            </w:r>
          </w:p>
        </w:tc>
        <w:tc>
          <w:tcPr>
            <w:tcW w:w="0" w:type="dxa"/>
            <w:vAlign w:val="bottom"/>
          </w:tcPr>
          <w:p>
            <w:pPr>
              <w:spacing w:after="0"/>
              <w:rPr>
                <w:sz w:val="1"/>
                <w:szCs w:val="1"/>
                <w:color w:val="auto"/>
              </w:rPr>
            </w:pPr>
          </w:p>
        </w:tc>
      </w:tr>
      <w:tr>
        <w:trPr>
          <w:trHeight w:val="94"/>
        </w:trPr>
        <w:tc>
          <w:tcPr>
            <w:tcW w:w="3320" w:type="dxa"/>
            <w:vAlign w:val="bottom"/>
          </w:tcPr>
          <w:p>
            <w:pPr>
              <w:spacing w:after="0" w:line="94" w:lineRule="exact"/>
              <w:rPr>
                <w:sz w:val="20"/>
                <w:szCs w:val="20"/>
                <w:color w:val="auto"/>
              </w:rPr>
            </w:pPr>
            <w:r>
              <w:rPr>
                <w:rFonts w:ascii="Arial" w:cs="Arial" w:eastAsia="Arial" w:hAnsi="Arial"/>
                <w:sz w:val="10"/>
                <w:szCs w:val="10"/>
                <w:color w:val="auto"/>
              </w:rPr>
              <w:t>Best mobile social networking service, 2</w:t>
            </w:r>
          </w:p>
        </w:tc>
        <w:tc>
          <w:tcPr>
            <w:tcW w:w="2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place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20"/>
                <w:szCs w:val="20"/>
                <w:color w:val="auto"/>
              </w:rPr>
            </w:pPr>
            <w:r>
              <w:rPr>
                <w:rFonts w:ascii="Arial" w:cs="Arial" w:eastAsia="Arial" w:hAnsi="Arial"/>
                <w:sz w:val="18"/>
                <w:szCs w:val="18"/>
                <w:color w:val="A6A6A6"/>
              </w:rPr>
              <w:t>- January 2008</w:t>
            </w:r>
          </w:p>
        </w:tc>
        <w:tc>
          <w:tcPr>
            <w:tcW w:w="2920" w:type="dxa"/>
            <w:vAlign w:val="bottom"/>
          </w:tcPr>
          <w:p>
            <w:pPr>
              <w:ind w:left="160"/>
              <w:spacing w:after="0"/>
              <w:rPr>
                <w:sz w:val="20"/>
                <w:szCs w:val="20"/>
                <w:color w:val="auto"/>
              </w:rPr>
            </w:pPr>
            <w:r>
              <w:rPr>
                <w:rFonts w:ascii="Arial" w:cs="Arial" w:eastAsia="Arial" w:hAnsi="Arial"/>
                <w:sz w:val="18"/>
                <w:szCs w:val="18"/>
                <w:color w:val="A6A6A6"/>
              </w:rPr>
              <w:t>- November 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00" w:space="280"/>
            <w:col w:w="6399"/>
          </w:cols>
          <w:pgMar w:left="580" w:top="59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940" w:val="left"/>
        </w:tabs>
        <w:rPr>
          <w:sz w:val="20"/>
          <w:szCs w:val="20"/>
          <w:color w:val="auto"/>
        </w:rPr>
      </w:pPr>
      <w:r>
        <w:rPr>
          <w:rFonts w:ascii="Arial" w:cs="Arial" w:eastAsia="Arial" w:hAnsi="Arial"/>
          <w:sz w:val="18"/>
          <w:szCs w:val="18"/>
          <w:color w:val="auto"/>
        </w:rPr>
        <w:t>Best use of phone functionality</w:t>
      </w:r>
      <w:r>
        <w:rPr>
          <w:sz w:val="20"/>
          <w:szCs w:val="20"/>
          <w:color w:val="auto"/>
        </w:rPr>
        <w:tab/>
      </w:r>
      <w:r>
        <w:rPr>
          <w:rFonts w:ascii="Arial" w:cs="Arial" w:eastAsia="Arial" w:hAnsi="Arial"/>
          <w:sz w:val="17"/>
          <w:szCs w:val="17"/>
          <w:color w:val="auto"/>
        </w:rPr>
        <w:t>Winner Red Herring 100</w:t>
      </w:r>
    </w:p>
    <w:p>
      <w:pPr>
        <w:spacing w:after="0" w:line="3" w:lineRule="exact"/>
        <w:rPr>
          <w:sz w:val="20"/>
          <w:szCs w:val="20"/>
          <w:color w:val="auto"/>
        </w:rPr>
      </w:pPr>
    </w:p>
    <w:p>
      <w:pPr>
        <w:spacing w:after="0"/>
        <w:tabs>
          <w:tab w:leader="none" w:pos="6940" w:val="left"/>
        </w:tabs>
        <w:rPr>
          <w:sz w:val="20"/>
          <w:szCs w:val="20"/>
          <w:color w:val="auto"/>
        </w:rPr>
      </w:pPr>
      <w:r>
        <w:rPr>
          <w:rFonts w:ascii="Arial" w:cs="Arial" w:eastAsia="Arial" w:hAnsi="Arial"/>
          <w:sz w:val="18"/>
          <w:szCs w:val="18"/>
          <w:color w:val="A6A6A6"/>
        </w:rPr>
        <w:t>- December 2007</w:t>
      </w:r>
      <w:r>
        <w:rPr>
          <w:sz w:val="20"/>
          <w:szCs w:val="20"/>
          <w:color w:val="auto"/>
        </w:rPr>
        <w:tab/>
      </w:r>
      <w:r>
        <w:rPr>
          <w:rFonts w:ascii="Arial" w:cs="Arial" w:eastAsia="Arial" w:hAnsi="Arial"/>
          <w:sz w:val="17"/>
          <w:szCs w:val="17"/>
          <w:color w:val="A6A6A6"/>
        </w:rPr>
        <w:t>- April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460" w:val="left"/>
          <w:tab w:leader="none" w:pos="6940" w:val="left"/>
        </w:tabs>
        <w:rPr>
          <w:sz w:val="20"/>
          <w:szCs w:val="20"/>
          <w:color w:val="auto"/>
        </w:rPr>
      </w:pPr>
      <w:r>
        <w:rPr>
          <w:rFonts w:ascii="Arial" w:cs="Arial" w:eastAsia="Arial" w:hAnsi="Arial"/>
          <w:sz w:val="18"/>
          <w:szCs w:val="18"/>
          <w:color w:val="auto"/>
        </w:rPr>
        <w:t>Always On Top 100 Media winner</w:t>
      </w:r>
      <w:r>
        <w:rPr>
          <w:sz w:val="20"/>
          <w:szCs w:val="20"/>
          <w:color w:val="auto"/>
        </w:rPr>
        <w:tab/>
      </w:r>
      <w:r>
        <w:rPr>
          <w:rFonts w:ascii="Arial" w:cs="Arial" w:eastAsia="Arial" w:hAnsi="Arial"/>
          <w:sz w:val="18"/>
          <w:szCs w:val="18"/>
          <w:color w:val="auto"/>
        </w:rPr>
        <w:t>Finalist</w:t>
      </w:r>
      <w:r>
        <w:rPr>
          <w:sz w:val="20"/>
          <w:szCs w:val="20"/>
          <w:color w:val="auto"/>
        </w:rPr>
        <w:tab/>
      </w:r>
      <w:r>
        <w:rPr>
          <w:rFonts w:ascii="Arial" w:cs="Arial" w:eastAsia="Arial" w:hAnsi="Arial"/>
          <w:sz w:val="17"/>
          <w:szCs w:val="17"/>
          <w:color w:val="auto"/>
        </w:rPr>
        <w:t>Best ringtone innovation</w:t>
      </w:r>
    </w:p>
    <w:p>
      <w:pPr>
        <w:spacing w:after="0" w:line="3" w:lineRule="exact"/>
        <w:rPr>
          <w:sz w:val="20"/>
          <w:szCs w:val="20"/>
          <w:color w:val="auto"/>
        </w:rPr>
      </w:pPr>
    </w:p>
    <w:p>
      <w:pPr>
        <w:spacing w:after="0"/>
        <w:tabs>
          <w:tab w:leader="none" w:pos="3460" w:val="left"/>
          <w:tab w:leader="none" w:pos="6940" w:val="left"/>
        </w:tabs>
        <w:rPr>
          <w:sz w:val="20"/>
          <w:szCs w:val="20"/>
          <w:color w:val="auto"/>
        </w:rPr>
      </w:pPr>
      <w:r>
        <w:rPr>
          <w:rFonts w:ascii="Arial" w:cs="Arial" w:eastAsia="Arial" w:hAnsi="Arial"/>
          <w:sz w:val="18"/>
          <w:szCs w:val="18"/>
          <w:color w:val="A6A6A6"/>
        </w:rPr>
        <w:t>- January 2008</w:t>
      </w:r>
      <w:r>
        <w:rPr>
          <w:sz w:val="20"/>
          <w:szCs w:val="20"/>
          <w:color w:val="auto"/>
        </w:rPr>
        <w:tab/>
      </w:r>
      <w:r>
        <w:rPr>
          <w:rFonts w:ascii="Arial" w:cs="Arial" w:eastAsia="Arial" w:hAnsi="Arial"/>
          <w:sz w:val="18"/>
          <w:szCs w:val="18"/>
          <w:color w:val="A6A6A6"/>
        </w:rPr>
        <w:t>- March 2008</w:t>
      </w:r>
      <w:r>
        <w:rPr>
          <w:sz w:val="20"/>
          <w:szCs w:val="20"/>
          <w:color w:val="auto"/>
        </w:rPr>
        <w:tab/>
      </w:r>
      <w:r>
        <w:rPr>
          <w:rFonts w:ascii="Arial" w:cs="Arial" w:eastAsia="Arial" w:hAnsi="Arial"/>
          <w:sz w:val="17"/>
          <w:szCs w:val="17"/>
          <w:color w:val="A6A6A6"/>
        </w:rPr>
        <w:t>- June 2008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FFFFFF"/>
        </w:rPr>
        <w:t>- Page 24-</w:t>
      </w:r>
    </w:p>
    <w:p>
      <w:pPr>
        <w:sectPr>
          <w:pgSz w:w="11900" w:h="16838" w:orient="portrait"/>
          <w:cols w:equalWidth="0" w:num="1">
            <w:col w:w="9879"/>
          </w:cols>
          <w:pgMar w:left="580" w:top="596"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Major Outlet Media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460" w:val="left"/>
        </w:tabs>
        <w:rPr>
          <w:sz w:val="20"/>
          <w:szCs w:val="20"/>
          <w:color w:val="auto"/>
        </w:rPr>
      </w:pPr>
      <w:r>
        <w:rPr>
          <w:rFonts w:ascii="Arial" w:cs="Arial" w:eastAsia="Arial" w:hAnsi="Arial"/>
          <w:sz w:val="18"/>
          <w:szCs w:val="18"/>
          <w:color w:val="auto"/>
        </w:rPr>
        <w:t>“offers an eyeful…has to be seen to be</w:t>
      </w:r>
      <w:r>
        <w:rPr>
          <w:sz w:val="20"/>
          <w:szCs w:val="20"/>
          <w:color w:val="auto"/>
        </w:rPr>
        <w:tab/>
      </w:r>
      <w:r>
        <w:rPr>
          <w:rFonts w:ascii="Arial" w:cs="Arial" w:eastAsia="Arial" w:hAnsi="Arial"/>
          <w:sz w:val="17"/>
          <w:szCs w:val="17"/>
          <w:color w:val="auto"/>
        </w:rPr>
        <w:t>“Vringo has something that others lack…the “the next level ringtone…this company’s fun</w:t>
      </w:r>
    </w:p>
    <w:p>
      <w:pPr>
        <w:spacing w:after="0" w:line="14" w:lineRule="exact"/>
        <w:rPr>
          <w:sz w:val="20"/>
          <w:szCs w:val="20"/>
          <w:color w:val="auto"/>
        </w:rPr>
      </w:pPr>
    </w:p>
    <w:p>
      <w:pPr>
        <w:spacing w:after="0"/>
        <w:tabs>
          <w:tab w:leader="none" w:pos="3460" w:val="left"/>
          <w:tab w:leader="none" w:pos="6940" w:val="left"/>
        </w:tabs>
        <w:rPr>
          <w:sz w:val="20"/>
          <w:szCs w:val="20"/>
          <w:color w:val="auto"/>
        </w:rPr>
      </w:pPr>
      <w:r>
        <w:rPr>
          <w:rFonts w:ascii="Arial" w:cs="Arial" w:eastAsia="Arial" w:hAnsi="Arial"/>
          <w:sz w:val="18"/>
          <w:szCs w:val="18"/>
          <w:color w:val="auto"/>
        </w:rPr>
        <w:t>believed”</w:t>
      </w:r>
      <w:r>
        <w:rPr>
          <w:sz w:val="20"/>
          <w:szCs w:val="20"/>
          <w:color w:val="auto"/>
        </w:rPr>
        <w:tab/>
      </w:r>
      <w:r>
        <w:rPr>
          <w:rFonts w:ascii="Arial" w:cs="Arial" w:eastAsia="Arial" w:hAnsi="Arial"/>
          <w:sz w:val="18"/>
          <w:szCs w:val="18"/>
          <w:color w:val="auto"/>
        </w:rPr>
        <w:t>caller has the power”</w:t>
      </w:r>
      <w:r>
        <w:rPr>
          <w:sz w:val="20"/>
          <w:szCs w:val="20"/>
          <w:color w:val="auto"/>
        </w:rPr>
        <w:tab/>
      </w:r>
      <w:r>
        <w:rPr>
          <w:rFonts w:ascii="Arial" w:cs="Arial" w:eastAsia="Arial" w:hAnsi="Arial"/>
          <w:sz w:val="17"/>
          <w:szCs w:val="17"/>
          <w:color w:val="auto"/>
        </w:rPr>
        <w:t>and unusual product is just getting better</w:t>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and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“every call thus becomes an opportunity to</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share content and to establish</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identity…Vringo has a head start over</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competitors”</w:t>
      </w:r>
    </w:p>
    <w:p>
      <w:pPr>
        <w:sectPr>
          <w:pgSz w:w="11900" w:h="16838" w:orient="portrait"/>
          <w:cols w:equalWidth="0" w:num="1">
            <w:col w:w="10400"/>
          </w:cols>
          <w:pgMar w:left="580" w:top="497"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service aims to tap consumer’s obsession with creating their own content”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“the next big thing in ringtones…soon</w:t>
            </w:r>
          </w:p>
        </w:tc>
        <w:tc>
          <w:tcPr>
            <w:tcW w:w="3120" w:type="dxa"/>
            <w:vAlign w:val="bottom"/>
            <w:vMerge w:val="restart"/>
          </w:tcPr>
          <w:p>
            <w:pPr>
              <w:ind w:left="280"/>
              <w:spacing w:after="0"/>
              <w:rPr>
                <w:sz w:val="20"/>
                <w:szCs w:val="20"/>
                <w:color w:val="auto"/>
              </w:rPr>
            </w:pPr>
            <w:r>
              <w:rPr>
                <w:rFonts w:ascii="Arial" w:cs="Arial" w:eastAsia="Arial" w:hAnsi="Arial"/>
                <w:sz w:val="18"/>
                <w:szCs w:val="18"/>
                <w:color w:val="auto"/>
                <w:w w:val="97"/>
              </w:rPr>
              <w:t>“Next big thing in the ringtone wave”</w:t>
            </w:r>
          </w:p>
        </w:tc>
        <w:tc>
          <w:tcPr>
            <w:tcW w:w="0" w:type="dxa"/>
            <w:vAlign w:val="bottom"/>
          </w:tcPr>
          <w:p>
            <w:pPr>
              <w:spacing w:after="0"/>
              <w:rPr>
                <w:sz w:val="1"/>
                <w:szCs w:val="1"/>
                <w:color w:val="auto"/>
              </w:rPr>
            </w:pPr>
          </w:p>
        </w:tc>
      </w:tr>
      <w:tr>
        <w:trPr>
          <w:trHeight w:val="68"/>
        </w:trPr>
        <w:tc>
          <w:tcPr>
            <w:tcW w:w="3200" w:type="dxa"/>
            <w:vAlign w:val="bottom"/>
            <w:vMerge w:val="restart"/>
          </w:tcPr>
          <w:p>
            <w:pPr>
              <w:spacing w:after="0"/>
              <w:rPr>
                <w:sz w:val="20"/>
                <w:szCs w:val="20"/>
                <w:color w:val="auto"/>
              </w:rPr>
            </w:pPr>
            <w:r>
              <w:rPr>
                <w:rFonts w:ascii="Arial" w:cs="Arial" w:eastAsia="Arial" w:hAnsi="Arial"/>
                <w:sz w:val="18"/>
                <w:szCs w:val="18"/>
                <w:color w:val="auto"/>
              </w:rPr>
              <w:t>everyone could have a Vringo, a</w:t>
            </w:r>
          </w:p>
        </w:tc>
        <w:tc>
          <w:tcPr>
            <w:tcW w:w="3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20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20"/>
                <w:szCs w:val="20"/>
                <w:color w:val="auto"/>
              </w:rPr>
            </w:pPr>
            <w:r>
              <w:rPr>
                <w:rFonts w:ascii="Arial" w:cs="Arial" w:eastAsia="Arial" w:hAnsi="Arial"/>
                <w:sz w:val="18"/>
                <w:szCs w:val="18"/>
                <w:color w:val="auto"/>
              </w:rPr>
              <w:t>personalized video ringtone”</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00" w:space="180"/>
            <w:col w:w="6920"/>
          </w:cols>
          <w:pgMar w:left="580" w:top="497" w:right="9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FFFFFF"/>
        </w:rPr>
        <w:t>- Page 25 -</w:t>
      </w:r>
    </w:p>
    <w:p>
      <w:pPr>
        <w:sectPr>
          <w:pgSz w:w="11900" w:h="16838" w:orient="portrait"/>
          <w:cols w:equalWidth="0" w:num="1">
            <w:col w:w="10400"/>
          </w:cols>
          <w:pgMar w:left="580" w:top="497" w:right="9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Three Drivers of Growth</w:t>
      </w:r>
    </w:p>
    <w:p>
      <w:pPr>
        <w:spacing w:after="0" w:line="200" w:lineRule="exact"/>
        <w:rPr>
          <w:sz w:val="20"/>
          <w:szCs w:val="20"/>
          <w:color w:val="auto"/>
        </w:rPr>
      </w:pPr>
    </w:p>
    <w:p>
      <w:pPr>
        <w:spacing w:after="0" w:line="364" w:lineRule="exact"/>
        <w:rPr>
          <w:sz w:val="20"/>
          <w:szCs w:val="20"/>
          <w:color w:val="auto"/>
        </w:rPr>
      </w:pPr>
    </w:p>
    <w:p>
      <w:pPr>
        <w:ind w:left="400" w:hanging="275"/>
        <w:spacing w:after="0"/>
        <w:tabs>
          <w:tab w:leader="none" w:pos="400" w:val="left"/>
        </w:tabs>
        <w:numPr>
          <w:ilvl w:val="0"/>
          <w:numId w:val="26"/>
        </w:numPr>
        <w:rPr>
          <w:rFonts w:ascii="Arial" w:cs="Arial" w:eastAsia="Arial" w:hAnsi="Arial"/>
          <w:sz w:val="23"/>
          <w:szCs w:val="23"/>
          <w:color w:val="auto"/>
        </w:rPr>
      </w:pPr>
      <w:r>
        <w:rPr>
          <w:rFonts w:ascii="Arial" w:cs="Arial" w:eastAsia="Arial" w:hAnsi="Arial"/>
          <w:sz w:val="30"/>
          <w:szCs w:val="30"/>
          <w:b w:val="1"/>
          <w:bCs w:val="1"/>
          <w:color w:val="auto"/>
        </w:rPr>
        <w:t>Growing our business in the countries where we have launched</w:t>
      </w:r>
    </w:p>
    <w:p>
      <w:pPr>
        <w:spacing w:after="0" w:line="46" w:lineRule="exact"/>
        <w:rPr>
          <w:rFonts w:ascii="Arial" w:cs="Arial" w:eastAsia="Arial" w:hAnsi="Arial"/>
          <w:sz w:val="23"/>
          <w:szCs w:val="23"/>
          <w:color w:val="auto"/>
        </w:rPr>
      </w:pPr>
    </w:p>
    <w:p>
      <w:pPr>
        <w:ind w:left="860" w:hanging="326"/>
        <w:spacing w:after="0"/>
        <w:tabs>
          <w:tab w:leader="none" w:pos="860" w:val="left"/>
        </w:tabs>
        <w:numPr>
          <w:ilvl w:val="1"/>
          <w:numId w:val="26"/>
        </w:numPr>
        <w:rPr>
          <w:rFonts w:ascii="Arial" w:cs="Arial" w:eastAsia="Arial" w:hAnsi="Arial"/>
          <w:sz w:val="29"/>
          <w:szCs w:val="29"/>
          <w:color w:val="auto"/>
        </w:rPr>
      </w:pPr>
      <w:r>
        <w:rPr>
          <w:rFonts w:ascii="Arial" w:cs="Arial" w:eastAsia="Arial" w:hAnsi="Arial"/>
          <w:sz w:val="29"/>
          <w:szCs w:val="29"/>
          <w:color w:val="auto"/>
        </w:rPr>
        <w:t>Continue to grow organically in each, driving subscription revenue</w:t>
      </w:r>
    </w:p>
    <w:p>
      <w:pPr>
        <w:spacing w:after="0" w:line="19" w:lineRule="exact"/>
        <w:rPr>
          <w:rFonts w:ascii="Arial" w:cs="Arial" w:eastAsia="Arial" w:hAnsi="Arial"/>
          <w:sz w:val="29"/>
          <w:szCs w:val="29"/>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Adding new customer acquisition techniques, such as:</w:t>
      </w:r>
    </w:p>
    <w:p>
      <w:pPr>
        <w:spacing w:after="0" w:line="8" w:lineRule="exact"/>
        <w:rPr>
          <w:rFonts w:ascii="Arial" w:cs="Arial" w:eastAsia="Arial" w:hAnsi="Arial"/>
          <w:sz w:val="30"/>
          <w:szCs w:val="30"/>
          <w:color w:val="auto"/>
        </w:rPr>
      </w:pPr>
    </w:p>
    <w:p>
      <w:pPr>
        <w:ind w:left="1260" w:hanging="340"/>
        <w:spacing w:after="0"/>
        <w:tabs>
          <w:tab w:leader="none" w:pos="1260" w:val="left"/>
        </w:tabs>
        <w:numPr>
          <w:ilvl w:val="2"/>
          <w:numId w:val="26"/>
        </w:numPr>
        <w:rPr>
          <w:rFonts w:ascii="Arial" w:cs="Arial" w:eastAsia="Arial" w:hAnsi="Arial"/>
          <w:sz w:val="23"/>
          <w:szCs w:val="23"/>
          <w:color w:val="auto"/>
        </w:rPr>
      </w:pPr>
      <w:r>
        <w:rPr>
          <w:rFonts w:ascii="Arial" w:cs="Arial" w:eastAsia="Arial" w:hAnsi="Arial"/>
          <w:sz w:val="30"/>
          <w:szCs w:val="30"/>
          <w:color w:val="auto"/>
        </w:rPr>
        <w:t>Voting, USSD, advertising</w:t>
      </w:r>
    </w:p>
    <w:p>
      <w:pPr>
        <w:spacing w:after="0" w:line="8" w:lineRule="exact"/>
        <w:rPr>
          <w:rFonts w:ascii="Arial" w:cs="Arial" w:eastAsia="Arial" w:hAnsi="Arial"/>
          <w:sz w:val="23"/>
          <w:szCs w:val="23"/>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Add additional carriers in the territory</w:t>
      </w:r>
    </w:p>
    <w:p>
      <w:pPr>
        <w:spacing w:after="0" w:line="323" w:lineRule="exact"/>
        <w:rPr>
          <w:rFonts w:ascii="Arial" w:cs="Arial" w:eastAsia="Arial" w:hAnsi="Arial"/>
          <w:sz w:val="30"/>
          <w:szCs w:val="30"/>
          <w:color w:val="auto"/>
        </w:rPr>
      </w:pPr>
    </w:p>
    <w:p>
      <w:pPr>
        <w:ind w:left="400" w:hanging="275"/>
        <w:spacing w:after="0"/>
        <w:tabs>
          <w:tab w:leader="none" w:pos="400" w:val="left"/>
        </w:tabs>
        <w:numPr>
          <w:ilvl w:val="0"/>
          <w:numId w:val="26"/>
        </w:numPr>
        <w:rPr>
          <w:rFonts w:ascii="Arial" w:cs="Arial" w:eastAsia="Arial" w:hAnsi="Arial"/>
          <w:sz w:val="30"/>
          <w:szCs w:val="30"/>
          <w:color w:val="auto"/>
        </w:rPr>
      </w:pPr>
      <w:r>
        <w:rPr>
          <w:rFonts w:ascii="Arial" w:cs="Arial" w:eastAsia="Arial" w:hAnsi="Arial"/>
          <w:sz w:val="30"/>
          <w:szCs w:val="30"/>
          <w:b w:val="1"/>
          <w:bCs w:val="1"/>
          <w:color w:val="auto"/>
        </w:rPr>
        <w:t>Rolling out new countries and partners</w:t>
      </w:r>
    </w:p>
    <w:p>
      <w:pPr>
        <w:spacing w:after="0" w:line="46" w:lineRule="exact"/>
        <w:rPr>
          <w:rFonts w:ascii="Arial" w:cs="Arial" w:eastAsia="Arial" w:hAnsi="Arial"/>
          <w:sz w:val="30"/>
          <w:szCs w:val="30"/>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Continuous development of a rich pipeline</w:t>
      </w:r>
    </w:p>
    <w:p>
      <w:pPr>
        <w:spacing w:after="0" w:line="8" w:lineRule="exact"/>
        <w:rPr>
          <w:rFonts w:ascii="Arial" w:cs="Arial" w:eastAsia="Arial" w:hAnsi="Arial"/>
          <w:sz w:val="30"/>
          <w:szCs w:val="30"/>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Add 2-3 territories/partners per quarter</w:t>
      </w:r>
    </w:p>
    <w:p>
      <w:pPr>
        <w:spacing w:after="0" w:line="8" w:lineRule="exact"/>
        <w:rPr>
          <w:rFonts w:ascii="Arial" w:cs="Arial" w:eastAsia="Arial" w:hAnsi="Arial"/>
          <w:sz w:val="30"/>
          <w:szCs w:val="30"/>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Migration to wealthier markets</w:t>
      </w:r>
    </w:p>
    <w:p>
      <w:pPr>
        <w:spacing w:after="0" w:line="323" w:lineRule="exact"/>
        <w:rPr>
          <w:rFonts w:ascii="Arial" w:cs="Arial" w:eastAsia="Arial" w:hAnsi="Arial"/>
          <w:sz w:val="30"/>
          <w:szCs w:val="30"/>
          <w:color w:val="auto"/>
        </w:rPr>
      </w:pPr>
    </w:p>
    <w:p>
      <w:pPr>
        <w:ind w:left="400" w:hanging="275"/>
        <w:spacing w:after="0"/>
        <w:tabs>
          <w:tab w:leader="none" w:pos="400" w:val="left"/>
        </w:tabs>
        <w:numPr>
          <w:ilvl w:val="0"/>
          <w:numId w:val="26"/>
        </w:numPr>
        <w:rPr>
          <w:rFonts w:ascii="Arial" w:cs="Arial" w:eastAsia="Arial" w:hAnsi="Arial"/>
          <w:sz w:val="30"/>
          <w:szCs w:val="30"/>
          <w:color w:val="auto"/>
        </w:rPr>
      </w:pPr>
      <w:r>
        <w:rPr>
          <w:rFonts w:ascii="Arial" w:cs="Arial" w:eastAsia="Arial" w:hAnsi="Arial"/>
          <w:sz w:val="30"/>
          <w:szCs w:val="30"/>
          <w:b w:val="1"/>
          <w:bCs w:val="1"/>
          <w:color w:val="auto"/>
        </w:rPr>
        <w:t>Bring new monetization models into play</w:t>
      </w:r>
    </w:p>
    <w:p>
      <w:pPr>
        <w:spacing w:after="0" w:line="46" w:lineRule="exact"/>
        <w:rPr>
          <w:rFonts w:ascii="Arial" w:cs="Arial" w:eastAsia="Arial" w:hAnsi="Arial"/>
          <w:sz w:val="30"/>
          <w:szCs w:val="30"/>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Advertising-based Vringo will become important</w:t>
      </w:r>
    </w:p>
    <w:p>
      <w:pPr>
        <w:spacing w:after="0" w:line="8" w:lineRule="exact"/>
        <w:rPr>
          <w:rFonts w:ascii="Arial" w:cs="Arial" w:eastAsia="Arial" w:hAnsi="Arial"/>
          <w:sz w:val="30"/>
          <w:szCs w:val="30"/>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App stores and content bundles</w:t>
      </w:r>
    </w:p>
    <w:p>
      <w:pPr>
        <w:spacing w:after="0" w:line="8" w:lineRule="exact"/>
        <w:rPr>
          <w:rFonts w:ascii="Arial" w:cs="Arial" w:eastAsia="Arial" w:hAnsi="Arial"/>
          <w:sz w:val="30"/>
          <w:szCs w:val="30"/>
          <w:color w:val="auto"/>
        </w:rPr>
      </w:pPr>
    </w:p>
    <w:p>
      <w:pPr>
        <w:ind w:left="860" w:hanging="326"/>
        <w:spacing w:after="0"/>
        <w:tabs>
          <w:tab w:leader="none" w:pos="860" w:val="left"/>
        </w:tabs>
        <w:numPr>
          <w:ilvl w:val="1"/>
          <w:numId w:val="26"/>
        </w:numPr>
        <w:rPr>
          <w:rFonts w:ascii="Arial" w:cs="Arial" w:eastAsia="Arial" w:hAnsi="Arial"/>
          <w:sz w:val="30"/>
          <w:szCs w:val="30"/>
          <w:color w:val="auto"/>
        </w:rPr>
      </w:pPr>
      <w:r>
        <w:rPr>
          <w:rFonts w:ascii="Arial" w:cs="Arial" w:eastAsia="Arial" w:hAnsi="Arial"/>
          <w:sz w:val="30"/>
          <w:szCs w:val="30"/>
          <w:color w:val="auto"/>
        </w:rPr>
        <w:t>Leverage carrier relationships for new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FFFFFF"/>
        </w:rPr>
        <w:t>- Page 26 -</w:t>
      </w:r>
    </w:p>
    <w:p>
      <w:pPr>
        <w:sectPr>
          <w:pgSz w:w="11900" w:h="16838" w:orient="portrait"/>
          <w:cols w:equalWidth="0" w:num="1">
            <w:col w:w="9859"/>
          </w:cols>
          <w:pgMar w:left="600" w:top="497" w:right="1440" w:bottom="1440" w:gutter="0" w:footer="0" w:header="0"/>
        </w:sectPr>
      </w:pPr>
    </w:p>
    <w:bookmarkStart w:id="29" w:name="page30"/>
    <w:bookmarkEnd w:id="29"/>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Multiple Waves of Growth Via New Operators</w:t>
      </w:r>
    </w:p>
    <w:p>
      <w:pPr>
        <w:sectPr>
          <w:pgSz w:w="11900" w:h="16838" w:orient="portrait"/>
          <w:cols w:equalWidth="0" w:num="1">
            <w:col w:w="10260"/>
          </w:cols>
          <w:pgMar w:left="580" w:top="4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2740" w:type="dxa"/>
            <w:vAlign w:val="bottom"/>
          </w:tcPr>
          <w:p>
            <w:pPr>
              <w:jc w:val="center"/>
              <w:ind w:left="1048"/>
              <w:spacing w:after="0"/>
              <w:rPr>
                <w:sz w:val="20"/>
                <w:szCs w:val="20"/>
                <w:color w:val="auto"/>
              </w:rPr>
            </w:pPr>
            <w:r>
              <w:rPr>
                <w:rFonts w:ascii="Arial" w:cs="Arial" w:eastAsia="Arial" w:hAnsi="Arial"/>
                <w:sz w:val="23"/>
                <w:szCs w:val="23"/>
                <w:b w:val="1"/>
                <w:bCs w:val="1"/>
                <w:color w:val="FFFFFF"/>
              </w:rPr>
              <w:t>ONE</w:t>
            </w:r>
          </w:p>
        </w:tc>
        <w:tc>
          <w:tcPr>
            <w:tcW w:w="1560" w:type="dxa"/>
            <w:vAlign w:val="bottom"/>
          </w:tcPr>
          <w:p>
            <w:pPr>
              <w:jc w:val="center"/>
              <w:spacing w:after="0"/>
              <w:rPr>
                <w:sz w:val="20"/>
                <w:szCs w:val="20"/>
                <w:color w:val="auto"/>
              </w:rPr>
            </w:pPr>
            <w:r>
              <w:rPr>
                <w:rFonts w:ascii="Arial" w:cs="Arial" w:eastAsia="Arial" w:hAnsi="Arial"/>
                <w:sz w:val="23"/>
                <w:szCs w:val="23"/>
                <w:b w:val="1"/>
                <w:bCs w:val="1"/>
                <w:color w:val="FFFFFF"/>
              </w:rPr>
              <w:t>TWO</w:t>
            </w:r>
          </w:p>
        </w:tc>
        <w:tc>
          <w:tcPr>
            <w:tcW w:w="1300" w:type="dxa"/>
            <w:vAlign w:val="bottom"/>
          </w:tcPr>
          <w:p>
            <w:pPr>
              <w:ind w:left="220"/>
              <w:spacing w:after="0"/>
              <w:rPr>
                <w:sz w:val="20"/>
                <w:szCs w:val="20"/>
                <w:color w:val="auto"/>
              </w:rPr>
            </w:pPr>
            <w:r>
              <w:rPr>
                <w:rFonts w:ascii="Arial" w:cs="Arial" w:eastAsia="Arial" w:hAnsi="Arial"/>
                <w:sz w:val="23"/>
                <w:szCs w:val="23"/>
                <w:b w:val="1"/>
                <w:bCs w:val="1"/>
                <w:color w:val="FFFFFF"/>
              </w:rPr>
              <w:t>THREE</w:t>
            </w:r>
          </w:p>
        </w:tc>
        <w:tc>
          <w:tcPr>
            <w:tcW w:w="1120" w:type="dxa"/>
            <w:vAlign w:val="bottom"/>
          </w:tcPr>
          <w:p>
            <w:pPr>
              <w:jc w:val="center"/>
              <w:ind w:left="190"/>
              <w:spacing w:after="0"/>
              <w:rPr>
                <w:sz w:val="20"/>
                <w:szCs w:val="20"/>
                <w:color w:val="auto"/>
              </w:rPr>
            </w:pPr>
            <w:r>
              <w:rPr>
                <w:rFonts w:ascii="Arial" w:cs="Arial" w:eastAsia="Arial" w:hAnsi="Arial"/>
                <w:sz w:val="23"/>
                <w:szCs w:val="23"/>
                <w:b w:val="1"/>
                <w:bCs w:val="1"/>
                <w:color w:val="FFFFFF"/>
              </w:rPr>
              <w:t>FOUR</w:t>
            </w:r>
          </w:p>
        </w:tc>
        <w:tc>
          <w:tcPr>
            <w:tcW w:w="0" w:type="dxa"/>
            <w:vAlign w:val="bottom"/>
          </w:tcPr>
          <w:p>
            <w:pPr>
              <w:spacing w:after="0"/>
              <w:rPr>
                <w:sz w:val="1"/>
                <w:szCs w:val="1"/>
                <w:color w:val="auto"/>
              </w:rPr>
            </w:pPr>
          </w:p>
        </w:tc>
      </w:tr>
      <w:tr>
        <w:trPr>
          <w:trHeight w:val="252"/>
        </w:trPr>
        <w:tc>
          <w:tcPr>
            <w:tcW w:w="2740" w:type="dxa"/>
            <w:vAlign w:val="bottom"/>
          </w:tcPr>
          <w:p>
            <w:pPr>
              <w:jc w:val="center"/>
              <w:ind w:left="1028"/>
              <w:spacing w:after="0"/>
              <w:rPr>
                <w:sz w:val="20"/>
                <w:szCs w:val="20"/>
                <w:color w:val="auto"/>
              </w:rPr>
            </w:pPr>
            <w:r>
              <w:rPr>
                <w:rFonts w:ascii="Arial" w:cs="Arial" w:eastAsia="Arial" w:hAnsi="Arial"/>
                <w:sz w:val="21"/>
                <w:szCs w:val="21"/>
                <w:color w:val="FFFFFF"/>
                <w:w w:val="99"/>
              </w:rPr>
              <w:t>deployment</w:t>
            </w:r>
          </w:p>
        </w:tc>
        <w:tc>
          <w:tcPr>
            <w:tcW w:w="1560" w:type="dxa"/>
            <w:vAlign w:val="bottom"/>
          </w:tcPr>
          <w:p>
            <w:pPr>
              <w:jc w:val="center"/>
              <w:spacing w:after="0"/>
              <w:rPr>
                <w:sz w:val="20"/>
                <w:szCs w:val="20"/>
                <w:color w:val="auto"/>
              </w:rPr>
            </w:pPr>
            <w:r>
              <w:rPr>
                <w:rFonts w:ascii="Arial" w:cs="Arial" w:eastAsia="Arial" w:hAnsi="Arial"/>
                <w:sz w:val="21"/>
                <w:szCs w:val="21"/>
                <w:color w:val="FFFFFF"/>
                <w:w w:val="99"/>
              </w:rPr>
              <w:t>discussions</w:t>
            </w:r>
          </w:p>
        </w:tc>
        <w:tc>
          <w:tcPr>
            <w:tcW w:w="1300" w:type="dxa"/>
            <w:vAlign w:val="bottom"/>
          </w:tcPr>
          <w:p>
            <w:pPr>
              <w:ind w:left="260"/>
              <w:spacing w:after="0"/>
              <w:rPr>
                <w:sz w:val="20"/>
                <w:szCs w:val="20"/>
                <w:color w:val="auto"/>
              </w:rPr>
            </w:pPr>
            <w:r>
              <w:rPr>
                <w:rFonts w:ascii="Arial" w:cs="Arial" w:eastAsia="Arial" w:hAnsi="Arial"/>
                <w:sz w:val="21"/>
                <w:szCs w:val="21"/>
                <w:color w:val="FFFFFF"/>
              </w:rPr>
              <w:t>signed</w:t>
            </w:r>
          </w:p>
        </w:tc>
        <w:tc>
          <w:tcPr>
            <w:tcW w:w="1120" w:type="dxa"/>
            <w:vAlign w:val="bottom"/>
          </w:tcPr>
          <w:p>
            <w:pPr>
              <w:jc w:val="center"/>
              <w:ind w:left="190"/>
              <w:spacing w:after="0"/>
              <w:rPr>
                <w:sz w:val="20"/>
                <w:szCs w:val="20"/>
                <w:color w:val="auto"/>
              </w:rPr>
            </w:pPr>
            <w:r>
              <w:rPr>
                <w:rFonts w:ascii="Arial" w:cs="Arial" w:eastAsia="Arial" w:hAnsi="Arial"/>
                <w:sz w:val="21"/>
                <w:szCs w:val="21"/>
                <w:color w:val="FFFFFF"/>
              </w:rPr>
              <w:t>engaged</w:t>
            </w:r>
          </w:p>
        </w:tc>
        <w:tc>
          <w:tcPr>
            <w:tcW w:w="0" w:type="dxa"/>
            <w:vAlign w:val="bottom"/>
          </w:tcPr>
          <w:p>
            <w:pPr>
              <w:spacing w:after="0"/>
              <w:rPr>
                <w:sz w:val="1"/>
                <w:szCs w:val="1"/>
                <w:color w:val="auto"/>
              </w:rPr>
            </w:pPr>
          </w:p>
        </w:tc>
      </w:tr>
      <w:tr>
        <w:trPr>
          <w:trHeight w:val="700"/>
        </w:trPr>
        <w:tc>
          <w:tcPr>
            <w:tcW w:w="2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jc w:val="center"/>
              <w:ind w:left="170"/>
              <w:spacing w:after="0"/>
              <w:rPr>
                <w:sz w:val="20"/>
                <w:szCs w:val="20"/>
                <w:color w:val="auto"/>
              </w:rPr>
            </w:pPr>
            <w:r>
              <w:rPr>
                <w:rFonts w:ascii="Arial" w:cs="Arial" w:eastAsia="Arial" w:hAnsi="Arial"/>
                <w:sz w:val="23"/>
                <w:szCs w:val="23"/>
                <w:color w:val="auto"/>
                <w:w w:val="88"/>
              </w:rPr>
              <w:t>+</w:t>
            </w:r>
          </w:p>
        </w:tc>
        <w:tc>
          <w:tcPr>
            <w:tcW w:w="0" w:type="dxa"/>
            <w:vAlign w:val="bottom"/>
          </w:tcPr>
          <w:p>
            <w:pPr>
              <w:spacing w:after="0"/>
              <w:rPr>
                <w:sz w:val="1"/>
                <w:szCs w:val="1"/>
                <w:color w:val="auto"/>
              </w:rPr>
            </w:pPr>
          </w:p>
        </w:tc>
      </w:tr>
      <w:tr>
        <w:trPr>
          <w:trHeight w:val="252"/>
        </w:trPr>
        <w:tc>
          <w:tcPr>
            <w:tcW w:w="2740" w:type="dxa"/>
            <w:vAlign w:val="bottom"/>
            <w:vMerge w:val="restart"/>
          </w:tcPr>
          <w:p>
            <w:pPr>
              <w:jc w:val="center"/>
              <w:ind w:right="1488"/>
              <w:spacing w:after="0"/>
              <w:rPr>
                <w:sz w:val="20"/>
                <w:szCs w:val="20"/>
                <w:color w:val="auto"/>
              </w:rPr>
            </w:pPr>
            <w:r>
              <w:rPr>
                <w:rFonts w:ascii="Arial" w:cs="Arial" w:eastAsia="Arial" w:hAnsi="Arial"/>
                <w:sz w:val="23"/>
                <w:szCs w:val="23"/>
                <w:color w:val="auto"/>
                <w:w w:val="99"/>
              </w:rPr>
              <w:t>Operator</w:t>
            </w: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Pr>
          <w:p>
            <w:pPr>
              <w:jc w:val="center"/>
              <w:ind w:left="130"/>
              <w:spacing w:after="0"/>
              <w:rPr>
                <w:sz w:val="20"/>
                <w:szCs w:val="20"/>
                <w:color w:val="auto"/>
              </w:rPr>
            </w:pPr>
            <w:r>
              <w:rPr>
                <w:rFonts w:ascii="Arial" w:cs="Arial" w:eastAsia="Arial" w:hAnsi="Arial"/>
                <w:sz w:val="21"/>
                <w:szCs w:val="21"/>
                <w:color w:val="auto"/>
              </w:rPr>
              <w:t>200 M</w:t>
            </w:r>
          </w:p>
        </w:tc>
        <w:tc>
          <w:tcPr>
            <w:tcW w:w="0" w:type="dxa"/>
            <w:vAlign w:val="bottom"/>
          </w:tcPr>
          <w:p>
            <w:pPr>
              <w:spacing w:after="0"/>
              <w:rPr>
                <w:sz w:val="1"/>
                <w:szCs w:val="1"/>
                <w:color w:val="auto"/>
              </w:rPr>
            </w:pPr>
          </w:p>
        </w:tc>
      </w:tr>
      <w:tr>
        <w:trPr>
          <w:trHeight w:val="168"/>
        </w:trPr>
        <w:tc>
          <w:tcPr>
            <w:tcW w:w="27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740" w:type="dxa"/>
            <w:vAlign w:val="bottom"/>
          </w:tcPr>
          <w:p>
            <w:pPr>
              <w:jc w:val="center"/>
              <w:ind w:right="1528"/>
              <w:spacing w:after="0"/>
              <w:rPr>
                <w:sz w:val="20"/>
                <w:szCs w:val="20"/>
                <w:color w:val="auto"/>
              </w:rPr>
            </w:pPr>
            <w:r>
              <w:rPr>
                <w:rFonts w:ascii="Arial" w:cs="Arial" w:eastAsia="Arial" w:hAnsi="Arial"/>
                <w:sz w:val="23"/>
                <w:szCs w:val="23"/>
                <w:color w:val="auto"/>
              </w:rPr>
              <w:t>Subscriber</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740" w:type="dxa"/>
            <w:vAlign w:val="bottom"/>
          </w:tcPr>
          <w:p>
            <w:pPr>
              <w:ind w:left="540"/>
              <w:spacing w:after="0"/>
              <w:rPr>
                <w:sz w:val="20"/>
                <w:szCs w:val="20"/>
                <w:color w:val="auto"/>
              </w:rPr>
            </w:pPr>
            <w:r>
              <w:rPr>
                <w:rFonts w:ascii="Arial" w:cs="Arial" w:eastAsia="Arial" w:hAnsi="Arial"/>
                <w:sz w:val="23"/>
                <w:szCs w:val="23"/>
                <w:color w:val="auto"/>
              </w:rPr>
              <w:t>Base</w:t>
            </w:r>
          </w:p>
        </w:tc>
        <w:tc>
          <w:tcPr>
            <w:tcW w:w="1560" w:type="dxa"/>
            <w:vAlign w:val="bottom"/>
          </w:tcPr>
          <w:p>
            <w:pPr>
              <w:spacing w:after="0"/>
              <w:rPr>
                <w:sz w:val="24"/>
                <w:szCs w:val="24"/>
                <w:color w:val="auto"/>
              </w:rPr>
            </w:pPr>
          </w:p>
        </w:tc>
        <w:tc>
          <w:tcPr>
            <w:tcW w:w="1300" w:type="dxa"/>
            <w:vAlign w:val="bottom"/>
            <w:vMerge w:val="restart"/>
          </w:tcPr>
          <w:p>
            <w:pPr>
              <w:ind w:left="360"/>
              <w:spacing w:after="0"/>
              <w:rPr>
                <w:sz w:val="20"/>
                <w:szCs w:val="20"/>
                <w:color w:val="auto"/>
              </w:rPr>
            </w:pPr>
            <w:r>
              <w:rPr>
                <w:rFonts w:ascii="Arial" w:cs="Arial" w:eastAsia="Arial" w:hAnsi="Arial"/>
                <w:sz w:val="21"/>
                <w:szCs w:val="21"/>
                <w:color w:val="auto"/>
              </w:rPr>
              <w:t>440 M</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9"/>
        </w:trPr>
        <w:tc>
          <w:tcPr>
            <w:tcW w:w="2740" w:type="dxa"/>
            <w:vAlign w:val="bottom"/>
          </w:tcPr>
          <w:p>
            <w:pPr>
              <w:ind w:left="1900"/>
              <w:spacing w:after="0"/>
              <w:rPr>
                <w:sz w:val="20"/>
                <w:szCs w:val="20"/>
                <w:color w:val="auto"/>
              </w:rPr>
            </w:pPr>
            <w:r>
              <w:rPr>
                <w:rFonts w:ascii="Arial" w:cs="Arial" w:eastAsia="Arial" w:hAnsi="Arial"/>
                <w:sz w:val="21"/>
                <w:szCs w:val="21"/>
                <w:color w:val="auto"/>
              </w:rPr>
              <w:t>44 M</w:t>
            </w:r>
          </w:p>
        </w:tc>
        <w:tc>
          <w:tcPr>
            <w:tcW w:w="1560" w:type="dxa"/>
            <w:vAlign w:val="bottom"/>
          </w:tcPr>
          <w:p>
            <w:pPr>
              <w:jc w:val="center"/>
              <w:spacing w:after="0"/>
              <w:rPr>
                <w:sz w:val="20"/>
                <w:szCs w:val="20"/>
                <w:color w:val="auto"/>
              </w:rPr>
            </w:pPr>
            <w:r>
              <w:rPr>
                <w:rFonts w:ascii="Arial" w:cs="Arial" w:eastAsia="Arial" w:hAnsi="Arial"/>
                <w:sz w:val="21"/>
                <w:szCs w:val="21"/>
                <w:color w:val="auto"/>
                <w:w w:val="99"/>
              </w:rPr>
              <w:t>150 M</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FFFFFF"/>
        </w:rPr>
        <w:t>FIVE</w:t>
      </w:r>
    </w:p>
    <w:p>
      <w:pPr>
        <w:spacing w:after="0" w:line="43"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FFFFFF"/>
        </w:rPr>
        <w:t>upside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23"/>
          <w:szCs w:val="23"/>
          <w:color w:val="auto"/>
        </w:rPr>
        <w:t>The rest</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23"/>
          <w:szCs w:val="23"/>
          <w:color w:val="auto"/>
        </w:rPr>
        <w:t>4.6 B</w:t>
      </w:r>
    </w:p>
    <w:p>
      <w:pPr>
        <w:spacing w:after="0" w:line="12" w:lineRule="exact"/>
        <w:rPr>
          <w:sz w:val="20"/>
          <w:szCs w:val="20"/>
          <w:color w:val="auto"/>
        </w:rPr>
      </w:pPr>
    </w:p>
    <w:p>
      <w:pPr>
        <w:ind w:left="1100" w:right="280" w:hanging="1081"/>
        <w:spacing w:after="0" w:line="274" w:lineRule="auto"/>
        <w:tabs>
          <w:tab w:leader="none" w:pos="1080" w:val="left"/>
        </w:tabs>
        <w:rPr>
          <w:sz w:val="20"/>
          <w:szCs w:val="20"/>
          <w:color w:val="auto"/>
        </w:rPr>
      </w:pPr>
      <w:r>
        <w:rPr>
          <w:rFonts w:ascii="Arial" w:cs="Arial" w:eastAsia="Arial" w:hAnsi="Arial"/>
          <w:sz w:val="41"/>
          <w:szCs w:val="41"/>
          <w:color w:val="auto"/>
          <w:vertAlign w:val="subscript"/>
        </w:rPr>
        <w:t>~ 800 M</w:t>
      </w:r>
      <w:r>
        <w:rPr>
          <w:rFonts w:ascii="Arial" w:cs="Arial" w:eastAsia="Arial" w:hAnsi="Arial"/>
          <w:sz w:val="23"/>
          <w:szCs w:val="23"/>
          <w:color w:val="auto"/>
        </w:rPr>
        <w:tab/>
        <w:t>mobile subscribers</w:t>
      </w:r>
    </w:p>
    <w:p>
      <w:pPr>
        <w:spacing w:after="0" w:line="218" w:lineRule="exact"/>
        <w:rPr>
          <w:sz w:val="20"/>
          <w:szCs w:val="20"/>
          <w:color w:val="auto"/>
        </w:rPr>
      </w:pPr>
    </w:p>
    <w:p>
      <w:pPr>
        <w:ind w:firstLine="177"/>
        <w:spacing w:after="0" w:line="299" w:lineRule="auto"/>
        <w:rPr>
          <w:sz w:val="20"/>
          <w:szCs w:val="20"/>
          <w:color w:val="auto"/>
        </w:rPr>
      </w:pPr>
      <w:r>
        <w:rPr>
          <w:rFonts w:ascii="Arial" w:cs="Arial" w:eastAsia="Arial" w:hAnsi="Arial"/>
          <w:sz w:val="23"/>
          <w:szCs w:val="23"/>
          <w:b w:val="1"/>
          <w:bCs w:val="1"/>
          <w:color w:val="C70B79"/>
        </w:rPr>
        <w:t>Driving to Quarterly Breakeven by end 2011</w:t>
      </w:r>
    </w:p>
    <w:p>
      <w:pPr>
        <w:spacing w:after="0" w:line="200" w:lineRule="exact"/>
        <w:rPr>
          <w:sz w:val="20"/>
          <w:szCs w:val="20"/>
          <w:color w:val="auto"/>
        </w:rPr>
      </w:pPr>
    </w:p>
    <w:p>
      <w:pPr>
        <w:sectPr>
          <w:pgSz w:w="11900" w:h="16838" w:orient="portrait"/>
          <w:cols w:equalWidth="0" w:num="2">
            <w:col w:w="7040" w:space="660"/>
            <w:col w:w="2560"/>
          </w:cols>
          <w:pgMar w:left="580" w:top="497" w:right="1059" w:bottom="1440" w:gutter="0" w:footer="0" w:header="0"/>
          <w:type w:val="continuous"/>
        </w:sectPr>
      </w:pPr>
    </w:p>
    <w:p>
      <w:pPr>
        <w:spacing w:after="0" w:line="317" w:lineRule="exact"/>
        <w:rPr>
          <w:sz w:val="20"/>
          <w:szCs w:val="20"/>
          <w:color w:val="auto"/>
        </w:rPr>
      </w:pPr>
    </w:p>
    <w:p>
      <w:pPr>
        <w:jc w:val="center"/>
        <w:ind w:left="280"/>
        <w:spacing w:after="0"/>
        <w:rPr>
          <w:sz w:val="20"/>
          <w:szCs w:val="20"/>
          <w:color w:val="auto"/>
        </w:rPr>
      </w:pPr>
      <w:r>
        <w:rPr>
          <w:rFonts w:ascii="Arial" w:cs="Arial" w:eastAsia="Arial" w:hAnsi="Arial"/>
          <w:sz w:val="23"/>
          <w:szCs w:val="23"/>
          <w:color w:val="auto"/>
        </w:rPr>
        <w:t>Operators</w:t>
      </w:r>
    </w:p>
    <w:p>
      <w:pPr>
        <w:spacing w:after="0" w:line="266" w:lineRule="exact"/>
        <w:rPr>
          <w:sz w:val="20"/>
          <w:szCs w:val="20"/>
          <w:color w:val="auto"/>
        </w:rPr>
      </w:pPr>
    </w:p>
    <w:p>
      <w:pPr>
        <w:jc w:val="right"/>
        <w:ind w:left="60"/>
        <w:spacing w:after="0" w:line="274" w:lineRule="auto"/>
        <w:rPr>
          <w:sz w:val="20"/>
          <w:szCs w:val="20"/>
          <w:color w:val="auto"/>
        </w:rPr>
      </w:pPr>
      <w:r>
        <w:rPr>
          <w:rFonts w:ascii="Arial" w:cs="Arial" w:eastAsia="Arial" w:hAnsi="Arial"/>
          <w:sz w:val="23"/>
          <w:szCs w:val="23"/>
          <w:color w:val="auto"/>
        </w:rPr>
        <w:t>Geographical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29"/>
        </w:trPr>
        <w:tc>
          <w:tcPr>
            <w:tcW w:w="1180" w:type="dxa"/>
            <w:vAlign w:val="bottom"/>
          </w:tcPr>
          <w:p>
            <w:pPr>
              <w:jc w:val="right"/>
              <w:ind w:right="468"/>
              <w:spacing w:after="0"/>
              <w:rPr>
                <w:sz w:val="20"/>
                <w:szCs w:val="20"/>
                <w:color w:val="auto"/>
              </w:rPr>
            </w:pPr>
            <w:r>
              <w:rPr>
                <w:rFonts w:ascii="Arial" w:cs="Arial" w:eastAsia="Arial" w:hAnsi="Arial"/>
                <w:sz w:val="21"/>
                <w:szCs w:val="21"/>
                <w:color w:val="auto"/>
              </w:rPr>
              <w:t>5</w:t>
            </w:r>
          </w:p>
        </w:tc>
        <w:tc>
          <w:tcPr>
            <w:tcW w:w="1540" w:type="dxa"/>
            <w:vAlign w:val="bottom"/>
          </w:tcPr>
          <w:p>
            <w:pPr>
              <w:jc w:val="right"/>
              <w:ind w:right="482"/>
              <w:spacing w:after="0"/>
              <w:rPr>
                <w:sz w:val="20"/>
                <w:szCs w:val="20"/>
                <w:color w:val="auto"/>
              </w:rPr>
            </w:pPr>
            <w:r>
              <w:rPr>
                <w:rFonts w:ascii="Arial" w:cs="Arial" w:eastAsia="Arial" w:hAnsi="Arial"/>
                <w:sz w:val="21"/>
                <w:szCs w:val="21"/>
                <w:color w:val="auto"/>
              </w:rPr>
              <w:t>6</w:t>
            </w:r>
            <w:r>
              <w:rPr>
                <w:rFonts w:ascii="Arial" w:cs="Arial" w:eastAsia="Arial" w:hAnsi="Arial"/>
                <w:sz w:val="46"/>
                <w:szCs w:val="46"/>
                <w:color w:val="auto"/>
                <w:vertAlign w:val="superscript"/>
              </w:rPr>
              <w:t>+</w:t>
            </w:r>
          </w:p>
        </w:tc>
        <w:tc>
          <w:tcPr>
            <w:tcW w:w="0" w:type="dxa"/>
            <w:vAlign w:val="bottom"/>
          </w:tcPr>
          <w:p>
            <w:pPr>
              <w:spacing w:after="0"/>
              <w:rPr>
                <w:sz w:val="1"/>
                <w:szCs w:val="1"/>
                <w:color w:val="auto"/>
              </w:rPr>
            </w:pPr>
          </w:p>
        </w:tc>
      </w:tr>
      <w:tr>
        <w:trPr>
          <w:trHeight w:val="163"/>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8"/>
              </w:rPr>
              <w:t>One country of</w:t>
            </w:r>
          </w:p>
        </w:tc>
        <w:tc>
          <w:tcPr>
            <w:tcW w:w="1540" w:type="dxa"/>
            <w:vAlign w:val="bottom"/>
          </w:tcPr>
          <w:p>
            <w:pPr>
              <w:jc w:val="center"/>
              <w:spacing w:after="0" w:line="163" w:lineRule="exact"/>
              <w:rPr>
                <w:sz w:val="20"/>
                <w:szCs w:val="20"/>
                <w:color w:val="auto"/>
              </w:rPr>
            </w:pPr>
            <w:r>
              <w:rPr>
                <w:rFonts w:ascii="Arial" w:cs="Arial" w:eastAsia="Arial" w:hAnsi="Arial"/>
                <w:sz w:val="18"/>
                <w:szCs w:val="18"/>
                <w:color w:val="auto"/>
                <w:w w:val="99"/>
              </w:rPr>
              <w:t>Other countries</w:t>
            </w: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1540" w:type="dxa"/>
            <w:vAlign w:val="bottom"/>
            <w:vMerge w:val="restart"/>
          </w:tcPr>
          <w:p>
            <w:pPr>
              <w:jc w:val="center"/>
              <w:spacing w:after="0" w:line="262" w:lineRule="exact"/>
              <w:rPr>
                <w:sz w:val="20"/>
                <w:szCs w:val="20"/>
                <w:color w:val="auto"/>
              </w:rPr>
            </w:pPr>
            <w:r>
              <w:rPr>
                <w:rFonts w:ascii="Arial" w:cs="Arial" w:eastAsia="Arial" w:hAnsi="Arial"/>
                <w:sz w:val="27"/>
                <w:szCs w:val="27"/>
                <w:color w:val="auto"/>
              </w:rPr>
              <w:t xml:space="preserve">+ </w:t>
            </w:r>
            <w:r>
              <w:rPr>
                <w:rFonts w:ascii="Arial" w:cs="Arial" w:eastAsia="Arial" w:hAnsi="Arial"/>
                <w:sz w:val="17"/>
                <w:szCs w:val="17"/>
                <w:color w:val="auto"/>
              </w:rPr>
              <w:t>in the same</w:t>
            </w:r>
            <w:r>
              <w:rPr>
                <w:rFonts w:ascii="Arial" w:cs="Arial" w:eastAsia="Arial" w:hAnsi="Arial"/>
                <w:sz w:val="27"/>
                <w:szCs w:val="27"/>
                <w:color w:val="auto"/>
              </w:rPr>
              <w:t xml:space="preserve">  +</w:t>
            </w:r>
          </w:p>
        </w:tc>
        <w:tc>
          <w:tcPr>
            <w:tcW w:w="0" w:type="dxa"/>
            <w:vAlign w:val="bottom"/>
          </w:tcPr>
          <w:p>
            <w:pPr>
              <w:spacing w:after="0"/>
              <w:rPr>
                <w:sz w:val="1"/>
                <w:szCs w:val="1"/>
                <w:color w:val="auto"/>
              </w:rPr>
            </w:pPr>
          </w:p>
        </w:tc>
      </w:tr>
      <w:tr>
        <w:trPr>
          <w:trHeight w:val="160"/>
        </w:trPr>
        <w:tc>
          <w:tcPr>
            <w:tcW w:w="1180" w:type="dxa"/>
            <w:vAlign w:val="bottom"/>
          </w:tcPr>
          <w:p>
            <w:pPr>
              <w:jc w:val="center"/>
              <w:spacing w:after="0" w:line="160" w:lineRule="exact"/>
              <w:rPr>
                <w:sz w:val="20"/>
                <w:szCs w:val="20"/>
                <w:color w:val="auto"/>
              </w:rPr>
            </w:pPr>
            <w:r>
              <w:rPr>
                <w:rFonts w:ascii="Arial" w:cs="Arial" w:eastAsia="Arial" w:hAnsi="Arial"/>
                <w:sz w:val="18"/>
                <w:szCs w:val="18"/>
                <w:color w:val="auto"/>
                <w:w w:val="98"/>
              </w:rPr>
              <w:t>a multi-country</w:t>
            </w: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8"/>
              </w:rPr>
              <w:t>operator</w:t>
            </w:r>
          </w:p>
        </w:tc>
        <w:tc>
          <w:tcPr>
            <w:tcW w:w="1540" w:type="dxa"/>
            <w:vAlign w:val="bottom"/>
          </w:tcPr>
          <w:p>
            <w:pPr>
              <w:jc w:val="right"/>
              <w:ind w:right="222"/>
              <w:spacing w:after="0"/>
              <w:rPr>
                <w:sz w:val="20"/>
                <w:szCs w:val="20"/>
                <w:color w:val="auto"/>
              </w:rPr>
            </w:pPr>
            <w:r>
              <w:rPr>
                <w:rFonts w:ascii="Arial" w:cs="Arial" w:eastAsia="Arial" w:hAnsi="Arial"/>
                <w:sz w:val="18"/>
                <w:szCs w:val="18"/>
                <w:color w:val="auto"/>
              </w:rPr>
              <w:t>group/other</w:t>
            </w:r>
          </w:p>
        </w:tc>
        <w:tc>
          <w:tcPr>
            <w:tcW w:w="0" w:type="dxa"/>
            <w:vAlign w:val="bottom"/>
          </w:tcPr>
          <w:p>
            <w:pPr>
              <w:spacing w:after="0"/>
              <w:rPr>
                <w:sz w:val="1"/>
                <w:szCs w:val="1"/>
                <w:color w:val="auto"/>
              </w:rPr>
            </w:pPr>
          </w:p>
        </w:tc>
      </w:tr>
      <w:tr>
        <w:trPr>
          <w:trHeight w:val="52"/>
        </w:trPr>
        <w:tc>
          <w:tcPr>
            <w:tcW w:w="1180" w:type="dxa"/>
            <w:vAlign w:val="bottom"/>
            <w:vMerge w:val="continue"/>
          </w:tcPr>
          <w:p>
            <w:pPr>
              <w:spacing w:after="0"/>
              <w:rPr>
                <w:sz w:val="4"/>
                <w:szCs w:val="4"/>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operators in</w:t>
            </w:r>
          </w:p>
        </w:tc>
        <w:tc>
          <w:tcPr>
            <w:tcW w:w="0" w:type="dxa"/>
            <w:vAlign w:val="bottom"/>
          </w:tcPr>
          <w:p>
            <w:pPr>
              <w:spacing w:after="0"/>
              <w:rPr>
                <w:sz w:val="1"/>
                <w:szCs w:val="1"/>
                <w:color w:val="auto"/>
              </w:rPr>
            </w:pPr>
          </w:p>
        </w:tc>
      </w:tr>
      <w:tr>
        <w:trPr>
          <w:trHeight w:val="164"/>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same country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29"/>
        </w:trPr>
        <w:tc>
          <w:tcPr>
            <w:tcW w:w="1000" w:type="dxa"/>
            <w:vAlign w:val="bottom"/>
          </w:tcPr>
          <w:p>
            <w:pPr>
              <w:jc w:val="center"/>
              <w:ind w:right="53"/>
              <w:spacing w:after="0"/>
              <w:rPr>
                <w:sz w:val="20"/>
                <w:szCs w:val="20"/>
                <w:color w:val="auto"/>
              </w:rPr>
            </w:pPr>
            <w:r>
              <w:rPr>
                <w:rFonts w:ascii="Arial" w:cs="Arial" w:eastAsia="Arial" w:hAnsi="Arial"/>
                <w:sz w:val="21"/>
                <w:szCs w:val="21"/>
                <w:color w:val="auto"/>
                <w:w w:val="93"/>
              </w:rPr>
              <w:t>11</w:t>
            </w:r>
          </w:p>
        </w:tc>
        <w:tc>
          <w:tcPr>
            <w:tcW w:w="1600" w:type="dxa"/>
            <w:vAlign w:val="bottom"/>
          </w:tcPr>
          <w:p>
            <w:pPr>
              <w:jc w:val="center"/>
              <w:ind w:right="415"/>
              <w:spacing w:after="0"/>
              <w:rPr>
                <w:sz w:val="20"/>
                <w:szCs w:val="20"/>
                <w:color w:val="auto"/>
              </w:rPr>
            </w:pPr>
            <w:r>
              <w:rPr>
                <w:rFonts w:ascii="Arial" w:cs="Arial" w:eastAsia="Arial" w:hAnsi="Arial"/>
                <w:sz w:val="21"/>
                <w:szCs w:val="21"/>
                <w:color w:val="auto"/>
              </w:rPr>
              <w:t>10</w:t>
            </w:r>
            <w:r>
              <w:rPr>
                <w:rFonts w:ascii="Arial" w:cs="Arial" w:eastAsia="Arial" w:hAnsi="Arial"/>
                <w:sz w:val="46"/>
                <w:szCs w:val="46"/>
                <w:color w:val="auto"/>
                <w:vertAlign w:val="superscript"/>
              </w:rPr>
              <w:t>+</w:t>
            </w:r>
          </w:p>
        </w:tc>
        <w:tc>
          <w:tcPr>
            <w:tcW w:w="0" w:type="dxa"/>
            <w:vAlign w:val="bottom"/>
          </w:tcPr>
          <w:p>
            <w:pPr>
              <w:spacing w:after="0"/>
              <w:rPr>
                <w:sz w:val="1"/>
                <w:szCs w:val="1"/>
                <w:color w:val="auto"/>
              </w:rPr>
            </w:pPr>
          </w:p>
        </w:tc>
      </w:tr>
      <w:tr>
        <w:trPr>
          <w:trHeight w:val="210"/>
        </w:trPr>
        <w:tc>
          <w:tcPr>
            <w:tcW w:w="1000" w:type="dxa"/>
            <w:vAlign w:val="bottom"/>
          </w:tcPr>
          <w:p>
            <w:pPr>
              <w:jc w:val="center"/>
              <w:ind w:right="13"/>
              <w:spacing w:after="0"/>
              <w:rPr>
                <w:sz w:val="20"/>
                <w:szCs w:val="20"/>
                <w:color w:val="auto"/>
              </w:rPr>
            </w:pPr>
            <w:r>
              <w:rPr>
                <w:rFonts w:ascii="Arial" w:cs="Arial" w:eastAsia="Arial" w:hAnsi="Arial"/>
                <w:sz w:val="18"/>
                <w:szCs w:val="18"/>
                <w:color w:val="auto"/>
                <w:w w:val="96"/>
              </w:rPr>
              <w:t>Leading</w:t>
            </w:r>
          </w:p>
        </w:tc>
        <w:tc>
          <w:tcPr>
            <w:tcW w:w="1600" w:type="dxa"/>
            <w:vAlign w:val="bottom"/>
            <w:vMerge w:val="restart"/>
          </w:tcPr>
          <w:p>
            <w:pPr>
              <w:jc w:val="center"/>
              <w:ind w:left="35"/>
              <w:spacing w:after="0"/>
              <w:rPr>
                <w:sz w:val="20"/>
                <w:szCs w:val="20"/>
                <w:color w:val="auto"/>
              </w:rPr>
            </w:pPr>
            <w:r>
              <w:rPr>
                <w:rFonts w:ascii="Arial" w:cs="Arial" w:eastAsia="Arial" w:hAnsi="Arial"/>
                <w:sz w:val="18"/>
                <w:szCs w:val="18"/>
                <w:color w:val="auto"/>
                <w:w w:val="97"/>
              </w:rPr>
              <w:t>EU, NA, and</w:t>
            </w:r>
          </w:p>
        </w:tc>
        <w:tc>
          <w:tcPr>
            <w:tcW w:w="0" w:type="dxa"/>
            <w:vAlign w:val="bottom"/>
          </w:tcPr>
          <w:p>
            <w:pPr>
              <w:spacing w:after="0"/>
              <w:rPr>
                <w:sz w:val="1"/>
                <w:szCs w:val="1"/>
                <w:color w:val="auto"/>
              </w:rPr>
            </w:pPr>
          </w:p>
        </w:tc>
      </w:tr>
      <w:tr>
        <w:trPr>
          <w:trHeight w:val="116"/>
        </w:trPr>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6"/>
              </w:rPr>
              <w:t>South Asian</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1600" w:type="dxa"/>
            <w:vAlign w:val="bottom"/>
          </w:tcPr>
          <w:p>
            <w:pPr>
              <w:ind w:left="40"/>
              <w:spacing w:after="0" w:line="210" w:lineRule="exact"/>
              <w:rPr>
                <w:sz w:val="20"/>
                <w:szCs w:val="20"/>
                <w:color w:val="auto"/>
              </w:rPr>
            </w:pPr>
            <w:r>
              <w:rPr>
                <w:rFonts w:ascii="Arial" w:cs="Arial" w:eastAsia="Arial" w:hAnsi="Arial"/>
                <w:sz w:val="24"/>
                <w:szCs w:val="24"/>
                <w:color w:val="auto"/>
              </w:rPr>
              <w:t xml:space="preserve">+ </w:t>
            </w:r>
            <w:r>
              <w:rPr>
                <w:rFonts w:ascii="Arial" w:cs="Arial" w:eastAsia="Arial" w:hAnsi="Arial"/>
                <w:sz w:val="16"/>
                <w:szCs w:val="16"/>
                <w:color w:val="auto"/>
              </w:rPr>
              <w:t>APAC operators</w:t>
            </w: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105"/>
        </w:trPr>
        <w:tc>
          <w:tcPr>
            <w:tcW w:w="1000" w:type="dxa"/>
            <w:vAlign w:val="bottom"/>
          </w:tcPr>
          <w:p>
            <w:pPr>
              <w:jc w:val="center"/>
              <w:ind w:right="13"/>
              <w:spacing w:after="0" w:line="105" w:lineRule="exact"/>
              <w:rPr>
                <w:sz w:val="20"/>
                <w:szCs w:val="20"/>
                <w:color w:val="auto"/>
              </w:rPr>
            </w:pPr>
            <w:r>
              <w:rPr>
                <w:rFonts w:ascii="Arial" w:cs="Arial" w:eastAsia="Arial" w:hAnsi="Arial"/>
                <w:sz w:val="12"/>
                <w:szCs w:val="12"/>
                <w:color w:val="auto"/>
              </w:rPr>
              <w:t>operator</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aggregator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0" w:type="dxa"/>
            <w:vAlign w:val="bottom"/>
          </w:tcPr>
          <w:p>
            <w:pPr>
              <w:jc w:val="center"/>
              <w:spacing w:after="0"/>
              <w:rPr>
                <w:sz w:val="20"/>
                <w:szCs w:val="20"/>
                <w:color w:val="auto"/>
              </w:rPr>
            </w:pPr>
            <w:r>
              <w:rPr>
                <w:rFonts w:ascii="Arial" w:cs="Arial" w:eastAsia="Arial" w:hAnsi="Arial"/>
                <w:sz w:val="18"/>
                <w:szCs w:val="18"/>
                <w:color w:val="auto"/>
                <w:w w:val="99"/>
              </w:rPr>
              <w:t>(Hungama)</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 20</w:t>
      </w:r>
    </w:p>
    <w:p>
      <w:pPr>
        <w:spacing w:after="0" w:line="1404" w:lineRule="exact"/>
        <w:rPr>
          <w:sz w:val="20"/>
          <w:szCs w:val="20"/>
          <w:color w:val="auto"/>
        </w:rPr>
      </w:pPr>
    </w:p>
    <w:p>
      <w:pPr>
        <w:sectPr>
          <w:pgSz w:w="11900" w:h="16838" w:orient="portrait"/>
          <w:cols w:equalWidth="0" w:num="4">
            <w:col w:w="1440" w:space="320"/>
            <w:col w:w="2720" w:space="220"/>
            <w:col w:w="2600" w:space="440"/>
            <w:col w:w="2520"/>
          </w:cols>
          <w:pgMar w:left="580" w:top="497" w:right="10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FFFFFF"/>
        </w:rPr>
        <w:t>- Page 27-</w:t>
      </w:r>
    </w:p>
    <w:p>
      <w:pPr>
        <w:sectPr>
          <w:pgSz w:w="11900" w:h="16838" w:orient="portrait"/>
          <w:cols w:equalWidth="0" w:num="1">
            <w:col w:w="10260"/>
          </w:cols>
          <w:pgMar w:left="580" w:top="497" w:right="10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2Q 2010 Operational Summary</w:t>
      </w:r>
    </w:p>
    <w:p>
      <w:pPr>
        <w:spacing w:after="0" w:line="200" w:lineRule="exact"/>
        <w:rPr>
          <w:sz w:val="20"/>
          <w:szCs w:val="20"/>
          <w:color w:val="auto"/>
        </w:rPr>
      </w:pPr>
    </w:p>
    <w:p>
      <w:pPr>
        <w:spacing w:after="0" w:line="243" w:lineRule="exact"/>
        <w:rPr>
          <w:sz w:val="20"/>
          <w:szCs w:val="20"/>
          <w:color w:val="auto"/>
        </w:rPr>
      </w:pPr>
    </w:p>
    <w:p>
      <w:pPr>
        <w:ind w:left="260" w:right="1180" w:hanging="258"/>
        <w:spacing w:after="0" w:line="264" w:lineRule="auto"/>
        <w:tabs>
          <w:tab w:leader="none" w:pos="260" w:val="left"/>
        </w:tabs>
        <w:numPr>
          <w:ilvl w:val="0"/>
          <w:numId w:val="27"/>
        </w:numPr>
        <w:rPr>
          <w:rFonts w:ascii="Arial" w:cs="Arial" w:eastAsia="Arial" w:hAnsi="Arial"/>
          <w:sz w:val="23"/>
          <w:szCs w:val="23"/>
          <w:color w:val="auto"/>
        </w:rPr>
      </w:pPr>
      <w:r>
        <w:rPr>
          <w:rFonts w:ascii="Arial" w:cs="Arial" w:eastAsia="Arial" w:hAnsi="Arial"/>
          <w:sz w:val="30"/>
          <w:szCs w:val="30"/>
          <w:b w:val="1"/>
          <w:bCs w:val="1"/>
          <w:color w:val="auto"/>
        </w:rPr>
        <w:t>SuccessfullycompletedU.S.initialpublicofferingraising$11Mingross proceedsIssued2,392,000units(1sharecommon,2. warrants)atIPOoffering price of $4.60 per unit.</w:t>
      </w:r>
    </w:p>
    <w:p>
      <w:pPr>
        <w:spacing w:after="0" w:line="98" w:lineRule="exact"/>
        <w:rPr>
          <w:rFonts w:ascii="Arial" w:cs="Arial" w:eastAsia="Arial" w:hAnsi="Arial"/>
          <w:sz w:val="23"/>
          <w:szCs w:val="23"/>
          <w:color w:val="auto"/>
        </w:rPr>
      </w:pPr>
    </w:p>
    <w:p>
      <w:pPr>
        <w:ind w:left="800" w:hanging="268"/>
        <w:spacing w:after="0"/>
        <w:tabs>
          <w:tab w:leader="none" w:pos="800" w:val="left"/>
        </w:tabs>
        <w:numPr>
          <w:ilvl w:val="1"/>
          <w:numId w:val="27"/>
        </w:numPr>
        <w:rPr>
          <w:rFonts w:ascii="Arial" w:cs="Arial" w:eastAsia="Arial" w:hAnsi="Arial"/>
          <w:sz w:val="23"/>
          <w:szCs w:val="23"/>
          <w:color w:val="auto"/>
        </w:rPr>
      </w:pPr>
      <w:r>
        <w:rPr>
          <w:rFonts w:ascii="Arial" w:cs="Arial" w:eastAsia="Arial" w:hAnsi="Arial"/>
          <w:sz w:val="30"/>
          <w:szCs w:val="30"/>
          <w:b w:val="1"/>
          <w:bCs w:val="1"/>
          <w:color w:val="auto"/>
        </w:rPr>
        <w:t>Units separated July 27 into common (VRNG) and warrants (VRNG-W)</w:t>
      </w:r>
    </w:p>
    <w:p>
      <w:pPr>
        <w:spacing w:after="0" w:line="185" w:lineRule="exact"/>
        <w:rPr>
          <w:rFonts w:ascii="Arial" w:cs="Arial" w:eastAsia="Arial" w:hAnsi="Arial"/>
          <w:sz w:val="23"/>
          <w:szCs w:val="23"/>
          <w:color w:val="auto"/>
        </w:rPr>
      </w:pPr>
    </w:p>
    <w:p>
      <w:pPr>
        <w:ind w:left="260" w:hanging="258"/>
        <w:spacing w:after="0" w:line="282" w:lineRule="auto"/>
        <w:tabs>
          <w:tab w:leader="none" w:pos="260" w:val="left"/>
        </w:tabs>
        <w:numPr>
          <w:ilvl w:val="0"/>
          <w:numId w:val="27"/>
        </w:numPr>
        <w:rPr>
          <w:rFonts w:ascii="Arial" w:cs="Arial" w:eastAsia="Arial" w:hAnsi="Arial"/>
          <w:sz w:val="23"/>
          <w:szCs w:val="23"/>
          <w:color w:val="auto"/>
        </w:rPr>
      </w:pPr>
      <w:r>
        <w:rPr>
          <w:rFonts w:ascii="Arial" w:cs="Arial" w:eastAsia="Arial" w:hAnsi="Arial"/>
          <w:sz w:val="30"/>
          <w:szCs w:val="30"/>
          <w:b w:val="1"/>
          <w:bCs w:val="1"/>
          <w:color w:val="auto"/>
        </w:rPr>
        <w:t>Second quarter revenues of $44,000 compared to $0 in the second quarter of 2009</w:t>
      </w:r>
    </w:p>
    <w:p>
      <w:pPr>
        <w:spacing w:after="0" w:line="72" w:lineRule="exact"/>
        <w:rPr>
          <w:rFonts w:ascii="Arial" w:cs="Arial" w:eastAsia="Arial" w:hAnsi="Arial"/>
          <w:sz w:val="23"/>
          <w:szCs w:val="23"/>
          <w:color w:val="auto"/>
        </w:rPr>
      </w:pPr>
    </w:p>
    <w:p>
      <w:pPr>
        <w:ind w:left="260" w:hanging="258"/>
        <w:spacing w:after="0"/>
        <w:tabs>
          <w:tab w:leader="none" w:pos="260" w:val="left"/>
        </w:tabs>
        <w:numPr>
          <w:ilvl w:val="0"/>
          <w:numId w:val="27"/>
        </w:numPr>
        <w:rPr>
          <w:rFonts w:ascii="Arial" w:cs="Arial" w:eastAsia="Arial" w:hAnsi="Arial"/>
          <w:sz w:val="23"/>
          <w:szCs w:val="23"/>
          <w:color w:val="auto"/>
        </w:rPr>
      </w:pPr>
      <w:r>
        <w:rPr>
          <w:rFonts w:ascii="Arial" w:cs="Arial" w:eastAsia="Arial" w:hAnsi="Arial"/>
          <w:sz w:val="30"/>
          <w:szCs w:val="30"/>
          <w:b w:val="1"/>
          <w:bCs w:val="1"/>
          <w:color w:val="auto"/>
        </w:rPr>
        <w:t>Finished quarter with $9.7 million of cash on hand</w:t>
      </w:r>
    </w:p>
    <w:p>
      <w:pPr>
        <w:spacing w:after="0" w:line="185" w:lineRule="exact"/>
        <w:rPr>
          <w:rFonts w:ascii="Arial" w:cs="Arial" w:eastAsia="Arial" w:hAnsi="Arial"/>
          <w:sz w:val="23"/>
          <w:szCs w:val="23"/>
          <w:color w:val="auto"/>
        </w:rPr>
      </w:pPr>
    </w:p>
    <w:p>
      <w:pPr>
        <w:ind w:left="260" w:hanging="258"/>
        <w:spacing w:after="0"/>
        <w:tabs>
          <w:tab w:leader="none" w:pos="260" w:val="left"/>
        </w:tabs>
        <w:numPr>
          <w:ilvl w:val="0"/>
          <w:numId w:val="27"/>
        </w:numPr>
        <w:rPr>
          <w:rFonts w:ascii="Arial" w:cs="Arial" w:eastAsia="Arial" w:hAnsi="Arial"/>
          <w:sz w:val="23"/>
          <w:szCs w:val="23"/>
          <w:color w:val="auto"/>
        </w:rPr>
      </w:pPr>
      <w:r>
        <w:rPr>
          <w:rFonts w:ascii="Arial" w:cs="Arial" w:eastAsia="Arial" w:hAnsi="Arial"/>
          <w:sz w:val="30"/>
          <w:szCs w:val="30"/>
          <w:b w:val="1"/>
          <w:bCs w:val="1"/>
          <w:color w:val="auto"/>
        </w:rPr>
        <w:t>Number of commercial subscribers increased to 66,000</w:t>
      </w:r>
    </w:p>
    <w:p>
      <w:pPr>
        <w:spacing w:after="0" w:line="185" w:lineRule="exact"/>
        <w:rPr>
          <w:rFonts w:ascii="Arial" w:cs="Arial" w:eastAsia="Arial" w:hAnsi="Arial"/>
          <w:sz w:val="23"/>
          <w:szCs w:val="23"/>
          <w:color w:val="auto"/>
        </w:rPr>
      </w:pPr>
    </w:p>
    <w:p>
      <w:pPr>
        <w:ind w:left="800" w:hanging="268"/>
        <w:spacing w:after="0"/>
        <w:tabs>
          <w:tab w:leader="none" w:pos="800" w:val="left"/>
        </w:tabs>
        <w:numPr>
          <w:ilvl w:val="1"/>
          <w:numId w:val="27"/>
        </w:numPr>
        <w:rPr>
          <w:rFonts w:ascii="Arial" w:cs="Arial" w:eastAsia="Arial" w:hAnsi="Arial"/>
          <w:sz w:val="23"/>
          <w:szCs w:val="23"/>
          <w:color w:val="auto"/>
        </w:rPr>
      </w:pPr>
      <w:r>
        <w:rPr>
          <w:rFonts w:ascii="Arial" w:cs="Arial" w:eastAsia="Arial" w:hAnsi="Arial"/>
          <w:sz w:val="30"/>
          <w:szCs w:val="30"/>
          <w:b w:val="1"/>
          <w:bCs w:val="1"/>
          <w:color w:val="auto"/>
        </w:rPr>
        <w:t>61% sequential increase from previous quarter</w:t>
      </w:r>
    </w:p>
    <w:p>
      <w:pPr>
        <w:spacing w:after="0" w:line="185" w:lineRule="exact"/>
        <w:rPr>
          <w:rFonts w:ascii="Arial" w:cs="Arial" w:eastAsia="Arial" w:hAnsi="Arial"/>
          <w:sz w:val="23"/>
          <w:szCs w:val="23"/>
          <w:color w:val="auto"/>
        </w:rPr>
      </w:pPr>
    </w:p>
    <w:p>
      <w:pPr>
        <w:ind w:left="260" w:hanging="258"/>
        <w:spacing w:after="0"/>
        <w:tabs>
          <w:tab w:leader="none" w:pos="260" w:val="left"/>
        </w:tabs>
        <w:numPr>
          <w:ilvl w:val="0"/>
          <w:numId w:val="27"/>
        </w:numPr>
        <w:rPr>
          <w:rFonts w:ascii="Arial" w:cs="Arial" w:eastAsia="Arial" w:hAnsi="Arial"/>
          <w:sz w:val="23"/>
          <w:szCs w:val="23"/>
          <w:color w:val="auto"/>
        </w:rPr>
      </w:pPr>
      <w:r>
        <w:rPr>
          <w:rFonts w:ascii="Arial" w:cs="Arial" w:eastAsia="Arial" w:hAnsi="Arial"/>
          <w:sz w:val="30"/>
          <w:szCs w:val="30"/>
          <w:b w:val="1"/>
          <w:bCs w:val="1"/>
          <w:color w:val="auto"/>
        </w:rPr>
        <w:t>Signed partnership with T-Pain for new app anticipated to launch in 4Q 2010</w:t>
      </w:r>
    </w:p>
    <w:p>
      <w:pPr>
        <w:spacing w:after="0" w:line="185" w:lineRule="exact"/>
        <w:rPr>
          <w:rFonts w:ascii="Arial" w:cs="Arial" w:eastAsia="Arial" w:hAnsi="Arial"/>
          <w:sz w:val="23"/>
          <w:szCs w:val="23"/>
          <w:color w:val="auto"/>
        </w:rPr>
      </w:pPr>
    </w:p>
    <w:p>
      <w:pPr>
        <w:ind w:left="260" w:hanging="258"/>
        <w:spacing w:after="0"/>
        <w:tabs>
          <w:tab w:leader="none" w:pos="260" w:val="left"/>
        </w:tabs>
        <w:numPr>
          <w:ilvl w:val="0"/>
          <w:numId w:val="27"/>
        </w:numPr>
        <w:rPr>
          <w:rFonts w:ascii="Arial" w:cs="Arial" w:eastAsia="Arial" w:hAnsi="Arial"/>
          <w:sz w:val="23"/>
          <w:szCs w:val="23"/>
          <w:color w:val="auto"/>
        </w:rPr>
      </w:pPr>
      <w:r>
        <w:rPr>
          <w:rFonts w:ascii="Arial" w:cs="Arial" w:eastAsia="Arial" w:hAnsi="Arial"/>
          <w:sz w:val="30"/>
          <w:szCs w:val="30"/>
          <w:b w:val="1"/>
          <w:bCs w:val="1"/>
          <w:color w:val="auto"/>
        </w:rPr>
        <w:t>Announced intent to offer Vringoon Verizon Android App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60"/>
        <w:spacing w:after="0"/>
        <w:rPr>
          <w:sz w:val="20"/>
          <w:szCs w:val="20"/>
          <w:color w:val="auto"/>
        </w:rPr>
      </w:pPr>
      <w:r>
        <w:rPr>
          <w:rFonts w:ascii="Arial" w:cs="Arial" w:eastAsia="Arial" w:hAnsi="Arial"/>
          <w:sz w:val="13"/>
          <w:szCs w:val="13"/>
          <w:color w:val="FFFFFF"/>
        </w:rPr>
        <w:t>- Page 28-</w:t>
      </w:r>
    </w:p>
    <w:p>
      <w:pPr>
        <w:sectPr>
          <w:pgSz w:w="11900" w:h="16838" w:orient="portrait"/>
          <w:cols w:equalWidth="0" w:num="1">
            <w:col w:w="11140"/>
          </w:cols>
          <w:pgMar w:left="580" w:top="541" w:right="179" w:bottom="1440" w:gutter="0" w:footer="0" w:header="0"/>
        </w:sectPr>
      </w:pPr>
    </w:p>
    <w:bookmarkStart w:id="31" w:name="page32"/>
    <w:bookmarkEnd w:id="31"/>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21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5210175"/>
                    </a:xfrm>
                    <a:prstGeom prst="rect">
                      <a:avLst/>
                    </a:prstGeom>
                    <a:noFill/>
                  </pic:spPr>
                </pic:pic>
              </a:graphicData>
            </a:graphic>
          </wp:anchor>
        </w:drawing>
        <w:t>Recent VringoNews</w:t>
      </w:r>
    </w:p>
    <w:p>
      <w:pPr>
        <w:spacing w:after="0" w:line="156" w:lineRule="exact"/>
        <w:rPr>
          <w:sz w:val="20"/>
          <w:szCs w:val="20"/>
          <w:color w:val="auto"/>
        </w:rPr>
      </w:pPr>
    </w:p>
    <w:p>
      <w:pPr>
        <w:ind w:left="1460" w:right="1800" w:hanging="189"/>
        <w:spacing w:after="0" w:line="289" w:lineRule="auto"/>
        <w:tabs>
          <w:tab w:leader="none" w:pos="1460" w:val="left"/>
        </w:tabs>
        <w:numPr>
          <w:ilvl w:val="0"/>
          <w:numId w:val="28"/>
        </w:numPr>
        <w:rPr>
          <w:rFonts w:ascii="Arial" w:cs="Arial" w:eastAsia="Arial" w:hAnsi="Arial"/>
          <w:sz w:val="27"/>
          <w:szCs w:val="27"/>
          <w:color w:val="auto"/>
        </w:rPr>
      </w:pPr>
      <w:r>
        <w:rPr>
          <w:rFonts w:ascii="Arial" w:cs="Arial" w:eastAsia="Arial" w:hAnsi="Arial"/>
          <w:sz w:val="34"/>
          <w:szCs w:val="34"/>
          <w:b w:val="1"/>
          <w:bCs w:val="1"/>
          <w:color w:val="auto"/>
        </w:rPr>
        <w:t>Issuance of first patentU.--S. Patent No. 7,761,816 (ApplicationNo.11/544,938)-- 7/20/10</w:t>
      </w:r>
    </w:p>
    <w:p>
      <w:pPr>
        <w:spacing w:after="0" w:line="200" w:lineRule="exact"/>
        <w:rPr>
          <w:rFonts w:ascii="Arial" w:cs="Arial" w:eastAsia="Arial" w:hAnsi="Arial"/>
          <w:sz w:val="27"/>
          <w:szCs w:val="27"/>
          <w:color w:val="auto"/>
        </w:rPr>
      </w:pPr>
    </w:p>
    <w:p>
      <w:pPr>
        <w:spacing w:after="0" w:line="215" w:lineRule="exact"/>
        <w:rPr>
          <w:rFonts w:ascii="Arial" w:cs="Arial" w:eastAsia="Arial" w:hAnsi="Arial"/>
          <w:sz w:val="27"/>
          <w:szCs w:val="27"/>
          <w:color w:val="auto"/>
        </w:rPr>
      </w:pPr>
    </w:p>
    <w:p>
      <w:pPr>
        <w:ind w:left="1460" w:right="500" w:hanging="189"/>
        <w:spacing w:after="0" w:line="257" w:lineRule="auto"/>
        <w:tabs>
          <w:tab w:leader="none" w:pos="1460" w:val="left"/>
        </w:tabs>
        <w:numPr>
          <w:ilvl w:val="0"/>
          <w:numId w:val="28"/>
        </w:numPr>
        <w:rPr>
          <w:rFonts w:ascii="Arial" w:cs="Arial" w:eastAsia="Arial" w:hAnsi="Arial"/>
          <w:sz w:val="28"/>
          <w:szCs w:val="28"/>
          <w:color w:val="auto"/>
        </w:rPr>
      </w:pPr>
      <w:r>
        <w:rPr>
          <w:rFonts w:ascii="Arial" w:cs="Arial" w:eastAsia="Arial" w:hAnsi="Arial"/>
          <w:sz w:val="35"/>
          <w:szCs w:val="35"/>
          <w:color w:val="auto"/>
        </w:rPr>
        <w:t>Launch broadcast marketing campaign with RTL Belgium (division of Bertelsmann) with new exclusive content from Nouvelle Star, Twilight, Desperate Housewives (</w:t>
      </w:r>
      <w:r>
        <w:rPr>
          <w:rFonts w:ascii="Arial" w:cs="Arial" w:eastAsia="Arial" w:hAnsi="Arial"/>
          <w:sz w:val="35"/>
          <w:szCs w:val="35"/>
          <w:color w:val="0000FF"/>
        </w:rPr>
        <w:t>www.myvringo.be</w:t>
      </w:r>
      <w:r>
        <w:rPr>
          <w:rFonts w:ascii="Arial" w:cs="Arial" w:eastAsia="Arial" w:hAnsi="Arial"/>
          <w:sz w:val="35"/>
          <w:szCs w:val="35"/>
          <w:color w:val="auto"/>
        </w:rPr>
        <w:t>)</w:t>
      </w:r>
    </w:p>
    <w:p>
      <w:pPr>
        <w:spacing w:after="0" w:line="142" w:lineRule="exact"/>
        <w:rPr>
          <w:rFonts w:ascii="Arial" w:cs="Arial" w:eastAsia="Arial" w:hAnsi="Arial"/>
          <w:sz w:val="28"/>
          <w:szCs w:val="28"/>
          <w:color w:val="auto"/>
        </w:rPr>
      </w:pPr>
    </w:p>
    <w:p>
      <w:pPr>
        <w:ind w:left="1460" w:right="740" w:hanging="189"/>
        <w:spacing w:after="0" w:line="283" w:lineRule="auto"/>
        <w:tabs>
          <w:tab w:leader="none" w:pos="1460" w:val="left"/>
        </w:tabs>
        <w:numPr>
          <w:ilvl w:val="0"/>
          <w:numId w:val="28"/>
        </w:numPr>
        <w:rPr>
          <w:rFonts w:ascii="Arial" w:cs="Arial" w:eastAsia="Arial" w:hAnsi="Arial"/>
          <w:sz w:val="26"/>
          <w:szCs w:val="26"/>
          <w:color w:val="auto"/>
        </w:rPr>
      </w:pPr>
      <w:r>
        <w:rPr>
          <w:rFonts w:ascii="Arial" w:cs="Arial" w:eastAsia="Arial" w:hAnsi="Arial"/>
          <w:sz w:val="33"/>
          <w:szCs w:val="33"/>
          <w:color w:val="auto"/>
        </w:rPr>
        <w:t>Retromedyaagreement to expand Vringo’sbilling coverage in the Turkish mobile market making Vringoavailable to substantially all 64 million Turkish mobile subscribers</w:t>
      </w:r>
    </w:p>
    <w:p>
      <w:pPr>
        <w:spacing w:after="0" w:line="104" w:lineRule="exact"/>
        <w:rPr>
          <w:rFonts w:ascii="Arial" w:cs="Arial" w:eastAsia="Arial" w:hAnsi="Arial"/>
          <w:sz w:val="26"/>
          <w:szCs w:val="26"/>
          <w:color w:val="auto"/>
        </w:rPr>
      </w:pPr>
    </w:p>
    <w:p>
      <w:pPr>
        <w:ind w:left="1460" w:hanging="189"/>
        <w:spacing w:after="0"/>
        <w:tabs>
          <w:tab w:leader="none" w:pos="1460" w:val="left"/>
        </w:tabs>
        <w:numPr>
          <w:ilvl w:val="0"/>
          <w:numId w:val="28"/>
        </w:numPr>
        <w:rPr>
          <w:rFonts w:ascii="Arial" w:cs="Arial" w:eastAsia="Arial" w:hAnsi="Arial"/>
          <w:sz w:val="28"/>
          <w:szCs w:val="28"/>
          <w:color w:val="auto"/>
        </w:rPr>
      </w:pPr>
      <w:r>
        <w:rPr>
          <w:rFonts w:ascii="Arial" w:cs="Arial" w:eastAsia="Arial" w:hAnsi="Arial"/>
          <w:sz w:val="35"/>
          <w:szCs w:val="35"/>
          <w:color w:val="auto"/>
        </w:rPr>
        <w:t>FusionSportsMarketing Group exclusive content from</w:t>
      </w:r>
    </w:p>
    <w:p>
      <w:pPr>
        <w:spacing w:after="0" w:line="28" w:lineRule="exact"/>
        <w:rPr>
          <w:rFonts w:ascii="Arial" w:cs="Arial" w:eastAsia="Arial" w:hAnsi="Arial"/>
          <w:sz w:val="28"/>
          <w:szCs w:val="28"/>
          <w:color w:val="auto"/>
        </w:rPr>
      </w:pPr>
    </w:p>
    <w:p>
      <w:pPr>
        <w:ind w:left="1460"/>
        <w:spacing w:after="0" w:line="257" w:lineRule="auto"/>
        <w:rPr>
          <w:rFonts w:ascii="Arial" w:cs="Arial" w:eastAsia="Arial" w:hAnsi="Arial"/>
          <w:sz w:val="28"/>
          <w:szCs w:val="28"/>
          <w:color w:val="auto"/>
        </w:rPr>
      </w:pPr>
      <w:r>
        <w:rPr>
          <w:rFonts w:ascii="Arial" w:cs="Arial" w:eastAsia="Arial" w:hAnsi="Arial"/>
          <w:sz w:val="35"/>
          <w:szCs w:val="35"/>
          <w:color w:val="auto"/>
        </w:rPr>
        <w:t>clients including: Ray Lewis; Derrick Johnson; Donnie Avery; RashardLewis; Doc Patton; Kenny “The Jet”Smith; MarshevetMyers</w:t>
      </w:r>
    </w:p>
    <w:p>
      <w:pPr>
        <w:spacing w:after="0" w:line="200" w:lineRule="exact"/>
        <w:rPr>
          <w:rFonts w:ascii="Arial" w:cs="Arial" w:eastAsia="Arial" w:hAnsi="Arial"/>
          <w:sz w:val="28"/>
          <w:szCs w:val="28"/>
          <w:color w:val="auto"/>
        </w:rPr>
      </w:pPr>
    </w:p>
    <w:p>
      <w:pPr>
        <w:spacing w:after="0" w:line="241" w:lineRule="exact"/>
        <w:rPr>
          <w:rFonts w:ascii="Arial" w:cs="Arial" w:eastAsia="Arial" w:hAnsi="Arial"/>
          <w:sz w:val="28"/>
          <w:szCs w:val="28"/>
          <w:color w:val="auto"/>
        </w:rPr>
      </w:pPr>
    </w:p>
    <w:p>
      <w:pPr>
        <w:ind w:left="4740" w:hanging="79"/>
        <w:spacing w:after="0"/>
        <w:tabs>
          <w:tab w:leader="none" w:pos="4740" w:val="left"/>
        </w:tabs>
        <w:numPr>
          <w:ilvl w:val="1"/>
          <w:numId w:val="28"/>
        </w:numPr>
        <w:rPr>
          <w:rFonts w:ascii="Arial" w:cs="Arial" w:eastAsia="Arial" w:hAnsi="Arial"/>
          <w:sz w:val="13"/>
          <w:szCs w:val="13"/>
          <w:color w:val="FFFFFF"/>
        </w:rPr>
      </w:pPr>
      <w:r>
        <w:rPr>
          <w:rFonts w:ascii="Arial" w:cs="Arial" w:eastAsia="Arial" w:hAnsi="Arial"/>
          <w:sz w:val="13"/>
          <w:szCs w:val="13"/>
          <w:color w:val="FFFFFF"/>
        </w:rPr>
        <w:t>Page 29-</w:t>
      </w:r>
    </w:p>
    <w:p>
      <w:pPr>
        <w:sectPr>
          <w:pgSz w:w="11900" w:h="16838" w:orient="portrait"/>
          <w:cols w:equalWidth="0" w:num="1">
            <w:col w:w="10940"/>
          </w:cols>
          <w:pgMar w:left="680" w:top="640" w:right="279" w:bottom="1440" w:gutter="0" w:footer="0" w:header="0"/>
        </w:sectPr>
      </w:pPr>
    </w:p>
    <w:bookmarkStart w:id="32" w:name="page33"/>
    <w:bookmarkEnd w:id="32"/>
    <w:p>
      <w:pPr>
        <w:spacing w:after="0"/>
        <w:rPr>
          <w:sz w:val="20"/>
          <w:szCs w:val="20"/>
          <w:color w:val="auto"/>
        </w:rPr>
      </w:pPr>
      <w:r>
        <w:rPr>
          <w:rFonts w:ascii="Arial" w:cs="Arial" w:eastAsia="Arial" w:hAnsi="Arial"/>
          <w:sz w:val="41"/>
          <w:szCs w:val="41"/>
          <w:b w:val="1"/>
          <w:bCs w:val="1"/>
          <w:color w:val="FFC000"/>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Vringo-OrangeAnnouncement– BreakthroughinEurope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right="860"/>
        <w:spacing w:after="0" w:line="282" w:lineRule="auto"/>
        <w:rPr>
          <w:sz w:val="20"/>
          <w:szCs w:val="20"/>
          <w:color w:val="auto"/>
        </w:rPr>
      </w:pPr>
      <w:r>
        <w:rPr>
          <w:rFonts w:ascii="Arial" w:cs="Arial" w:eastAsia="Arial" w:hAnsi="Arial"/>
          <w:sz w:val="30"/>
          <w:szCs w:val="30"/>
          <w:b w:val="1"/>
          <w:bCs w:val="1"/>
          <w:color w:val="auto"/>
        </w:rPr>
        <w:t>Deal with Everything Everywhere Ltd.; UK’s largest mobile company to launch Vringotogether in the UK market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40"/>
        <w:spacing w:after="0" w:line="264" w:lineRule="auto"/>
        <w:rPr>
          <w:sz w:val="20"/>
          <w:szCs w:val="20"/>
          <w:color w:val="auto"/>
        </w:rPr>
      </w:pPr>
      <w:r>
        <w:rPr>
          <w:rFonts w:ascii="Arial" w:cs="Arial" w:eastAsia="Arial" w:hAnsi="Arial"/>
          <w:sz w:val="30"/>
          <w:szCs w:val="30"/>
          <w:b w:val="1"/>
          <w:bCs w:val="1"/>
          <w:color w:val="auto"/>
        </w:rPr>
        <w:t>Everything Everywhere operates both Orange (UK) and T-Mobile (UK) with combined total of over 30 M subscribers, and is owned by France Telecom and Deutsche Telekom</w:t>
      </w:r>
    </w:p>
    <w:p>
      <w:pPr>
        <w:spacing w:after="0" w:line="200" w:lineRule="exact"/>
        <w:rPr>
          <w:sz w:val="20"/>
          <w:szCs w:val="20"/>
          <w:color w:val="auto"/>
        </w:rPr>
      </w:pPr>
    </w:p>
    <w:p>
      <w:pPr>
        <w:spacing w:after="0" w:line="318" w:lineRule="exact"/>
        <w:rPr>
          <w:sz w:val="20"/>
          <w:szCs w:val="20"/>
          <w:color w:val="auto"/>
        </w:rPr>
      </w:pPr>
    </w:p>
    <w:p>
      <w:pPr>
        <w:ind w:left="1520"/>
        <w:spacing w:after="0"/>
        <w:rPr>
          <w:sz w:val="20"/>
          <w:szCs w:val="20"/>
          <w:color w:val="auto"/>
        </w:rPr>
      </w:pPr>
      <w:r>
        <w:rPr>
          <w:rFonts w:ascii="Arial" w:cs="Arial" w:eastAsia="Arial" w:hAnsi="Arial"/>
          <w:sz w:val="30"/>
          <w:szCs w:val="30"/>
          <w:b w:val="1"/>
          <w:bCs w:val="1"/>
          <w:color w:val="auto"/>
        </w:rPr>
        <w:t>First will launch with Orange (UK)</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30"/>
          <w:szCs w:val="30"/>
          <w:b w:val="1"/>
          <w:bCs w:val="1"/>
          <w:color w:val="auto"/>
        </w:rPr>
        <w:t>subscribers in Q4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40" w:right="2400"/>
        <w:spacing w:after="0" w:line="282" w:lineRule="auto"/>
        <w:rPr>
          <w:sz w:val="20"/>
          <w:szCs w:val="20"/>
          <w:color w:val="auto"/>
        </w:rPr>
      </w:pPr>
      <w:r>
        <w:rPr>
          <w:rFonts w:ascii="Arial" w:cs="Arial" w:eastAsia="Arial" w:hAnsi="Arial"/>
          <w:sz w:val="30"/>
          <w:szCs w:val="30"/>
          <w:b w:val="1"/>
          <w:bCs w:val="1"/>
          <w:color w:val="auto"/>
        </w:rPr>
        <w:t>Working hard to ensure top notch content for this critical launch</w:t>
      </w:r>
    </w:p>
    <w:p>
      <w:pPr>
        <w:spacing w:after="0" w:line="200" w:lineRule="exact"/>
        <w:rPr>
          <w:sz w:val="20"/>
          <w:szCs w:val="20"/>
          <w:color w:val="auto"/>
        </w:rPr>
      </w:pPr>
    </w:p>
    <w:p>
      <w:pPr>
        <w:spacing w:after="0" w:line="304" w:lineRule="exact"/>
        <w:rPr>
          <w:sz w:val="20"/>
          <w:szCs w:val="20"/>
          <w:color w:val="auto"/>
        </w:rPr>
      </w:pPr>
    </w:p>
    <w:p>
      <w:pPr>
        <w:ind w:left="4800"/>
        <w:spacing w:after="0"/>
        <w:rPr>
          <w:sz w:val="20"/>
          <w:szCs w:val="20"/>
          <w:color w:val="auto"/>
        </w:rPr>
      </w:pPr>
      <w:r>
        <w:rPr>
          <w:rFonts w:ascii="Arial" w:cs="Arial" w:eastAsia="Arial" w:hAnsi="Arial"/>
          <w:sz w:val="13"/>
          <w:szCs w:val="13"/>
          <w:color w:val="FFFFFF"/>
        </w:rPr>
        <w:t>- Page 30-</w:t>
      </w:r>
    </w:p>
    <w:p>
      <w:pPr>
        <w:sectPr>
          <w:pgSz w:w="11900" w:h="16838" w:orient="portrait"/>
          <w:cols w:equalWidth="0" w:num="1">
            <w:col w:w="11080"/>
          </w:cols>
          <w:pgMar w:left="540" w:top="535" w:right="279" w:bottom="1440" w:gutter="0" w:footer="0" w:header="0"/>
        </w:sectPr>
      </w:pPr>
    </w:p>
    <w:bookmarkStart w:id="33" w:name="page34"/>
    <w:bookmarkEnd w:id="33"/>
    <w:p>
      <w:pPr>
        <w:spacing w:after="0"/>
        <w:rPr>
          <w:sz w:val="20"/>
          <w:szCs w:val="20"/>
          <w:color w:val="auto"/>
        </w:rPr>
      </w:pPr>
      <w:r>
        <w:rPr>
          <w:rFonts w:ascii="Arial" w:cs="Arial" w:eastAsia="Arial" w:hAnsi="Arial"/>
          <w:sz w:val="41"/>
          <w:szCs w:val="41"/>
          <w:b w:val="1"/>
          <w:bCs w:val="1"/>
          <w:color w:val="FFC000"/>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Importance of Orange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266"/>
        <w:spacing w:after="0"/>
        <w:tabs>
          <w:tab w:leader="none" w:pos="500" w:val="left"/>
        </w:tabs>
        <w:numPr>
          <w:ilvl w:val="0"/>
          <w:numId w:val="29"/>
        </w:numPr>
        <w:rPr>
          <w:rFonts w:ascii="Arial" w:cs="Arial" w:eastAsia="Arial" w:hAnsi="Arial"/>
          <w:sz w:val="41"/>
          <w:szCs w:val="41"/>
          <w:color w:val="auto"/>
        </w:rPr>
      </w:pPr>
      <w:r>
        <w:rPr>
          <w:rFonts w:ascii="Arial" w:cs="Arial" w:eastAsia="Arial" w:hAnsi="Arial"/>
          <w:sz w:val="41"/>
          <w:szCs w:val="41"/>
          <w:color w:val="auto"/>
        </w:rPr>
        <w:t>First major launch in the strategic European market</w:t>
      </w:r>
    </w:p>
    <w:p>
      <w:pPr>
        <w:spacing w:after="0" w:line="290" w:lineRule="exact"/>
        <w:rPr>
          <w:rFonts w:ascii="Arial" w:cs="Arial" w:eastAsia="Arial" w:hAnsi="Arial"/>
          <w:sz w:val="41"/>
          <w:szCs w:val="41"/>
          <w:color w:val="auto"/>
        </w:rPr>
      </w:pPr>
    </w:p>
    <w:p>
      <w:pPr>
        <w:ind w:left="500" w:right="1280" w:hanging="266"/>
        <w:spacing w:after="0" w:line="264" w:lineRule="auto"/>
        <w:tabs>
          <w:tab w:leader="none" w:pos="500" w:val="left"/>
        </w:tabs>
        <w:numPr>
          <w:ilvl w:val="0"/>
          <w:numId w:val="29"/>
        </w:numPr>
        <w:rPr>
          <w:rFonts w:ascii="Arial" w:cs="Arial" w:eastAsia="Arial" w:hAnsi="Arial"/>
          <w:sz w:val="41"/>
          <w:szCs w:val="41"/>
          <w:color w:val="auto"/>
        </w:rPr>
      </w:pPr>
      <w:r>
        <w:rPr>
          <w:rFonts w:ascii="Arial" w:cs="Arial" w:eastAsia="Arial" w:hAnsi="Arial"/>
          <w:sz w:val="41"/>
          <w:szCs w:val="41"/>
          <w:color w:val="auto"/>
        </w:rPr>
        <w:t>UK is a vibrant and active mobile content and application market</w:t>
      </w:r>
    </w:p>
    <w:p>
      <w:pPr>
        <w:spacing w:after="0" w:line="221" w:lineRule="exact"/>
        <w:rPr>
          <w:rFonts w:ascii="Arial" w:cs="Arial" w:eastAsia="Arial" w:hAnsi="Arial"/>
          <w:sz w:val="41"/>
          <w:szCs w:val="41"/>
          <w:color w:val="auto"/>
        </w:rPr>
      </w:pPr>
    </w:p>
    <w:p>
      <w:pPr>
        <w:ind w:left="500" w:hanging="266"/>
        <w:spacing w:after="0" w:line="264" w:lineRule="auto"/>
        <w:tabs>
          <w:tab w:leader="none" w:pos="500" w:val="left"/>
        </w:tabs>
        <w:numPr>
          <w:ilvl w:val="0"/>
          <w:numId w:val="29"/>
        </w:numPr>
        <w:rPr>
          <w:rFonts w:ascii="Arial" w:cs="Arial" w:eastAsia="Arial" w:hAnsi="Arial"/>
          <w:sz w:val="41"/>
          <w:szCs w:val="41"/>
          <w:color w:val="auto"/>
        </w:rPr>
      </w:pPr>
      <w:r>
        <w:rPr>
          <w:rFonts w:ascii="Arial" w:cs="Arial" w:eastAsia="Arial" w:hAnsi="Arial"/>
          <w:sz w:val="41"/>
          <w:szCs w:val="41"/>
          <w:color w:val="auto"/>
        </w:rPr>
        <w:t>Vringo has until now focused on proving its business model in smaller, less developed markets</w:t>
      </w:r>
    </w:p>
    <w:p>
      <w:pPr>
        <w:spacing w:after="0" w:line="221" w:lineRule="exact"/>
        <w:rPr>
          <w:rFonts w:ascii="Arial" w:cs="Arial" w:eastAsia="Arial" w:hAnsi="Arial"/>
          <w:sz w:val="41"/>
          <w:szCs w:val="41"/>
          <w:color w:val="auto"/>
        </w:rPr>
      </w:pPr>
    </w:p>
    <w:p>
      <w:pPr>
        <w:ind w:left="500" w:right="200" w:hanging="266"/>
        <w:spacing w:after="0" w:line="255" w:lineRule="auto"/>
        <w:tabs>
          <w:tab w:leader="none" w:pos="500" w:val="left"/>
        </w:tabs>
        <w:numPr>
          <w:ilvl w:val="0"/>
          <w:numId w:val="29"/>
        </w:numPr>
        <w:rPr>
          <w:rFonts w:ascii="Arial" w:cs="Arial" w:eastAsia="Arial" w:hAnsi="Arial"/>
          <w:sz w:val="41"/>
          <w:szCs w:val="41"/>
          <w:color w:val="auto"/>
        </w:rPr>
      </w:pPr>
      <w:r>
        <w:rPr>
          <w:rFonts w:ascii="Arial" w:cs="Arial" w:eastAsia="Arial" w:hAnsi="Arial"/>
          <w:sz w:val="41"/>
          <w:szCs w:val="41"/>
          <w:color w:val="auto"/>
        </w:rPr>
        <w:t>Terms: Orange branded service, revenue split, zero rating for data, promotion of service on Orange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FFFFFF"/>
        </w:rPr>
        <w:t>- Page 31 -</w:t>
      </w:r>
    </w:p>
    <w:p>
      <w:pPr>
        <w:sectPr>
          <w:pgSz w:w="11900" w:h="16838" w:orient="portrait"/>
          <w:cols w:equalWidth="0" w:num="1">
            <w:col w:w="9980"/>
          </w:cols>
          <w:pgMar w:left="580" w:top="491" w:right="1339" w:bottom="1440" w:gutter="0" w:footer="0" w:header="0"/>
        </w:sectPr>
      </w:pPr>
    </w:p>
    <w:bookmarkStart w:id="34" w:name="page35"/>
    <w:bookmarkEnd w:id="34"/>
    <w:p>
      <w:pPr>
        <w:spacing w:after="0"/>
        <w:rPr>
          <w:sz w:val="20"/>
          <w:szCs w:val="20"/>
          <w:color w:val="auto"/>
        </w:rPr>
      </w:pPr>
      <w:r>
        <w:rPr>
          <w:rFonts w:ascii="Arial" w:cs="Arial" w:eastAsia="Arial" w:hAnsi="Arial"/>
          <w:sz w:val="40"/>
          <w:szCs w:val="40"/>
          <w:b w:val="1"/>
          <w:bCs w:val="1"/>
          <w:color w:val="A9FF04"/>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21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0755" cy="5210175"/>
                    </a:xfrm>
                    <a:prstGeom prst="rect">
                      <a:avLst/>
                    </a:prstGeom>
                    <a:noFill/>
                  </pic:spPr>
                </pic:pic>
              </a:graphicData>
            </a:graphic>
          </wp:anchor>
        </w:drawing>
        <w:t>Starting in North America---with Verizon and Android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00" w:right="360"/>
        <w:spacing w:after="0" w:line="264" w:lineRule="auto"/>
        <w:rPr>
          <w:sz w:val="20"/>
          <w:szCs w:val="20"/>
          <w:color w:val="auto"/>
        </w:rPr>
      </w:pPr>
      <w:r>
        <w:rPr>
          <w:rFonts w:ascii="Arial" w:cs="Arial" w:eastAsia="Arial" w:hAnsi="Arial"/>
          <w:sz w:val="41"/>
          <w:szCs w:val="41"/>
          <w:color w:val="auto"/>
        </w:rPr>
        <w:t>Vringohas been approved to launch on the Verizon Android App Store in Q4</w:t>
      </w:r>
    </w:p>
    <w:p>
      <w:pPr>
        <w:spacing w:after="0" w:line="200" w:lineRule="exact"/>
        <w:rPr>
          <w:sz w:val="20"/>
          <w:szCs w:val="20"/>
          <w:color w:val="auto"/>
        </w:rPr>
      </w:pPr>
    </w:p>
    <w:p>
      <w:pPr>
        <w:spacing w:after="0" w:line="353" w:lineRule="exact"/>
        <w:rPr>
          <w:sz w:val="20"/>
          <w:szCs w:val="20"/>
          <w:color w:val="auto"/>
        </w:rPr>
      </w:pPr>
    </w:p>
    <w:p>
      <w:pPr>
        <w:ind w:right="400"/>
        <w:spacing w:after="0" w:line="264" w:lineRule="auto"/>
        <w:rPr>
          <w:sz w:val="20"/>
          <w:szCs w:val="20"/>
          <w:color w:val="auto"/>
        </w:rPr>
      </w:pPr>
      <w:r>
        <w:rPr>
          <w:rFonts w:ascii="Arial" w:cs="Arial" w:eastAsia="Arial" w:hAnsi="Arial"/>
          <w:sz w:val="41"/>
          <w:szCs w:val="41"/>
          <w:color w:val="auto"/>
        </w:rPr>
        <w:t>Verizon has 90 M subscribers and has a culture of app promotion and usage among subscribers</w:t>
      </w:r>
    </w:p>
    <w:p>
      <w:pPr>
        <w:spacing w:after="0" w:line="376" w:lineRule="exact"/>
        <w:rPr>
          <w:sz w:val="20"/>
          <w:szCs w:val="20"/>
          <w:color w:val="auto"/>
        </w:rPr>
      </w:pPr>
    </w:p>
    <w:p>
      <w:pPr>
        <w:ind w:left="700" w:right="1900"/>
        <w:spacing w:after="0" w:line="264" w:lineRule="auto"/>
        <w:rPr>
          <w:sz w:val="20"/>
          <w:szCs w:val="20"/>
          <w:color w:val="auto"/>
        </w:rPr>
      </w:pPr>
      <w:r>
        <w:rPr>
          <w:rFonts w:ascii="Arial" w:cs="Arial" w:eastAsia="Arial" w:hAnsi="Arial"/>
          <w:sz w:val="41"/>
          <w:szCs w:val="41"/>
          <w:color w:val="auto"/>
        </w:rPr>
        <w:t>Verizon has sold the most Android phones in North America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1"/>
          <w:szCs w:val="41"/>
          <w:color w:val="auto"/>
        </w:rPr>
        <w:t>Androidhasnow overtakeniPhonein North American</w:t>
      </w:r>
    </w:p>
    <w:p>
      <w:pPr>
        <w:spacing w:after="0" w:line="25" w:lineRule="exact"/>
        <w:rPr>
          <w:sz w:val="20"/>
          <w:szCs w:val="20"/>
          <w:color w:val="auto"/>
        </w:rPr>
      </w:pPr>
    </w:p>
    <w:p>
      <w:pPr>
        <w:spacing w:after="0"/>
        <w:rPr>
          <w:sz w:val="20"/>
          <w:szCs w:val="20"/>
          <w:color w:val="auto"/>
        </w:rPr>
      </w:pPr>
      <w:r>
        <w:rPr>
          <w:rFonts w:ascii="Arial" w:cs="Arial" w:eastAsia="Arial" w:hAnsi="Arial"/>
          <w:sz w:val="41"/>
          <w:szCs w:val="41"/>
          <w:color w:val="auto"/>
        </w:rPr>
        <w:t xml:space="preserve">unit shipments according to Gartner </w:t>
      </w:r>
      <w:r>
        <w:rPr>
          <w:rFonts w:ascii="Arial" w:cs="Arial" w:eastAsia="Arial" w:hAnsi="Arial"/>
          <w:sz w:val="26"/>
          <w:szCs w:val="26"/>
          <w:color w:val="auto"/>
        </w:rPr>
        <w:t>Aug 12, 2010 Business Week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FFFFFF"/>
        </w:rPr>
        <w:t>- Page 32-</w:t>
      </w:r>
    </w:p>
    <w:p>
      <w:pPr>
        <w:sectPr>
          <w:pgSz w:w="11900" w:h="16838" w:orient="portrait"/>
          <w:cols w:equalWidth="0" w:num="1">
            <w:col w:w="10260"/>
          </w:cols>
          <w:pgMar w:left="580" w:top="590" w:right="1059" w:bottom="1440" w:gutter="0" w:footer="0" w:header="0"/>
        </w:sectPr>
      </w:pPr>
    </w:p>
    <w:bookmarkStart w:id="35" w:name="page36"/>
    <w:bookmarkEnd w:id="35"/>
    <w:p>
      <w:pPr>
        <w:spacing w:after="0"/>
        <w:rPr>
          <w:sz w:val="20"/>
          <w:szCs w:val="20"/>
          <w:color w:val="auto"/>
        </w:rPr>
      </w:pPr>
      <w:r>
        <w:rPr>
          <w:rFonts w:ascii="Arial" w:cs="Arial" w:eastAsia="Arial" w:hAnsi="Arial"/>
          <w:sz w:val="41"/>
          <w:szCs w:val="41"/>
          <w:b w:val="1"/>
          <w:bCs w:val="1"/>
          <w:color w:val="63063C"/>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210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0755" cy="5210175"/>
                    </a:xfrm>
                    <a:prstGeom prst="rect">
                      <a:avLst/>
                    </a:prstGeom>
                    <a:noFill/>
                  </pic:spPr>
                </pic:pic>
              </a:graphicData>
            </a:graphic>
          </wp:anchor>
        </w:drawing>
        <w:t>Time for T-Pain……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60"/>
        <w:spacing w:after="0"/>
        <w:rPr>
          <w:sz w:val="20"/>
          <w:szCs w:val="20"/>
          <w:color w:val="auto"/>
        </w:rPr>
      </w:pPr>
      <w:r>
        <w:rPr>
          <w:rFonts w:ascii="Arial" w:cs="Arial" w:eastAsia="Arial" w:hAnsi="Arial"/>
          <w:sz w:val="41"/>
          <w:szCs w:val="41"/>
          <w:color w:val="auto"/>
        </w:rPr>
        <w:t>Vringolaunching new</w:t>
      </w:r>
    </w:p>
    <w:p>
      <w:pPr>
        <w:spacing w:after="0" w:line="25" w:lineRule="exact"/>
        <w:rPr>
          <w:sz w:val="20"/>
          <w:szCs w:val="20"/>
          <w:color w:val="auto"/>
        </w:rPr>
      </w:pPr>
    </w:p>
    <w:p>
      <w:pPr>
        <w:ind w:left="5360"/>
        <w:spacing w:after="0"/>
        <w:rPr>
          <w:sz w:val="20"/>
          <w:szCs w:val="20"/>
          <w:color w:val="auto"/>
        </w:rPr>
      </w:pPr>
      <w:r>
        <w:rPr>
          <w:rFonts w:ascii="Arial" w:cs="Arial" w:eastAsia="Arial" w:hAnsi="Arial"/>
          <w:sz w:val="41"/>
          <w:szCs w:val="41"/>
          <w:color w:val="auto"/>
        </w:rPr>
        <w:t>application for iPhoneand</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40"/>
          <w:szCs w:val="40"/>
          <w:color w:val="auto"/>
        </w:rPr>
        <w:t>Android with T-Pain in Q4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780"/>
        <w:spacing w:after="0" w:line="254" w:lineRule="auto"/>
        <w:rPr>
          <w:sz w:val="20"/>
          <w:szCs w:val="20"/>
          <w:color w:val="auto"/>
        </w:rPr>
      </w:pPr>
      <w:r>
        <w:rPr>
          <w:rFonts w:ascii="Arial" w:cs="Arial" w:eastAsia="Arial" w:hAnsi="Arial"/>
          <w:sz w:val="41"/>
          <w:szCs w:val="41"/>
          <w:color w:val="auto"/>
        </w:rPr>
        <w:t>T-Pain’s earlier iPhoneapp “I am T-Pain”became one of the most popular music apps of all time selling 1.5 M copies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FFFFFF"/>
        </w:rPr>
        <w:t>- Page 33-</w:t>
      </w:r>
    </w:p>
    <w:p>
      <w:pPr>
        <w:sectPr>
          <w:pgSz w:w="11900" w:h="16838" w:orient="portrait"/>
          <w:cols w:equalWidth="0" w:num="1">
            <w:col w:w="10000"/>
          </w:cols>
          <w:pgMar w:left="580" w:top="590" w:right="1319" w:bottom="1440" w:gutter="0" w:footer="0" w:header="0"/>
        </w:sectPr>
      </w:pPr>
    </w:p>
    <w:bookmarkStart w:id="36" w:name="page37"/>
    <w:bookmarkEnd w:id="36"/>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Strong Financial Position to Finance Growth</w:t>
      </w:r>
    </w:p>
    <w:p>
      <w:pPr>
        <w:spacing w:after="0" w:line="200" w:lineRule="exact"/>
        <w:rPr>
          <w:sz w:val="20"/>
          <w:szCs w:val="20"/>
          <w:color w:val="auto"/>
        </w:rPr>
      </w:pPr>
    </w:p>
    <w:p>
      <w:pPr>
        <w:spacing w:after="0" w:line="378" w:lineRule="exact"/>
        <w:rPr>
          <w:sz w:val="20"/>
          <w:szCs w:val="20"/>
          <w:color w:val="auto"/>
        </w:rPr>
      </w:pPr>
    </w:p>
    <w:tbl>
      <w:tblPr>
        <w:tblLayout w:type="fixed"/>
        <w:tblInd w:w="640" w:type="dxa"/>
        <w:tblCellMar>
          <w:top w:w="0" w:type="dxa"/>
          <w:left w:w="0" w:type="dxa"/>
          <w:bottom w:w="0" w:type="dxa"/>
          <w:right w:w="0" w:type="dxa"/>
        </w:tblCellMar>
      </w:tblPr>
      <w:tr>
        <w:trPr>
          <w:trHeight w:val="327"/>
        </w:trPr>
        <w:tc>
          <w:tcPr>
            <w:tcW w:w="4960" w:type="dxa"/>
            <w:vAlign w:val="bottom"/>
          </w:tcPr>
          <w:p>
            <w:pPr>
              <w:ind w:left="40"/>
              <w:spacing w:after="0"/>
              <w:rPr>
                <w:sz w:val="20"/>
                <w:szCs w:val="20"/>
                <w:color w:val="auto"/>
              </w:rPr>
            </w:pPr>
            <w:r>
              <w:rPr>
                <w:rFonts w:ascii="Arial" w:cs="Arial" w:eastAsia="Arial" w:hAnsi="Arial"/>
                <w:sz w:val="23"/>
                <w:szCs w:val="23"/>
                <w:color w:val="auto"/>
              </w:rPr>
              <w:t>($ 000)</w:t>
            </w:r>
          </w:p>
        </w:tc>
        <w:tc>
          <w:tcPr>
            <w:tcW w:w="1720" w:type="dxa"/>
            <w:vAlign w:val="bottom"/>
          </w:tcPr>
          <w:p>
            <w:pPr>
              <w:ind w:left="260"/>
              <w:spacing w:after="0"/>
              <w:rPr>
                <w:sz w:val="20"/>
                <w:szCs w:val="20"/>
                <w:color w:val="auto"/>
              </w:rPr>
            </w:pPr>
            <w:r>
              <w:rPr>
                <w:rFonts w:ascii="Arial" w:cs="Arial" w:eastAsia="Arial" w:hAnsi="Arial"/>
                <w:sz w:val="27"/>
                <w:szCs w:val="27"/>
                <w:b w:val="1"/>
                <w:bCs w:val="1"/>
                <w:color w:val="auto"/>
              </w:rPr>
              <w:t>June 30,</w:t>
            </w:r>
          </w:p>
        </w:tc>
        <w:tc>
          <w:tcPr>
            <w:tcW w:w="2120" w:type="dxa"/>
            <w:vAlign w:val="bottom"/>
          </w:tcPr>
          <w:p>
            <w:pPr>
              <w:jc w:val="right"/>
              <w:spacing w:after="0"/>
              <w:rPr>
                <w:sz w:val="20"/>
                <w:szCs w:val="20"/>
                <w:color w:val="auto"/>
              </w:rPr>
            </w:pPr>
            <w:r>
              <w:rPr>
                <w:rFonts w:ascii="Arial" w:cs="Arial" w:eastAsia="Arial" w:hAnsi="Arial"/>
                <w:sz w:val="27"/>
                <w:szCs w:val="27"/>
                <w:b w:val="1"/>
                <w:bCs w:val="1"/>
                <w:color w:val="auto"/>
              </w:rPr>
              <w:t>December 31,</w:t>
            </w:r>
          </w:p>
        </w:tc>
      </w:tr>
      <w:tr>
        <w:trPr>
          <w:trHeight w:val="340"/>
        </w:trPr>
        <w:tc>
          <w:tcPr>
            <w:tcW w:w="4960" w:type="dxa"/>
            <w:vAlign w:val="bottom"/>
          </w:tcPr>
          <w:p>
            <w:pPr>
              <w:spacing w:after="0"/>
              <w:rPr>
                <w:sz w:val="24"/>
                <w:szCs w:val="24"/>
                <w:color w:val="auto"/>
              </w:rPr>
            </w:pPr>
          </w:p>
        </w:tc>
        <w:tc>
          <w:tcPr>
            <w:tcW w:w="1720" w:type="dxa"/>
            <w:vAlign w:val="bottom"/>
          </w:tcPr>
          <w:p>
            <w:pPr>
              <w:jc w:val="center"/>
              <w:ind w:right="99"/>
              <w:spacing w:after="0"/>
              <w:rPr>
                <w:sz w:val="20"/>
                <w:szCs w:val="20"/>
                <w:color w:val="auto"/>
              </w:rPr>
            </w:pPr>
            <w:r>
              <w:rPr>
                <w:rFonts w:ascii="Arial" w:cs="Arial" w:eastAsia="Arial" w:hAnsi="Arial"/>
                <w:sz w:val="27"/>
                <w:szCs w:val="27"/>
                <w:b w:val="1"/>
                <w:bCs w:val="1"/>
                <w:color w:val="auto"/>
                <w:w w:val="99"/>
              </w:rPr>
              <w:t>2010</w:t>
            </w:r>
          </w:p>
        </w:tc>
        <w:tc>
          <w:tcPr>
            <w:tcW w:w="2120" w:type="dxa"/>
            <w:vAlign w:val="bottom"/>
          </w:tcPr>
          <w:p>
            <w:pPr>
              <w:jc w:val="right"/>
              <w:ind w:right="499"/>
              <w:spacing w:after="0"/>
              <w:rPr>
                <w:sz w:val="20"/>
                <w:szCs w:val="20"/>
                <w:color w:val="auto"/>
              </w:rPr>
            </w:pPr>
            <w:r>
              <w:rPr>
                <w:rFonts w:ascii="Arial" w:cs="Arial" w:eastAsia="Arial" w:hAnsi="Arial"/>
                <w:sz w:val="27"/>
                <w:szCs w:val="27"/>
                <w:b w:val="1"/>
                <w:bCs w:val="1"/>
                <w:color w:val="auto"/>
              </w:rPr>
              <w:t>2009</w:t>
            </w:r>
          </w:p>
        </w:tc>
      </w:tr>
      <w:tr>
        <w:trPr>
          <w:trHeight w:val="263"/>
        </w:trPr>
        <w:tc>
          <w:tcPr>
            <w:tcW w:w="4960" w:type="dxa"/>
            <w:vAlign w:val="bottom"/>
          </w:tcPr>
          <w:p>
            <w:pPr>
              <w:spacing w:after="0"/>
              <w:rPr>
                <w:sz w:val="22"/>
                <w:szCs w:val="22"/>
                <w:color w:val="auto"/>
              </w:rPr>
            </w:pPr>
          </w:p>
        </w:tc>
        <w:tc>
          <w:tcPr>
            <w:tcW w:w="1720" w:type="dxa"/>
            <w:vAlign w:val="bottom"/>
          </w:tcPr>
          <w:p>
            <w:pPr>
              <w:ind w:left="200"/>
              <w:spacing w:after="0"/>
              <w:rPr>
                <w:sz w:val="20"/>
                <w:szCs w:val="20"/>
                <w:color w:val="auto"/>
              </w:rPr>
            </w:pPr>
            <w:r>
              <w:rPr>
                <w:rFonts w:ascii="Arial" w:cs="Arial" w:eastAsia="Arial" w:hAnsi="Arial"/>
                <w:sz w:val="21"/>
                <w:szCs w:val="21"/>
                <w:color w:val="auto"/>
              </w:rPr>
              <w:t>(Unaudited)</w:t>
            </w:r>
          </w:p>
        </w:tc>
        <w:tc>
          <w:tcPr>
            <w:tcW w:w="2120" w:type="dxa"/>
            <w:vAlign w:val="bottom"/>
          </w:tcPr>
          <w:p>
            <w:pPr>
              <w:jc w:val="right"/>
              <w:ind w:right="359"/>
              <w:spacing w:after="0"/>
              <w:rPr>
                <w:sz w:val="20"/>
                <w:szCs w:val="20"/>
                <w:color w:val="auto"/>
              </w:rPr>
            </w:pPr>
            <w:r>
              <w:rPr>
                <w:rFonts w:ascii="Arial" w:cs="Arial" w:eastAsia="Arial" w:hAnsi="Arial"/>
                <w:sz w:val="21"/>
                <w:szCs w:val="21"/>
                <w:color w:val="auto"/>
              </w:rPr>
              <w:t>(Audited</w:t>
            </w:r>
            <w:r>
              <w:rPr>
                <w:rFonts w:ascii="Arial" w:cs="Arial" w:eastAsia="Arial" w:hAnsi="Arial"/>
                <w:sz w:val="19"/>
                <w:szCs w:val="19"/>
                <w:color w:val="auto"/>
              </w:rPr>
              <w:t>)</w:t>
            </w:r>
          </w:p>
        </w:tc>
      </w:tr>
      <w:tr>
        <w:trPr>
          <w:trHeight w:val="503"/>
        </w:trPr>
        <w:tc>
          <w:tcPr>
            <w:tcW w:w="4960" w:type="dxa"/>
            <w:vAlign w:val="bottom"/>
          </w:tcPr>
          <w:p>
            <w:pPr>
              <w:spacing w:after="0"/>
              <w:rPr>
                <w:sz w:val="20"/>
                <w:szCs w:val="20"/>
                <w:color w:val="auto"/>
              </w:rPr>
            </w:pPr>
            <w:r>
              <w:rPr>
                <w:rFonts w:ascii="Arial" w:cs="Arial" w:eastAsia="Arial" w:hAnsi="Arial"/>
                <w:sz w:val="30"/>
                <w:szCs w:val="30"/>
                <w:b w:val="1"/>
                <w:bCs w:val="1"/>
                <w:color w:val="auto"/>
              </w:rPr>
              <w:t>Cash and cash equivalents</w:t>
            </w:r>
          </w:p>
        </w:tc>
        <w:tc>
          <w:tcPr>
            <w:tcW w:w="1720" w:type="dxa"/>
            <w:vAlign w:val="bottom"/>
          </w:tcPr>
          <w:p>
            <w:pPr>
              <w:jc w:val="center"/>
              <w:ind w:right="59"/>
              <w:spacing w:after="0"/>
              <w:rPr>
                <w:sz w:val="20"/>
                <w:szCs w:val="20"/>
                <w:color w:val="auto"/>
              </w:rPr>
            </w:pPr>
            <w:r>
              <w:rPr>
                <w:rFonts w:ascii="Arial" w:cs="Arial" w:eastAsia="Arial" w:hAnsi="Arial"/>
                <w:sz w:val="30"/>
                <w:szCs w:val="30"/>
                <w:b w:val="1"/>
                <w:bCs w:val="1"/>
                <w:color w:val="auto"/>
              </w:rPr>
              <w:t>9,692</w:t>
            </w:r>
          </w:p>
        </w:tc>
        <w:tc>
          <w:tcPr>
            <w:tcW w:w="2120" w:type="dxa"/>
            <w:vAlign w:val="bottom"/>
          </w:tcPr>
          <w:p>
            <w:pPr>
              <w:jc w:val="right"/>
              <w:ind w:right="539"/>
              <w:spacing w:after="0"/>
              <w:rPr>
                <w:sz w:val="20"/>
                <w:szCs w:val="20"/>
                <w:color w:val="auto"/>
              </w:rPr>
            </w:pPr>
            <w:r>
              <w:rPr>
                <w:rFonts w:ascii="Arial" w:cs="Arial" w:eastAsia="Arial" w:hAnsi="Arial"/>
                <w:sz w:val="30"/>
                <w:szCs w:val="30"/>
                <w:color w:val="auto"/>
              </w:rPr>
              <w:t>744</w:t>
            </w:r>
          </w:p>
        </w:tc>
      </w:tr>
      <w:tr>
        <w:trPr>
          <w:trHeight w:val="707"/>
        </w:trPr>
        <w:tc>
          <w:tcPr>
            <w:tcW w:w="4960" w:type="dxa"/>
            <w:vAlign w:val="bottom"/>
          </w:tcPr>
          <w:p>
            <w:pPr>
              <w:spacing w:after="0"/>
              <w:rPr>
                <w:sz w:val="20"/>
                <w:szCs w:val="20"/>
                <w:color w:val="auto"/>
              </w:rPr>
            </w:pPr>
            <w:r>
              <w:rPr>
                <w:rFonts w:ascii="Arial" w:cs="Arial" w:eastAsia="Arial" w:hAnsi="Arial"/>
                <w:sz w:val="30"/>
                <w:szCs w:val="30"/>
                <w:color w:val="auto"/>
              </w:rPr>
              <w:t>Total current assets</w:t>
            </w:r>
          </w:p>
        </w:tc>
        <w:tc>
          <w:tcPr>
            <w:tcW w:w="1720" w:type="dxa"/>
            <w:vAlign w:val="bottom"/>
          </w:tcPr>
          <w:p>
            <w:pPr>
              <w:jc w:val="center"/>
              <w:ind w:right="59"/>
              <w:spacing w:after="0"/>
              <w:rPr>
                <w:sz w:val="20"/>
                <w:szCs w:val="20"/>
                <w:color w:val="auto"/>
              </w:rPr>
            </w:pPr>
            <w:r>
              <w:rPr>
                <w:rFonts w:ascii="Arial" w:cs="Arial" w:eastAsia="Arial" w:hAnsi="Arial"/>
                <w:sz w:val="30"/>
                <w:szCs w:val="30"/>
                <w:color w:val="auto"/>
              </w:rPr>
              <w:t>9,847</w:t>
            </w:r>
          </w:p>
        </w:tc>
        <w:tc>
          <w:tcPr>
            <w:tcW w:w="2120" w:type="dxa"/>
            <w:vAlign w:val="bottom"/>
          </w:tcPr>
          <w:p>
            <w:pPr>
              <w:jc w:val="right"/>
              <w:ind w:right="519"/>
              <w:spacing w:after="0"/>
              <w:rPr>
                <w:sz w:val="20"/>
                <w:szCs w:val="20"/>
                <w:color w:val="auto"/>
              </w:rPr>
            </w:pPr>
            <w:r>
              <w:rPr>
                <w:rFonts w:ascii="Arial" w:cs="Arial" w:eastAsia="Arial" w:hAnsi="Arial"/>
                <w:sz w:val="30"/>
                <w:szCs w:val="30"/>
                <w:color w:val="auto"/>
              </w:rPr>
              <w:t>3,518</w:t>
            </w:r>
          </w:p>
        </w:tc>
      </w:tr>
      <w:tr>
        <w:trPr>
          <w:trHeight w:val="707"/>
        </w:trPr>
        <w:tc>
          <w:tcPr>
            <w:tcW w:w="4960" w:type="dxa"/>
            <w:vAlign w:val="bottom"/>
          </w:tcPr>
          <w:p>
            <w:pPr>
              <w:spacing w:after="0"/>
              <w:rPr>
                <w:sz w:val="20"/>
                <w:szCs w:val="20"/>
                <w:color w:val="auto"/>
              </w:rPr>
            </w:pPr>
            <w:r>
              <w:rPr>
                <w:rFonts w:ascii="Arial" w:cs="Arial" w:eastAsia="Arial" w:hAnsi="Arial"/>
                <w:sz w:val="30"/>
                <w:szCs w:val="30"/>
                <w:color w:val="auto"/>
              </w:rPr>
              <w:t>Total assets</w:t>
            </w:r>
          </w:p>
        </w:tc>
        <w:tc>
          <w:tcPr>
            <w:tcW w:w="1720" w:type="dxa"/>
            <w:vAlign w:val="bottom"/>
          </w:tcPr>
          <w:p>
            <w:pPr>
              <w:jc w:val="center"/>
              <w:ind w:right="179"/>
              <w:spacing w:after="0"/>
              <w:rPr>
                <w:sz w:val="20"/>
                <w:szCs w:val="20"/>
                <w:color w:val="auto"/>
              </w:rPr>
            </w:pPr>
            <w:r>
              <w:rPr>
                <w:rFonts w:ascii="Arial" w:cs="Arial" w:eastAsia="Arial" w:hAnsi="Arial"/>
                <w:sz w:val="30"/>
                <w:szCs w:val="30"/>
                <w:color w:val="auto"/>
              </w:rPr>
              <w:t>10,105</w:t>
            </w:r>
          </w:p>
        </w:tc>
        <w:tc>
          <w:tcPr>
            <w:tcW w:w="2120" w:type="dxa"/>
            <w:vAlign w:val="bottom"/>
          </w:tcPr>
          <w:p>
            <w:pPr>
              <w:jc w:val="right"/>
              <w:ind w:right="519"/>
              <w:spacing w:after="0"/>
              <w:rPr>
                <w:sz w:val="20"/>
                <w:szCs w:val="20"/>
                <w:color w:val="auto"/>
              </w:rPr>
            </w:pPr>
            <w:r>
              <w:rPr>
                <w:rFonts w:ascii="Arial" w:cs="Arial" w:eastAsia="Arial" w:hAnsi="Arial"/>
                <w:sz w:val="30"/>
                <w:szCs w:val="30"/>
                <w:color w:val="auto"/>
              </w:rPr>
              <w:t>3,789</w:t>
            </w:r>
          </w:p>
        </w:tc>
      </w:tr>
      <w:tr>
        <w:trPr>
          <w:trHeight w:val="707"/>
        </w:trPr>
        <w:tc>
          <w:tcPr>
            <w:tcW w:w="4960" w:type="dxa"/>
            <w:vAlign w:val="bottom"/>
          </w:tcPr>
          <w:p>
            <w:pPr>
              <w:spacing w:after="0"/>
              <w:rPr>
                <w:sz w:val="20"/>
                <w:szCs w:val="20"/>
                <w:color w:val="auto"/>
              </w:rPr>
            </w:pPr>
            <w:r>
              <w:rPr>
                <w:rFonts w:ascii="Arial" w:cs="Arial" w:eastAsia="Arial" w:hAnsi="Arial"/>
                <w:sz w:val="30"/>
                <w:szCs w:val="30"/>
                <w:color w:val="auto"/>
              </w:rPr>
              <w:t>Total current liabilities</w:t>
            </w:r>
          </w:p>
        </w:tc>
        <w:tc>
          <w:tcPr>
            <w:tcW w:w="1720" w:type="dxa"/>
            <w:vAlign w:val="bottom"/>
          </w:tcPr>
          <w:p>
            <w:pPr>
              <w:jc w:val="center"/>
              <w:ind w:right="59"/>
              <w:spacing w:after="0"/>
              <w:rPr>
                <w:sz w:val="20"/>
                <w:szCs w:val="20"/>
                <w:color w:val="auto"/>
              </w:rPr>
            </w:pPr>
            <w:r>
              <w:rPr>
                <w:rFonts w:ascii="Arial" w:cs="Arial" w:eastAsia="Arial" w:hAnsi="Arial"/>
                <w:sz w:val="30"/>
                <w:szCs w:val="30"/>
                <w:color w:val="auto"/>
              </w:rPr>
              <w:t>2,320</w:t>
            </w:r>
          </w:p>
        </w:tc>
        <w:tc>
          <w:tcPr>
            <w:tcW w:w="2120" w:type="dxa"/>
            <w:vAlign w:val="bottom"/>
          </w:tcPr>
          <w:p>
            <w:pPr>
              <w:jc w:val="right"/>
              <w:ind w:right="519"/>
              <w:spacing w:after="0"/>
              <w:rPr>
                <w:sz w:val="20"/>
                <w:szCs w:val="20"/>
                <w:color w:val="auto"/>
              </w:rPr>
            </w:pPr>
            <w:r>
              <w:rPr>
                <w:rFonts w:ascii="Arial" w:cs="Arial" w:eastAsia="Arial" w:hAnsi="Arial"/>
                <w:sz w:val="30"/>
                <w:szCs w:val="30"/>
                <w:color w:val="auto"/>
              </w:rPr>
              <w:t>3,649</w:t>
            </w:r>
          </w:p>
        </w:tc>
      </w:tr>
      <w:tr>
        <w:trPr>
          <w:trHeight w:val="707"/>
        </w:trPr>
        <w:tc>
          <w:tcPr>
            <w:tcW w:w="4960" w:type="dxa"/>
            <w:vAlign w:val="bottom"/>
          </w:tcPr>
          <w:p>
            <w:pPr>
              <w:spacing w:after="0"/>
              <w:rPr>
                <w:sz w:val="20"/>
                <w:szCs w:val="20"/>
                <w:color w:val="auto"/>
              </w:rPr>
            </w:pPr>
            <w:r>
              <w:rPr>
                <w:rFonts w:ascii="Arial" w:cs="Arial" w:eastAsia="Arial" w:hAnsi="Arial"/>
                <w:sz w:val="30"/>
                <w:szCs w:val="30"/>
                <w:color w:val="auto"/>
              </w:rPr>
              <w:t>Total long-term liabilities</w:t>
            </w:r>
          </w:p>
        </w:tc>
        <w:tc>
          <w:tcPr>
            <w:tcW w:w="1720" w:type="dxa"/>
            <w:vAlign w:val="bottom"/>
          </w:tcPr>
          <w:p>
            <w:pPr>
              <w:jc w:val="center"/>
              <w:ind w:right="59"/>
              <w:spacing w:after="0"/>
              <w:rPr>
                <w:sz w:val="20"/>
                <w:szCs w:val="20"/>
                <w:color w:val="auto"/>
              </w:rPr>
            </w:pPr>
            <w:r>
              <w:rPr>
                <w:rFonts w:ascii="Arial" w:cs="Arial" w:eastAsia="Arial" w:hAnsi="Arial"/>
                <w:sz w:val="30"/>
                <w:szCs w:val="30"/>
                <w:color w:val="auto"/>
              </w:rPr>
              <w:t>5,168</w:t>
            </w:r>
          </w:p>
        </w:tc>
        <w:tc>
          <w:tcPr>
            <w:tcW w:w="2120" w:type="dxa"/>
            <w:vAlign w:val="bottom"/>
          </w:tcPr>
          <w:p>
            <w:pPr>
              <w:jc w:val="right"/>
              <w:ind w:right="519"/>
              <w:spacing w:after="0"/>
              <w:rPr>
                <w:sz w:val="20"/>
                <w:szCs w:val="20"/>
                <w:color w:val="auto"/>
              </w:rPr>
            </w:pPr>
            <w:r>
              <w:rPr>
                <w:rFonts w:ascii="Arial" w:cs="Arial" w:eastAsia="Arial" w:hAnsi="Arial"/>
                <w:sz w:val="30"/>
                <w:szCs w:val="30"/>
                <w:color w:val="auto"/>
              </w:rPr>
              <w:t>4550</w:t>
            </w:r>
          </w:p>
        </w:tc>
      </w:tr>
      <w:tr>
        <w:trPr>
          <w:trHeight w:val="707"/>
        </w:trPr>
        <w:tc>
          <w:tcPr>
            <w:tcW w:w="4960" w:type="dxa"/>
            <w:vAlign w:val="bottom"/>
          </w:tcPr>
          <w:p>
            <w:pPr>
              <w:spacing w:after="0"/>
              <w:rPr>
                <w:sz w:val="20"/>
                <w:szCs w:val="20"/>
                <w:color w:val="auto"/>
              </w:rPr>
            </w:pPr>
            <w:r>
              <w:rPr>
                <w:rFonts w:ascii="Arial" w:cs="Arial" w:eastAsia="Arial" w:hAnsi="Arial"/>
                <w:sz w:val="30"/>
                <w:szCs w:val="30"/>
                <w:color w:val="auto"/>
              </w:rPr>
              <w:t>Total stockholders’equity</w:t>
            </w:r>
          </w:p>
        </w:tc>
        <w:tc>
          <w:tcPr>
            <w:tcW w:w="1720" w:type="dxa"/>
            <w:vAlign w:val="bottom"/>
          </w:tcPr>
          <w:p>
            <w:pPr>
              <w:jc w:val="center"/>
              <w:ind w:right="59"/>
              <w:spacing w:after="0"/>
              <w:rPr>
                <w:sz w:val="20"/>
                <w:szCs w:val="20"/>
                <w:color w:val="auto"/>
              </w:rPr>
            </w:pPr>
            <w:r>
              <w:rPr>
                <w:rFonts w:ascii="Arial" w:cs="Arial" w:eastAsia="Arial" w:hAnsi="Arial"/>
                <w:sz w:val="30"/>
                <w:szCs w:val="30"/>
                <w:color w:val="auto"/>
              </w:rPr>
              <w:t>2,617</w:t>
            </w:r>
          </w:p>
        </w:tc>
        <w:tc>
          <w:tcPr>
            <w:tcW w:w="2120" w:type="dxa"/>
            <w:vAlign w:val="bottom"/>
          </w:tcPr>
          <w:p>
            <w:pPr>
              <w:jc w:val="right"/>
              <w:ind w:right="479"/>
              <w:spacing w:after="0"/>
              <w:rPr>
                <w:sz w:val="20"/>
                <w:szCs w:val="20"/>
                <w:color w:val="auto"/>
              </w:rPr>
            </w:pPr>
            <w:r>
              <w:rPr>
                <w:rFonts w:ascii="Arial" w:cs="Arial" w:eastAsia="Arial" w:hAnsi="Arial"/>
                <w:sz w:val="30"/>
                <w:szCs w:val="30"/>
                <w:color w:val="auto"/>
              </w:rPr>
              <w:t>(16,378)</w:t>
            </w:r>
          </w:p>
        </w:tc>
      </w:tr>
      <w:tr>
        <w:trPr>
          <w:trHeight w:val="707"/>
        </w:trPr>
        <w:tc>
          <w:tcPr>
            <w:tcW w:w="4960" w:type="dxa"/>
            <w:vAlign w:val="bottom"/>
          </w:tcPr>
          <w:p>
            <w:pPr>
              <w:spacing w:after="0"/>
              <w:rPr>
                <w:sz w:val="20"/>
                <w:szCs w:val="20"/>
                <w:color w:val="auto"/>
              </w:rPr>
            </w:pPr>
            <w:r>
              <w:rPr>
                <w:rFonts w:ascii="Arial" w:cs="Arial" w:eastAsia="Arial" w:hAnsi="Arial"/>
                <w:sz w:val="30"/>
                <w:szCs w:val="30"/>
                <w:color w:val="auto"/>
                <w:w w:val="96"/>
              </w:rPr>
              <w:t>Total liabilities and stockholders’equity</w:t>
            </w:r>
          </w:p>
        </w:tc>
        <w:tc>
          <w:tcPr>
            <w:tcW w:w="1720" w:type="dxa"/>
            <w:vAlign w:val="bottom"/>
          </w:tcPr>
          <w:p>
            <w:pPr>
              <w:jc w:val="center"/>
              <w:ind w:right="179"/>
              <w:spacing w:after="0"/>
              <w:rPr>
                <w:sz w:val="20"/>
                <w:szCs w:val="20"/>
                <w:color w:val="auto"/>
              </w:rPr>
            </w:pPr>
            <w:r>
              <w:rPr>
                <w:rFonts w:ascii="Arial" w:cs="Arial" w:eastAsia="Arial" w:hAnsi="Arial"/>
                <w:sz w:val="30"/>
                <w:szCs w:val="30"/>
                <w:color w:val="auto"/>
              </w:rPr>
              <w:t>10,105</w:t>
            </w:r>
          </w:p>
        </w:tc>
        <w:tc>
          <w:tcPr>
            <w:tcW w:w="2120" w:type="dxa"/>
            <w:vAlign w:val="bottom"/>
          </w:tcPr>
          <w:p>
            <w:pPr>
              <w:jc w:val="right"/>
              <w:ind w:right="519"/>
              <w:spacing w:after="0"/>
              <w:rPr>
                <w:sz w:val="20"/>
                <w:szCs w:val="20"/>
                <w:color w:val="auto"/>
              </w:rPr>
            </w:pPr>
            <w:r>
              <w:rPr>
                <w:rFonts w:ascii="Arial" w:cs="Arial" w:eastAsia="Arial" w:hAnsi="Arial"/>
                <w:sz w:val="30"/>
                <w:szCs w:val="30"/>
                <w:color w:val="auto"/>
              </w:rPr>
              <w:t>3,789</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FFFFFF"/>
        </w:rPr>
        <w:t>- Page 34 -</w:t>
      </w:r>
    </w:p>
    <w:p>
      <w:pPr>
        <w:sectPr>
          <w:pgSz w:w="11900" w:h="16838" w:orient="portrait"/>
          <w:cols w:equalWidth="0" w:num="1">
            <w:col w:w="9879"/>
          </w:cols>
          <w:pgMar w:left="580" w:top="541" w:right="1440" w:bottom="1440" w:gutter="0" w:footer="0" w:header="0"/>
        </w:sectPr>
      </w:pPr>
    </w:p>
    <w:bookmarkStart w:id="37" w:name="page38"/>
    <w:bookmarkEnd w:id="37"/>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Company Snapshot</w:t>
      </w:r>
    </w:p>
    <w:p>
      <w:pPr>
        <w:spacing w:after="0" w:line="200" w:lineRule="exact"/>
        <w:rPr>
          <w:sz w:val="20"/>
          <w:szCs w:val="20"/>
          <w:color w:val="auto"/>
        </w:rPr>
      </w:pPr>
    </w:p>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320"/>
        </w:trPr>
        <w:tc>
          <w:tcPr>
            <w:tcW w:w="5460" w:type="dxa"/>
            <w:vAlign w:val="bottom"/>
          </w:tcPr>
          <w:p>
            <w:pPr>
              <w:spacing w:after="0"/>
              <w:rPr>
                <w:sz w:val="20"/>
                <w:szCs w:val="20"/>
                <w:color w:val="auto"/>
              </w:rPr>
            </w:pPr>
            <w:r>
              <w:rPr>
                <w:rFonts w:ascii="Arial" w:cs="Arial" w:eastAsia="Arial" w:hAnsi="Arial"/>
                <w:sz w:val="27"/>
                <w:szCs w:val="27"/>
                <w:color w:val="auto"/>
              </w:rPr>
              <w:t>Stock Exchange/Ticker:</w:t>
            </w:r>
          </w:p>
        </w:tc>
        <w:tc>
          <w:tcPr>
            <w:tcW w:w="3460" w:type="dxa"/>
            <w:vAlign w:val="bottom"/>
          </w:tcPr>
          <w:p>
            <w:pPr>
              <w:ind w:left="1040"/>
              <w:spacing w:after="0"/>
              <w:rPr>
                <w:sz w:val="20"/>
                <w:szCs w:val="20"/>
                <w:color w:val="auto"/>
              </w:rPr>
            </w:pPr>
            <w:r>
              <w:rPr>
                <w:rFonts w:ascii="Arial" w:cs="Arial" w:eastAsia="Arial" w:hAnsi="Arial"/>
                <w:sz w:val="27"/>
                <w:szCs w:val="27"/>
                <w:color w:val="auto"/>
                <w:w w:val="98"/>
              </w:rPr>
              <w:t>NYSE Amex: VRNG</w:t>
            </w:r>
          </w:p>
        </w:tc>
      </w:tr>
      <w:tr>
        <w:trPr>
          <w:trHeight w:val="420"/>
        </w:trPr>
        <w:tc>
          <w:tcPr>
            <w:tcW w:w="5460" w:type="dxa"/>
            <w:vAlign w:val="bottom"/>
          </w:tcPr>
          <w:p>
            <w:pPr>
              <w:spacing w:after="0"/>
              <w:rPr>
                <w:sz w:val="20"/>
                <w:szCs w:val="20"/>
                <w:color w:val="auto"/>
              </w:rPr>
            </w:pPr>
            <w:r>
              <w:rPr>
                <w:rFonts w:ascii="Arial" w:cs="Arial" w:eastAsia="Arial" w:hAnsi="Arial"/>
                <w:sz w:val="27"/>
                <w:szCs w:val="27"/>
                <w:color w:val="auto"/>
              </w:rPr>
              <w:t>VRNG Recent Price (9/8/10):</w:t>
            </w:r>
          </w:p>
        </w:tc>
        <w:tc>
          <w:tcPr>
            <w:tcW w:w="3460" w:type="dxa"/>
            <w:vAlign w:val="bottom"/>
          </w:tcPr>
          <w:p>
            <w:pPr>
              <w:ind w:left="2440"/>
              <w:spacing w:after="0"/>
              <w:rPr>
                <w:sz w:val="20"/>
                <w:szCs w:val="20"/>
                <w:color w:val="auto"/>
              </w:rPr>
            </w:pPr>
            <w:r>
              <w:rPr>
                <w:rFonts w:ascii="Arial" w:cs="Arial" w:eastAsia="Arial" w:hAnsi="Arial"/>
                <w:sz w:val="27"/>
                <w:szCs w:val="27"/>
                <w:color w:val="auto"/>
              </w:rPr>
              <w:t>$1.25</w:t>
            </w:r>
          </w:p>
        </w:tc>
      </w:tr>
      <w:tr>
        <w:trPr>
          <w:trHeight w:val="508"/>
        </w:trPr>
        <w:tc>
          <w:tcPr>
            <w:tcW w:w="5460" w:type="dxa"/>
            <w:vAlign w:val="bottom"/>
          </w:tcPr>
          <w:p>
            <w:pPr>
              <w:spacing w:after="0"/>
              <w:rPr>
                <w:sz w:val="20"/>
                <w:szCs w:val="20"/>
                <w:color w:val="auto"/>
              </w:rPr>
            </w:pPr>
            <w:r>
              <w:rPr>
                <w:rFonts w:ascii="Arial" w:cs="Arial" w:eastAsia="Arial" w:hAnsi="Arial"/>
                <w:sz w:val="27"/>
                <w:szCs w:val="27"/>
                <w:color w:val="auto"/>
              </w:rPr>
              <w:t>Shares Outstanding: (6/30/10)</w:t>
            </w:r>
          </w:p>
        </w:tc>
        <w:tc>
          <w:tcPr>
            <w:tcW w:w="3460" w:type="dxa"/>
            <w:vAlign w:val="bottom"/>
          </w:tcPr>
          <w:p>
            <w:pPr>
              <w:ind w:left="2400"/>
              <w:spacing w:after="0"/>
              <w:rPr>
                <w:sz w:val="20"/>
                <w:szCs w:val="20"/>
                <w:color w:val="auto"/>
              </w:rPr>
            </w:pPr>
            <w:r>
              <w:rPr>
                <w:rFonts w:ascii="Arial" w:cs="Arial" w:eastAsia="Arial" w:hAnsi="Arial"/>
                <w:sz w:val="27"/>
                <w:szCs w:val="27"/>
                <w:color w:val="auto"/>
              </w:rPr>
              <w:t>5.1 M</w:t>
            </w:r>
          </w:p>
        </w:tc>
      </w:tr>
      <w:tr>
        <w:trPr>
          <w:trHeight w:val="431"/>
        </w:trPr>
        <w:tc>
          <w:tcPr>
            <w:tcW w:w="5460" w:type="dxa"/>
            <w:vAlign w:val="bottom"/>
          </w:tcPr>
          <w:p>
            <w:pPr>
              <w:spacing w:after="0"/>
              <w:rPr>
                <w:sz w:val="20"/>
                <w:szCs w:val="20"/>
                <w:color w:val="auto"/>
              </w:rPr>
            </w:pPr>
            <w:r>
              <w:rPr>
                <w:rFonts w:ascii="Arial" w:cs="Arial" w:eastAsia="Arial" w:hAnsi="Arial"/>
                <w:sz w:val="27"/>
                <w:szCs w:val="27"/>
                <w:color w:val="auto"/>
              </w:rPr>
              <w:t>Market Cap:</w:t>
            </w:r>
          </w:p>
        </w:tc>
        <w:tc>
          <w:tcPr>
            <w:tcW w:w="3460" w:type="dxa"/>
            <w:vAlign w:val="bottom"/>
          </w:tcPr>
          <w:p>
            <w:pPr>
              <w:ind w:left="2280"/>
              <w:spacing w:after="0"/>
              <w:rPr>
                <w:sz w:val="20"/>
                <w:szCs w:val="20"/>
                <w:color w:val="auto"/>
              </w:rPr>
            </w:pPr>
            <w:r>
              <w:rPr>
                <w:rFonts w:ascii="Arial" w:cs="Arial" w:eastAsia="Arial" w:hAnsi="Arial"/>
                <w:sz w:val="27"/>
                <w:szCs w:val="27"/>
                <w:color w:val="auto"/>
              </w:rPr>
              <w:t>$6.4 M</w:t>
            </w:r>
          </w:p>
        </w:tc>
      </w:tr>
      <w:tr>
        <w:trPr>
          <w:trHeight w:val="431"/>
        </w:trPr>
        <w:tc>
          <w:tcPr>
            <w:tcW w:w="5460" w:type="dxa"/>
            <w:vAlign w:val="bottom"/>
          </w:tcPr>
          <w:p>
            <w:pPr>
              <w:spacing w:after="0"/>
              <w:rPr>
                <w:sz w:val="20"/>
                <w:szCs w:val="20"/>
                <w:color w:val="auto"/>
              </w:rPr>
            </w:pPr>
            <w:r>
              <w:rPr>
                <w:rFonts w:ascii="Arial" w:cs="Arial" w:eastAsia="Arial" w:hAnsi="Arial"/>
                <w:sz w:val="27"/>
                <w:szCs w:val="27"/>
                <w:color w:val="auto"/>
              </w:rPr>
              <w:t>2Q10 Revenue / Sequential growth rate:</w:t>
            </w:r>
          </w:p>
        </w:tc>
        <w:tc>
          <w:tcPr>
            <w:tcW w:w="3460" w:type="dxa"/>
            <w:vAlign w:val="bottom"/>
          </w:tcPr>
          <w:p>
            <w:pPr>
              <w:ind w:left="1760"/>
              <w:spacing w:after="0"/>
              <w:rPr>
                <w:sz w:val="20"/>
                <w:szCs w:val="20"/>
                <w:color w:val="auto"/>
              </w:rPr>
            </w:pPr>
            <w:r>
              <w:rPr>
                <w:rFonts w:ascii="Arial" w:cs="Arial" w:eastAsia="Arial" w:hAnsi="Arial"/>
                <w:sz w:val="27"/>
                <w:szCs w:val="27"/>
                <w:color w:val="auto"/>
              </w:rPr>
              <w:t>$44 K / 47%</w:t>
            </w:r>
          </w:p>
        </w:tc>
      </w:tr>
      <w:tr>
        <w:trPr>
          <w:trHeight w:val="420"/>
        </w:trPr>
        <w:tc>
          <w:tcPr>
            <w:tcW w:w="5460" w:type="dxa"/>
            <w:vAlign w:val="bottom"/>
          </w:tcPr>
          <w:p>
            <w:pPr>
              <w:spacing w:after="0"/>
              <w:rPr>
                <w:sz w:val="20"/>
                <w:szCs w:val="20"/>
                <w:color w:val="auto"/>
              </w:rPr>
            </w:pPr>
            <w:r>
              <w:rPr>
                <w:rFonts w:ascii="Arial" w:cs="Arial" w:eastAsia="Arial" w:hAnsi="Arial"/>
                <w:sz w:val="27"/>
                <w:szCs w:val="27"/>
                <w:color w:val="auto"/>
              </w:rPr>
              <w:t>In-the-money warrants (6/30/10)</w:t>
            </w:r>
          </w:p>
        </w:tc>
        <w:tc>
          <w:tcPr>
            <w:tcW w:w="3460" w:type="dxa"/>
            <w:vAlign w:val="bottom"/>
          </w:tcPr>
          <w:p>
            <w:pPr>
              <w:jc w:val="right"/>
              <w:ind w:right="207"/>
              <w:spacing w:after="0"/>
              <w:rPr>
                <w:sz w:val="20"/>
                <w:szCs w:val="20"/>
                <w:color w:val="auto"/>
              </w:rPr>
            </w:pPr>
            <w:r>
              <w:rPr>
                <w:rFonts w:ascii="Arial" w:cs="Arial" w:eastAsia="Arial" w:hAnsi="Arial"/>
                <w:sz w:val="27"/>
                <w:szCs w:val="27"/>
                <w:color w:val="auto"/>
              </w:rPr>
              <w:t>482,346</w:t>
            </w:r>
          </w:p>
        </w:tc>
      </w:tr>
      <w:tr>
        <w:trPr>
          <w:trHeight w:val="420"/>
        </w:trPr>
        <w:tc>
          <w:tcPr>
            <w:tcW w:w="5460" w:type="dxa"/>
            <w:vAlign w:val="bottom"/>
          </w:tcPr>
          <w:p>
            <w:pPr>
              <w:spacing w:after="0"/>
              <w:rPr>
                <w:sz w:val="20"/>
                <w:szCs w:val="20"/>
                <w:color w:val="auto"/>
              </w:rPr>
            </w:pPr>
            <w:r>
              <w:rPr>
                <w:rFonts w:ascii="Arial" w:cs="Arial" w:eastAsia="Arial" w:hAnsi="Arial"/>
                <w:sz w:val="27"/>
                <w:szCs w:val="27"/>
                <w:color w:val="auto"/>
              </w:rPr>
              <w:t>Out-of-the-money warrants (6/30/10)</w:t>
            </w:r>
          </w:p>
        </w:tc>
        <w:tc>
          <w:tcPr>
            <w:tcW w:w="3460" w:type="dxa"/>
            <w:vAlign w:val="bottom"/>
          </w:tcPr>
          <w:p>
            <w:pPr>
              <w:ind w:left="2400"/>
              <w:spacing w:after="0"/>
              <w:rPr>
                <w:sz w:val="20"/>
                <w:szCs w:val="20"/>
                <w:color w:val="auto"/>
              </w:rPr>
            </w:pPr>
            <w:r>
              <w:rPr>
                <w:rFonts w:ascii="Arial" w:cs="Arial" w:eastAsia="Arial" w:hAnsi="Arial"/>
                <w:sz w:val="27"/>
                <w:szCs w:val="27"/>
                <w:color w:val="auto"/>
              </w:rPr>
              <w:t>7.7 M</w:t>
            </w:r>
          </w:p>
        </w:tc>
      </w:tr>
      <w:tr>
        <w:trPr>
          <w:trHeight w:val="431"/>
        </w:trPr>
        <w:tc>
          <w:tcPr>
            <w:tcW w:w="5460" w:type="dxa"/>
            <w:vAlign w:val="bottom"/>
          </w:tcPr>
          <w:p>
            <w:pPr>
              <w:spacing w:after="0"/>
              <w:rPr>
                <w:sz w:val="20"/>
                <w:szCs w:val="20"/>
                <w:color w:val="auto"/>
              </w:rPr>
            </w:pPr>
            <w:r>
              <w:rPr>
                <w:rFonts w:ascii="Arial" w:cs="Arial" w:eastAsia="Arial" w:hAnsi="Arial"/>
                <w:sz w:val="27"/>
                <w:szCs w:val="27"/>
                <w:color w:val="auto"/>
              </w:rPr>
              <w:t>2Q 10 Net Income (Loss):</w:t>
            </w:r>
          </w:p>
        </w:tc>
        <w:tc>
          <w:tcPr>
            <w:tcW w:w="3460" w:type="dxa"/>
            <w:vAlign w:val="bottom"/>
          </w:tcPr>
          <w:p>
            <w:pPr>
              <w:jc w:val="right"/>
              <w:ind w:right="227"/>
              <w:spacing w:after="0"/>
              <w:rPr>
                <w:sz w:val="20"/>
                <w:szCs w:val="20"/>
                <w:color w:val="auto"/>
              </w:rPr>
            </w:pPr>
            <w:r>
              <w:rPr>
                <w:rFonts w:ascii="Arial" w:cs="Arial" w:eastAsia="Arial" w:hAnsi="Arial"/>
                <w:sz w:val="27"/>
                <w:szCs w:val="27"/>
                <w:color w:val="auto"/>
              </w:rPr>
              <w:t>($4.6 M)</w:t>
            </w:r>
          </w:p>
        </w:tc>
      </w:tr>
      <w:tr>
        <w:trPr>
          <w:trHeight w:val="420"/>
        </w:trPr>
        <w:tc>
          <w:tcPr>
            <w:tcW w:w="5460" w:type="dxa"/>
            <w:vAlign w:val="bottom"/>
          </w:tcPr>
          <w:p>
            <w:pPr>
              <w:spacing w:after="0"/>
              <w:rPr>
                <w:sz w:val="20"/>
                <w:szCs w:val="20"/>
                <w:color w:val="auto"/>
              </w:rPr>
            </w:pPr>
            <w:r>
              <w:rPr>
                <w:rFonts w:ascii="Arial" w:cs="Arial" w:eastAsia="Arial" w:hAnsi="Arial"/>
                <w:sz w:val="27"/>
                <w:szCs w:val="27"/>
                <w:color w:val="auto"/>
              </w:rPr>
              <w:t>Granted stock options</w:t>
            </w:r>
          </w:p>
        </w:tc>
        <w:tc>
          <w:tcPr>
            <w:tcW w:w="3460" w:type="dxa"/>
            <w:vAlign w:val="bottom"/>
          </w:tcPr>
          <w:p>
            <w:pPr>
              <w:ind w:left="2400"/>
              <w:spacing w:after="0"/>
              <w:rPr>
                <w:sz w:val="20"/>
                <w:szCs w:val="20"/>
                <w:color w:val="auto"/>
              </w:rPr>
            </w:pPr>
            <w:r>
              <w:rPr>
                <w:rFonts w:ascii="Arial" w:cs="Arial" w:eastAsia="Arial" w:hAnsi="Arial"/>
                <w:sz w:val="27"/>
                <w:szCs w:val="27"/>
                <w:color w:val="auto"/>
              </w:rPr>
              <w:t>3.1 M</w:t>
            </w:r>
          </w:p>
        </w:tc>
      </w:tr>
      <w:tr>
        <w:trPr>
          <w:trHeight w:val="431"/>
        </w:trPr>
        <w:tc>
          <w:tcPr>
            <w:tcW w:w="5460" w:type="dxa"/>
            <w:vAlign w:val="bottom"/>
          </w:tcPr>
          <w:p>
            <w:pPr>
              <w:spacing w:after="0"/>
              <w:rPr>
                <w:sz w:val="20"/>
                <w:szCs w:val="20"/>
                <w:color w:val="auto"/>
              </w:rPr>
            </w:pPr>
            <w:r>
              <w:rPr>
                <w:rFonts w:ascii="Arial" w:cs="Arial" w:eastAsia="Arial" w:hAnsi="Arial"/>
                <w:sz w:val="27"/>
                <w:szCs w:val="27"/>
                <w:color w:val="auto"/>
              </w:rPr>
              <w:t>Total Liabilities (6/30/10):</w:t>
            </w:r>
          </w:p>
        </w:tc>
        <w:tc>
          <w:tcPr>
            <w:tcW w:w="3460" w:type="dxa"/>
            <w:vAlign w:val="bottom"/>
          </w:tcPr>
          <w:p>
            <w:pPr>
              <w:ind w:left="2280"/>
              <w:spacing w:after="0"/>
              <w:rPr>
                <w:sz w:val="20"/>
                <w:szCs w:val="20"/>
                <w:color w:val="auto"/>
              </w:rPr>
            </w:pPr>
            <w:r>
              <w:rPr>
                <w:rFonts w:ascii="Arial" w:cs="Arial" w:eastAsia="Arial" w:hAnsi="Arial"/>
                <w:sz w:val="27"/>
                <w:szCs w:val="27"/>
                <w:color w:val="auto"/>
              </w:rPr>
              <w:t>$7.5 M</w:t>
            </w:r>
          </w:p>
        </w:tc>
      </w:tr>
      <w:tr>
        <w:trPr>
          <w:trHeight w:val="453"/>
        </w:trPr>
        <w:tc>
          <w:tcPr>
            <w:tcW w:w="5460" w:type="dxa"/>
            <w:vAlign w:val="bottom"/>
          </w:tcPr>
          <w:p>
            <w:pPr>
              <w:spacing w:after="0"/>
              <w:rPr>
                <w:sz w:val="20"/>
                <w:szCs w:val="20"/>
                <w:color w:val="auto"/>
              </w:rPr>
            </w:pPr>
            <w:r>
              <w:rPr>
                <w:rFonts w:ascii="Arial" w:cs="Arial" w:eastAsia="Arial" w:hAnsi="Arial"/>
                <w:sz w:val="27"/>
                <w:szCs w:val="27"/>
                <w:color w:val="auto"/>
              </w:rPr>
              <w:t>Director and Officer Ownership:</w:t>
            </w:r>
          </w:p>
        </w:tc>
        <w:tc>
          <w:tcPr>
            <w:tcW w:w="3460" w:type="dxa"/>
            <w:vAlign w:val="bottom"/>
          </w:tcPr>
          <w:p>
            <w:pPr>
              <w:jc w:val="right"/>
              <w:ind w:right="207"/>
              <w:spacing w:after="0"/>
              <w:rPr>
                <w:sz w:val="20"/>
                <w:szCs w:val="20"/>
                <w:color w:val="auto"/>
              </w:rPr>
            </w:pPr>
            <w:r>
              <w:rPr>
                <w:rFonts w:ascii="Arial" w:cs="Arial" w:eastAsia="Arial" w:hAnsi="Arial"/>
                <w:sz w:val="27"/>
                <w:szCs w:val="27"/>
                <w:color w:val="auto"/>
              </w:rPr>
              <w:t>8.7%</w:t>
            </w:r>
          </w:p>
        </w:tc>
      </w:tr>
      <w:tr>
        <w:trPr>
          <w:trHeight w:val="431"/>
        </w:trPr>
        <w:tc>
          <w:tcPr>
            <w:tcW w:w="5460" w:type="dxa"/>
            <w:vAlign w:val="bottom"/>
          </w:tcPr>
          <w:p>
            <w:pPr>
              <w:spacing w:after="0"/>
              <w:rPr>
                <w:sz w:val="20"/>
                <w:szCs w:val="20"/>
                <w:color w:val="auto"/>
              </w:rPr>
            </w:pPr>
            <w:r>
              <w:rPr>
                <w:rFonts w:ascii="Arial" w:cs="Arial" w:eastAsia="Arial" w:hAnsi="Arial"/>
                <w:sz w:val="27"/>
                <w:szCs w:val="27"/>
                <w:color w:val="auto"/>
              </w:rPr>
              <w:t>Warrant Exchange/Ticker:</w:t>
            </w:r>
          </w:p>
        </w:tc>
        <w:tc>
          <w:tcPr>
            <w:tcW w:w="3460" w:type="dxa"/>
            <w:vAlign w:val="bottom"/>
          </w:tcPr>
          <w:p>
            <w:pPr>
              <w:ind w:left="740"/>
              <w:spacing w:after="0"/>
              <w:rPr>
                <w:sz w:val="20"/>
                <w:szCs w:val="20"/>
                <w:color w:val="auto"/>
              </w:rPr>
            </w:pPr>
            <w:r>
              <w:rPr>
                <w:rFonts w:ascii="Arial" w:cs="Arial" w:eastAsia="Arial" w:hAnsi="Arial"/>
                <w:sz w:val="27"/>
                <w:szCs w:val="27"/>
                <w:color w:val="auto"/>
                <w:w w:val="97"/>
              </w:rPr>
              <w:t>NYSE Amex: VRNG-W</w:t>
            </w:r>
          </w:p>
        </w:tc>
      </w:tr>
      <w:tr>
        <w:trPr>
          <w:trHeight w:val="453"/>
        </w:trPr>
        <w:tc>
          <w:tcPr>
            <w:tcW w:w="5460" w:type="dxa"/>
            <w:vAlign w:val="bottom"/>
          </w:tcPr>
          <w:p>
            <w:pPr>
              <w:spacing w:after="0"/>
              <w:rPr>
                <w:sz w:val="20"/>
                <w:szCs w:val="20"/>
                <w:color w:val="auto"/>
              </w:rPr>
            </w:pPr>
            <w:r>
              <w:rPr>
                <w:rFonts w:ascii="Arial" w:cs="Arial" w:eastAsia="Arial" w:hAnsi="Arial"/>
                <w:sz w:val="27"/>
                <w:szCs w:val="27"/>
                <w:color w:val="auto"/>
              </w:rPr>
              <w:t>VRNG-W Recent Price (9/8/10):</w:t>
            </w:r>
          </w:p>
        </w:tc>
        <w:tc>
          <w:tcPr>
            <w:tcW w:w="3460" w:type="dxa"/>
            <w:vAlign w:val="bottom"/>
          </w:tcPr>
          <w:p>
            <w:pPr>
              <w:ind w:left="2440"/>
              <w:spacing w:after="0"/>
              <w:rPr>
                <w:sz w:val="20"/>
                <w:szCs w:val="20"/>
                <w:color w:val="auto"/>
              </w:rPr>
            </w:pPr>
            <w:r>
              <w:rPr>
                <w:rFonts w:ascii="Arial" w:cs="Arial" w:eastAsia="Arial" w:hAnsi="Arial"/>
                <w:sz w:val="27"/>
                <w:szCs w:val="27"/>
                <w:color w:val="auto"/>
              </w:rPr>
              <w:t>$0.25</w:t>
            </w:r>
          </w:p>
        </w:tc>
      </w:tr>
      <w:tr>
        <w:trPr>
          <w:trHeight w:val="431"/>
        </w:trPr>
        <w:tc>
          <w:tcPr>
            <w:tcW w:w="5460" w:type="dxa"/>
            <w:vAlign w:val="bottom"/>
          </w:tcPr>
          <w:p>
            <w:pPr>
              <w:spacing w:after="0"/>
              <w:rPr>
                <w:sz w:val="20"/>
                <w:szCs w:val="20"/>
                <w:color w:val="auto"/>
              </w:rPr>
            </w:pPr>
            <w:r>
              <w:rPr>
                <w:rFonts w:ascii="Arial" w:cs="Arial" w:eastAsia="Arial" w:hAnsi="Arial"/>
                <w:sz w:val="27"/>
                <w:szCs w:val="27"/>
                <w:color w:val="auto"/>
              </w:rPr>
              <w:t>VRNG-W exercise price &amp; expiration</w:t>
            </w:r>
          </w:p>
        </w:tc>
        <w:tc>
          <w:tcPr>
            <w:tcW w:w="3460" w:type="dxa"/>
            <w:vAlign w:val="bottom"/>
          </w:tcPr>
          <w:p>
            <w:pPr>
              <w:jc w:val="right"/>
              <w:ind w:right="207"/>
              <w:spacing w:after="0"/>
              <w:rPr>
                <w:sz w:val="20"/>
                <w:szCs w:val="20"/>
                <w:color w:val="auto"/>
              </w:rPr>
            </w:pPr>
            <w:r>
              <w:rPr>
                <w:rFonts w:ascii="Arial" w:cs="Arial" w:eastAsia="Arial" w:hAnsi="Arial"/>
                <w:sz w:val="27"/>
                <w:szCs w:val="27"/>
                <w:color w:val="auto"/>
              </w:rPr>
              <w:t>$5.06; 6/21/15</w:t>
            </w:r>
          </w:p>
        </w:tc>
      </w:tr>
    </w:tbl>
    <w:p>
      <w:pPr>
        <w:spacing w:after="0" w:line="200" w:lineRule="exact"/>
        <w:rPr>
          <w:sz w:val="20"/>
          <w:szCs w:val="20"/>
          <w:color w:val="auto"/>
        </w:rPr>
      </w:pPr>
    </w:p>
    <w:p>
      <w:pPr>
        <w:spacing w:after="0" w:line="318"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FFFFFF"/>
        </w:rPr>
        <w:t>- Page 35 -</w:t>
      </w:r>
    </w:p>
    <w:p>
      <w:pPr>
        <w:sectPr>
          <w:pgSz w:w="11900" w:h="16838" w:orient="portrait"/>
          <w:cols w:equalWidth="0" w:num="1">
            <w:col w:w="9879"/>
          </w:cols>
          <w:pgMar w:left="580" w:top="541" w:right="1440" w:bottom="1440" w:gutter="0" w:footer="0" w:header="0"/>
        </w:sectPr>
      </w:pPr>
    </w:p>
    <w:bookmarkStart w:id="38" w:name="page39"/>
    <w:bookmarkEnd w:id="38"/>
    <w:p>
      <w:pPr>
        <w:spacing w:after="0"/>
        <w:rPr>
          <w:sz w:val="20"/>
          <w:szCs w:val="20"/>
          <w:color w:val="auto"/>
        </w:rPr>
      </w:pPr>
      <w:r>
        <w:rPr>
          <w:rFonts w:ascii="Arial" w:cs="Arial" w:eastAsia="Arial" w:hAnsi="Arial"/>
          <w:sz w:val="41"/>
          <w:szCs w:val="4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146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5146675"/>
                    </a:xfrm>
                    <a:prstGeom prst="rect">
                      <a:avLst/>
                    </a:prstGeom>
                    <a:noFill/>
                  </pic:spPr>
                </pic:pic>
              </a:graphicData>
            </a:graphic>
          </wp:anchor>
        </w:drawing>
        <w:t>Investment Highlights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352"/>
        </w:trPr>
        <w:tc>
          <w:tcPr>
            <w:tcW w:w="3140" w:type="dxa"/>
            <w:vAlign w:val="bottom"/>
          </w:tcPr>
          <w:p>
            <w:pPr>
              <w:spacing w:after="0"/>
              <w:rPr>
                <w:sz w:val="24"/>
                <w:szCs w:val="24"/>
                <w:color w:val="auto"/>
              </w:rPr>
            </w:pP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Scalable business model</w:t>
            </w:r>
          </w:p>
        </w:tc>
        <w:tc>
          <w:tcPr>
            <w:tcW w:w="0" w:type="dxa"/>
            <w:vAlign w:val="bottom"/>
          </w:tcPr>
          <w:p>
            <w:pPr>
              <w:spacing w:after="0"/>
              <w:rPr>
                <w:sz w:val="1"/>
                <w:szCs w:val="1"/>
                <w:color w:val="auto"/>
              </w:rPr>
            </w:pPr>
          </w:p>
        </w:tc>
      </w:tr>
      <w:tr>
        <w:trPr>
          <w:trHeight w:val="318"/>
        </w:trPr>
        <w:tc>
          <w:tcPr>
            <w:tcW w:w="3140" w:type="dxa"/>
            <w:vAlign w:val="bottom"/>
          </w:tcPr>
          <w:p>
            <w:pPr>
              <w:spacing w:after="0"/>
              <w:rPr>
                <w:sz w:val="24"/>
                <w:szCs w:val="24"/>
                <w:color w:val="auto"/>
              </w:rPr>
            </w:pP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Major contracts signed with international mobile carriers</w:t>
            </w:r>
          </w:p>
        </w:tc>
        <w:tc>
          <w:tcPr>
            <w:tcW w:w="0" w:type="dxa"/>
            <w:vAlign w:val="bottom"/>
          </w:tcPr>
          <w:p>
            <w:pPr>
              <w:spacing w:after="0"/>
              <w:rPr>
                <w:sz w:val="1"/>
                <w:szCs w:val="1"/>
                <w:color w:val="auto"/>
              </w:rPr>
            </w:pPr>
          </w:p>
        </w:tc>
      </w:tr>
      <w:tr>
        <w:trPr>
          <w:trHeight w:val="380"/>
        </w:trPr>
        <w:tc>
          <w:tcPr>
            <w:tcW w:w="11040" w:type="dxa"/>
            <w:vAlign w:val="bottom"/>
            <w:gridSpan w:val="3"/>
          </w:tcPr>
          <w:p>
            <w:pPr>
              <w:spacing w:after="0" w:line="380" w:lineRule="exact"/>
              <w:rPr>
                <w:sz w:val="20"/>
                <w:szCs w:val="20"/>
                <w:color w:val="auto"/>
              </w:rPr>
            </w:pPr>
            <w:r>
              <w:rPr>
                <w:rFonts w:ascii="Arial" w:cs="Arial" w:eastAsia="Arial" w:hAnsi="Arial"/>
                <w:sz w:val="23"/>
                <w:szCs w:val="23"/>
                <w:b w:val="1"/>
                <w:bCs w:val="1"/>
                <w:color w:val="FFFFFF"/>
              </w:rPr>
              <w:t xml:space="preserve">Strong Platform for Growth </w:t>
            </w:r>
            <w:r>
              <w:rPr>
                <w:rFonts w:ascii="Arial" w:cs="Arial" w:eastAsia="Arial" w:hAnsi="Arial"/>
                <w:sz w:val="44"/>
                <w:szCs w:val="44"/>
                <w:b w:val="1"/>
                <w:bCs w:val="1"/>
                <w:color w:val="000000"/>
                <w:vertAlign w:val="subscript"/>
              </w:rPr>
              <w:t>and content providers</w:t>
            </w:r>
          </w:p>
        </w:tc>
        <w:tc>
          <w:tcPr>
            <w:tcW w:w="0" w:type="dxa"/>
            <w:vAlign w:val="bottom"/>
          </w:tcPr>
          <w:p>
            <w:pPr>
              <w:spacing w:after="0"/>
              <w:rPr>
                <w:sz w:val="1"/>
                <w:szCs w:val="1"/>
                <w:color w:val="auto"/>
              </w:rPr>
            </w:pPr>
          </w:p>
        </w:tc>
      </w:tr>
      <w:tr>
        <w:trPr>
          <w:trHeight w:val="352"/>
        </w:trPr>
        <w:tc>
          <w:tcPr>
            <w:tcW w:w="3140" w:type="dxa"/>
            <w:vAlign w:val="bottom"/>
          </w:tcPr>
          <w:p>
            <w:pPr>
              <w:spacing w:after="0"/>
              <w:rPr>
                <w:sz w:val="24"/>
                <w:szCs w:val="24"/>
                <w:color w:val="auto"/>
              </w:rPr>
            </w:pP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w w:val="97"/>
              </w:rPr>
              <w:t>Largest video ringtone library in the world (over 5,000 titles)</w:t>
            </w:r>
          </w:p>
        </w:tc>
        <w:tc>
          <w:tcPr>
            <w:tcW w:w="0" w:type="dxa"/>
            <w:vAlign w:val="bottom"/>
          </w:tcPr>
          <w:p>
            <w:pPr>
              <w:spacing w:after="0"/>
              <w:rPr>
                <w:sz w:val="1"/>
                <w:szCs w:val="1"/>
                <w:color w:val="auto"/>
              </w:rPr>
            </w:pPr>
          </w:p>
        </w:tc>
      </w:tr>
      <w:tr>
        <w:trPr>
          <w:trHeight w:val="456"/>
        </w:trPr>
        <w:tc>
          <w:tcPr>
            <w:tcW w:w="3140" w:type="dxa"/>
            <w:vAlign w:val="bottom"/>
          </w:tcPr>
          <w:p>
            <w:pPr>
              <w:spacing w:after="0"/>
              <w:rPr>
                <w:sz w:val="24"/>
                <w:szCs w:val="24"/>
                <w:color w:val="auto"/>
              </w:rPr>
            </w:pP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Only 17.6 M viewed mobile video in the US in Q4 2009</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80" w:type="dxa"/>
            <w:vAlign w:val="bottom"/>
          </w:tcPr>
          <w:p>
            <w:pPr>
              <w:ind w:left="60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320" w:type="dxa"/>
            <w:vAlign w:val="bottom"/>
          </w:tcPr>
          <w:p>
            <w:pPr>
              <w:jc w:val="right"/>
              <w:ind w:right="7"/>
              <w:spacing w:after="0" w:line="153" w:lineRule="exact"/>
              <w:rPr>
                <w:sz w:val="20"/>
                <w:szCs w:val="20"/>
                <w:color w:val="auto"/>
              </w:rPr>
            </w:pPr>
            <w:r>
              <w:rPr>
                <w:rFonts w:ascii="Arial" w:cs="Arial" w:eastAsia="Arial" w:hAnsi="Arial"/>
                <w:sz w:val="17"/>
                <w:szCs w:val="17"/>
                <w:color w:val="auto"/>
              </w:rPr>
              <w:t>•</w:t>
            </w:r>
          </w:p>
        </w:tc>
        <w:tc>
          <w:tcPr>
            <w:tcW w:w="7580" w:type="dxa"/>
            <w:vAlign w:val="bottom"/>
          </w:tcPr>
          <w:p>
            <w:pPr>
              <w:ind w:left="40"/>
              <w:spacing w:after="0" w:line="153" w:lineRule="exact"/>
              <w:rPr>
                <w:sz w:val="20"/>
                <w:szCs w:val="20"/>
                <w:color w:val="auto"/>
              </w:rPr>
            </w:pPr>
            <w:r>
              <w:rPr>
                <w:rFonts w:ascii="Arial" w:cs="Arial" w:eastAsia="Arial" w:hAnsi="Arial"/>
                <w:sz w:val="17"/>
                <w:szCs w:val="17"/>
                <w:b w:val="1"/>
                <w:bCs w:val="1"/>
                <w:color w:val="auto"/>
              </w:rPr>
              <w:t>4.6 B global mobile subscribers</w:t>
            </w:r>
          </w:p>
        </w:tc>
        <w:tc>
          <w:tcPr>
            <w:tcW w:w="0" w:type="dxa"/>
            <w:vAlign w:val="bottom"/>
          </w:tcPr>
          <w:p>
            <w:pPr>
              <w:spacing w:after="0"/>
              <w:rPr>
                <w:sz w:val="1"/>
                <w:szCs w:val="1"/>
                <w:color w:val="auto"/>
              </w:rPr>
            </w:pPr>
          </w:p>
        </w:tc>
      </w:tr>
      <w:tr>
        <w:trPr>
          <w:trHeight w:val="234"/>
        </w:trPr>
        <w:tc>
          <w:tcPr>
            <w:tcW w:w="3460" w:type="dxa"/>
            <w:vAlign w:val="bottom"/>
            <w:gridSpan w:val="2"/>
            <w:vMerge w:val="restart"/>
          </w:tcPr>
          <w:p>
            <w:pPr>
              <w:jc w:val="right"/>
              <w:spacing w:after="0"/>
              <w:rPr>
                <w:sz w:val="20"/>
                <w:szCs w:val="20"/>
                <w:color w:val="auto"/>
              </w:rPr>
            </w:pPr>
            <w:r>
              <w:rPr>
                <w:rFonts w:ascii="Arial" w:cs="Arial" w:eastAsia="Arial" w:hAnsi="Arial"/>
                <w:sz w:val="27"/>
                <w:szCs w:val="27"/>
                <w:b w:val="1"/>
                <w:bCs w:val="1"/>
                <w:color w:val="FFFFFF"/>
                <w:w w:val="99"/>
              </w:rPr>
              <w:t>Nascent and Fast Growing</w:t>
            </w:r>
          </w:p>
        </w:tc>
        <w:tc>
          <w:tcPr>
            <w:tcW w:w="7580" w:type="dxa"/>
            <w:vAlign w:val="bottom"/>
          </w:tcPr>
          <w:p>
            <w:pPr>
              <w:ind w:left="34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3"/>
        </w:trPr>
        <w:tc>
          <w:tcPr>
            <w:tcW w:w="3460" w:type="dxa"/>
            <w:vAlign w:val="bottom"/>
            <w:gridSpan w:val="2"/>
            <w:vMerge w:val="continue"/>
          </w:tcPr>
          <w:p>
            <w:pPr>
              <w:spacing w:after="0"/>
              <w:rPr>
                <w:sz w:val="18"/>
                <w:szCs w:val="18"/>
                <w:color w:val="auto"/>
              </w:rPr>
            </w:pPr>
          </w:p>
        </w:tc>
        <w:tc>
          <w:tcPr>
            <w:tcW w:w="7580" w:type="dxa"/>
            <w:vAlign w:val="bottom"/>
          </w:tcPr>
          <w:p>
            <w:pPr>
              <w:ind w:left="51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34"/>
        </w:trPr>
        <w:tc>
          <w:tcPr>
            <w:tcW w:w="3140" w:type="dxa"/>
            <w:vAlign w:val="bottom"/>
            <w:vMerge w:val="restart"/>
          </w:tcPr>
          <w:p>
            <w:pPr>
              <w:ind w:left="1040"/>
              <w:spacing w:after="0"/>
              <w:rPr>
                <w:sz w:val="20"/>
                <w:szCs w:val="20"/>
                <w:color w:val="auto"/>
              </w:rPr>
            </w:pPr>
            <w:r>
              <w:rPr>
                <w:rFonts w:ascii="Arial" w:cs="Arial" w:eastAsia="Arial" w:hAnsi="Arial"/>
                <w:sz w:val="27"/>
                <w:szCs w:val="27"/>
                <w:b w:val="1"/>
                <w:bCs w:val="1"/>
                <w:color w:val="FFFFFF"/>
              </w:rPr>
              <w:t>Markets</w:t>
            </w: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534 M global mobile video subscribers by 2014</w:t>
            </w:r>
          </w:p>
        </w:tc>
        <w:tc>
          <w:tcPr>
            <w:tcW w:w="0" w:type="dxa"/>
            <w:vAlign w:val="bottom"/>
          </w:tcPr>
          <w:p>
            <w:pPr>
              <w:spacing w:after="0"/>
              <w:rPr>
                <w:sz w:val="1"/>
                <w:szCs w:val="1"/>
                <w:color w:val="auto"/>
              </w:rPr>
            </w:pPr>
          </w:p>
        </w:tc>
      </w:tr>
      <w:tr>
        <w:trPr>
          <w:trHeight w:val="0"/>
        </w:trPr>
        <w:tc>
          <w:tcPr>
            <w:tcW w:w="31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80" w:type="dxa"/>
            <w:vAlign w:val="bottom"/>
          </w:tcPr>
          <w:p>
            <w:pPr>
              <w:ind w:left="4520"/>
              <w:spacing w:after="0" w:line="1" w:lineRule="exact"/>
              <w:rPr>
                <w:sz w:val="20"/>
                <w:szCs w:val="20"/>
                <w:color w:val="auto"/>
              </w:rPr>
            </w:pPr>
            <w:r>
              <w:rPr>
                <w:rFonts w:ascii="Arial" w:cs="Arial" w:eastAsia="Arial" w:hAnsi="Arial"/>
                <w:sz w:val="1"/>
                <w:szCs w:val="1"/>
                <w:b w:val="1"/>
                <w:bCs w:val="1"/>
                <w:color w:val="auto"/>
              </w:rPr>
              <w:t>(4)</w:t>
            </w:r>
          </w:p>
        </w:tc>
        <w:tc>
          <w:tcPr>
            <w:tcW w:w="0" w:type="dxa"/>
            <w:vAlign w:val="bottom"/>
          </w:tcPr>
          <w:p>
            <w:pPr>
              <w:spacing w:after="0" w:line="20" w:lineRule="exact"/>
              <w:rPr>
                <w:sz w:val="1"/>
                <w:szCs w:val="1"/>
                <w:color w:val="auto"/>
              </w:rPr>
            </w:pPr>
          </w:p>
        </w:tc>
      </w:tr>
      <w:tr>
        <w:trPr>
          <w:trHeight w:val="352"/>
        </w:trPr>
        <w:tc>
          <w:tcPr>
            <w:tcW w:w="3140" w:type="dxa"/>
            <w:vAlign w:val="bottom"/>
          </w:tcPr>
          <w:p>
            <w:pPr>
              <w:spacing w:after="0"/>
              <w:rPr>
                <w:sz w:val="24"/>
                <w:szCs w:val="24"/>
                <w:color w:val="auto"/>
              </w:rPr>
            </w:pP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$25 B mobile application market by 2014</w:t>
            </w: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320" w:type="dxa"/>
            <w:vAlign w:val="bottom"/>
          </w:tcPr>
          <w:p>
            <w:pPr>
              <w:jc w:val="right"/>
              <w:ind w:right="7"/>
              <w:spacing w:after="0" w:line="38" w:lineRule="exact"/>
              <w:rPr>
                <w:sz w:val="20"/>
                <w:szCs w:val="20"/>
                <w:color w:val="auto"/>
              </w:rPr>
            </w:pPr>
            <w:r>
              <w:rPr>
                <w:rFonts w:ascii="Arial" w:cs="Arial" w:eastAsia="Arial" w:hAnsi="Arial"/>
                <w:sz w:val="4"/>
                <w:szCs w:val="4"/>
                <w:color w:val="auto"/>
              </w:rPr>
              <w:t>•</w:t>
            </w:r>
          </w:p>
        </w:tc>
        <w:tc>
          <w:tcPr>
            <w:tcW w:w="7580" w:type="dxa"/>
            <w:vAlign w:val="bottom"/>
          </w:tcPr>
          <w:p>
            <w:pPr>
              <w:ind w:left="40"/>
              <w:spacing w:after="0" w:line="38" w:lineRule="exact"/>
              <w:rPr>
                <w:sz w:val="20"/>
                <w:szCs w:val="20"/>
                <w:color w:val="auto"/>
              </w:rPr>
            </w:pPr>
            <w:r>
              <w:rPr>
                <w:rFonts w:ascii="Arial" w:cs="Arial" w:eastAsia="Arial" w:hAnsi="Arial"/>
                <w:sz w:val="4"/>
                <w:szCs w:val="4"/>
                <w:b w:val="1"/>
                <w:bCs w:val="1"/>
                <w:color w:val="auto"/>
              </w:rPr>
              <w:t>$29 B mobile content market by 2012</w:t>
            </w:r>
          </w:p>
        </w:tc>
        <w:tc>
          <w:tcPr>
            <w:tcW w:w="0" w:type="dxa"/>
            <w:vAlign w:val="bottom"/>
          </w:tcPr>
          <w:p>
            <w:pPr>
              <w:spacing w:after="0" w:line="20" w:lineRule="exact"/>
              <w:rPr>
                <w:sz w:val="1"/>
                <w:szCs w:val="1"/>
                <w:color w:val="auto"/>
              </w:rPr>
            </w:pP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80" w:type="dxa"/>
            <w:vAlign w:val="bottom"/>
          </w:tcPr>
          <w:p>
            <w:pPr>
              <w:ind w:left="41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809"/>
        </w:trPr>
        <w:tc>
          <w:tcPr>
            <w:tcW w:w="3140" w:type="dxa"/>
            <w:vAlign w:val="bottom"/>
            <w:vMerge w:val="restart"/>
          </w:tcPr>
          <w:p>
            <w:pPr>
              <w:ind w:left="360"/>
              <w:spacing w:after="0"/>
              <w:rPr>
                <w:sz w:val="20"/>
                <w:szCs w:val="20"/>
                <w:color w:val="auto"/>
              </w:rPr>
            </w:pPr>
            <w:r>
              <w:rPr>
                <w:rFonts w:ascii="Arial" w:cs="Arial" w:eastAsia="Arial" w:hAnsi="Arial"/>
                <w:sz w:val="27"/>
                <w:szCs w:val="27"/>
                <w:b w:val="1"/>
                <w:bCs w:val="1"/>
                <w:color w:val="FFFFFF"/>
              </w:rPr>
              <w:t>Established and Well</w:t>
            </w:r>
          </w:p>
        </w:tc>
        <w:tc>
          <w:tcPr>
            <w:tcW w:w="320" w:type="dxa"/>
            <w:vAlign w:val="bottom"/>
          </w:tcPr>
          <w:p>
            <w:pPr>
              <w:jc w:val="right"/>
              <w:ind w:right="7"/>
              <w:spacing w:after="0"/>
              <w:rPr>
                <w:sz w:val="20"/>
                <w:szCs w:val="20"/>
                <w:color w:val="auto"/>
              </w:rPr>
            </w:pPr>
            <w:r>
              <w:rPr>
                <w:rFonts w:ascii="Arial" w:cs="Arial" w:eastAsia="Arial" w:hAnsi="Arial"/>
                <w:sz w:val="21"/>
                <w:szCs w:val="21"/>
                <w:color w:val="auto"/>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Strong management team and BOD with experience in the</w:t>
            </w:r>
          </w:p>
        </w:tc>
        <w:tc>
          <w:tcPr>
            <w:tcW w:w="0" w:type="dxa"/>
            <w:vAlign w:val="bottom"/>
          </w:tcPr>
          <w:p>
            <w:pPr>
              <w:spacing w:after="0"/>
              <w:rPr>
                <w:sz w:val="1"/>
                <w:szCs w:val="1"/>
                <w:color w:val="auto"/>
              </w:rPr>
            </w:pPr>
          </w:p>
        </w:tc>
      </w:tr>
      <w:tr>
        <w:trPr>
          <w:trHeight w:val="269"/>
        </w:trPr>
        <w:tc>
          <w:tcPr>
            <w:tcW w:w="314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7580" w:type="dxa"/>
            <w:vAlign w:val="bottom"/>
          </w:tcPr>
          <w:p>
            <w:pPr>
              <w:ind w:left="40"/>
              <w:spacing w:after="0" w:line="270" w:lineRule="exact"/>
              <w:rPr>
                <w:sz w:val="20"/>
                <w:szCs w:val="20"/>
                <w:color w:val="auto"/>
              </w:rPr>
            </w:pPr>
            <w:r>
              <w:rPr>
                <w:rFonts w:ascii="Arial" w:cs="Arial" w:eastAsia="Arial" w:hAnsi="Arial"/>
                <w:sz w:val="27"/>
                <w:szCs w:val="27"/>
                <w:b w:val="1"/>
                <w:bCs w:val="1"/>
                <w:color w:val="auto"/>
              </w:rPr>
              <w:t>U.S. financial markets</w:t>
            </w:r>
          </w:p>
        </w:tc>
        <w:tc>
          <w:tcPr>
            <w:tcW w:w="0" w:type="dxa"/>
            <w:vAlign w:val="bottom"/>
          </w:tcPr>
          <w:p>
            <w:pPr>
              <w:spacing w:after="0"/>
              <w:rPr>
                <w:sz w:val="1"/>
                <w:szCs w:val="1"/>
                <w:color w:val="auto"/>
              </w:rPr>
            </w:pPr>
          </w:p>
        </w:tc>
      </w:tr>
      <w:tr>
        <w:trPr>
          <w:trHeight w:val="393"/>
        </w:trPr>
        <w:tc>
          <w:tcPr>
            <w:tcW w:w="3460" w:type="dxa"/>
            <w:vAlign w:val="bottom"/>
            <w:gridSpan w:val="2"/>
          </w:tcPr>
          <w:p>
            <w:pPr>
              <w:jc w:val="right"/>
              <w:ind w:right="7"/>
              <w:spacing w:after="0" w:line="393" w:lineRule="exact"/>
              <w:rPr>
                <w:sz w:val="20"/>
                <w:szCs w:val="20"/>
                <w:color w:val="auto"/>
              </w:rPr>
            </w:pPr>
            <w:r>
              <w:rPr>
                <w:rFonts w:ascii="Arial" w:cs="Arial" w:eastAsia="Arial" w:hAnsi="Arial"/>
                <w:sz w:val="27"/>
                <w:szCs w:val="27"/>
                <w:b w:val="1"/>
                <w:bCs w:val="1"/>
                <w:color w:val="FFFFFF"/>
              </w:rPr>
              <w:t xml:space="preserve">Seasoned Management </w:t>
            </w:r>
            <w:r>
              <w:rPr>
                <w:rFonts w:ascii="Arial" w:cs="Arial" w:eastAsia="Arial" w:hAnsi="Arial"/>
                <w:sz w:val="41"/>
                <w:szCs w:val="41"/>
                <w:color w:val="000000"/>
                <w:vertAlign w:val="subscript"/>
              </w:rPr>
              <w:t>•</w:t>
            </w:r>
          </w:p>
        </w:tc>
        <w:tc>
          <w:tcPr>
            <w:tcW w:w="7580" w:type="dxa"/>
            <w:vAlign w:val="bottom"/>
          </w:tcPr>
          <w:p>
            <w:pPr>
              <w:ind w:left="40"/>
              <w:spacing w:after="0"/>
              <w:rPr>
                <w:sz w:val="20"/>
                <w:szCs w:val="20"/>
                <w:color w:val="auto"/>
              </w:rPr>
            </w:pPr>
            <w:r>
              <w:rPr>
                <w:rFonts w:ascii="Arial" w:cs="Arial" w:eastAsia="Arial" w:hAnsi="Arial"/>
                <w:sz w:val="27"/>
                <w:szCs w:val="27"/>
                <w:b w:val="1"/>
                <w:bCs w:val="1"/>
                <w:color w:val="auto"/>
              </w:rPr>
              <w:t>Track record of creating, running, investing and exiting</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580" w:type="dxa"/>
            <w:vAlign w:val="bottom"/>
          </w:tcPr>
          <w:p>
            <w:pPr>
              <w:ind w:left="40"/>
              <w:spacing w:after="0" w:line="267" w:lineRule="exact"/>
              <w:rPr>
                <w:sz w:val="20"/>
                <w:szCs w:val="20"/>
                <w:color w:val="auto"/>
              </w:rPr>
            </w:pPr>
            <w:r>
              <w:rPr>
                <w:rFonts w:ascii="Arial" w:cs="Arial" w:eastAsia="Arial" w:hAnsi="Arial"/>
                <w:sz w:val="27"/>
                <w:szCs w:val="27"/>
                <w:b w:val="1"/>
                <w:bCs w:val="1"/>
                <w:color w:val="auto"/>
              </w:rPr>
              <w:t>successful technology companies</w:t>
            </w:r>
          </w:p>
        </w:tc>
        <w:tc>
          <w:tcPr>
            <w:tcW w:w="0" w:type="dxa"/>
            <w:vAlign w:val="bottom"/>
          </w:tcPr>
          <w:p>
            <w:pPr>
              <w:spacing w:after="0"/>
              <w:rPr>
                <w:sz w:val="1"/>
                <w:szCs w:val="1"/>
                <w:color w:val="auto"/>
              </w:rPr>
            </w:pPr>
          </w:p>
        </w:tc>
      </w:tr>
    </w:tbl>
    <w:p>
      <w:pPr>
        <w:ind w:left="220" w:hanging="218"/>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Neilsen/New York Times</w:t>
      </w:r>
    </w:p>
    <w:p>
      <w:pPr>
        <w:spacing w:after="0" w:line="15" w:lineRule="exact"/>
        <w:rPr>
          <w:rFonts w:ascii="Arial" w:cs="Arial" w:eastAsia="Arial" w:hAnsi="Arial"/>
          <w:sz w:val="14"/>
          <w:szCs w:val="14"/>
          <w:color w:val="auto"/>
        </w:rPr>
      </w:pPr>
    </w:p>
    <w:p>
      <w:pPr>
        <w:ind w:left="220" w:hanging="218"/>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United Nations</w:t>
      </w:r>
    </w:p>
    <w:p>
      <w:pPr>
        <w:spacing w:after="0" w:line="15" w:lineRule="exact"/>
        <w:rPr>
          <w:rFonts w:ascii="Arial" w:cs="Arial" w:eastAsia="Arial" w:hAnsi="Arial"/>
          <w:sz w:val="14"/>
          <w:szCs w:val="14"/>
          <w:color w:val="auto"/>
        </w:rPr>
      </w:pPr>
    </w:p>
    <w:p>
      <w:pPr>
        <w:ind w:left="220" w:hanging="218"/>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Multimedia Intelligence</w:t>
      </w:r>
    </w:p>
    <w:p>
      <w:pPr>
        <w:spacing w:after="0" w:line="15" w:lineRule="exact"/>
        <w:rPr>
          <w:rFonts w:ascii="Arial" w:cs="Arial" w:eastAsia="Arial" w:hAnsi="Arial"/>
          <w:sz w:val="14"/>
          <w:szCs w:val="14"/>
          <w:color w:val="auto"/>
        </w:rPr>
      </w:pPr>
    </w:p>
    <w:p>
      <w:pPr>
        <w:ind w:left="220" w:hanging="218"/>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Juniper Research</w:t>
      </w:r>
    </w:p>
    <w:p>
      <w:pPr>
        <w:spacing w:after="0" w:line="258" w:lineRule="exact"/>
        <w:rPr>
          <w:sz w:val="20"/>
          <w:szCs w:val="20"/>
          <w:color w:val="auto"/>
        </w:rPr>
      </w:pPr>
    </w:p>
    <w:p>
      <w:pPr>
        <w:ind w:left="4760"/>
        <w:spacing w:after="0"/>
        <w:rPr>
          <w:sz w:val="20"/>
          <w:szCs w:val="20"/>
          <w:color w:val="auto"/>
        </w:rPr>
      </w:pPr>
      <w:r>
        <w:rPr>
          <w:rFonts w:ascii="Arial" w:cs="Arial" w:eastAsia="Arial" w:hAnsi="Arial"/>
          <w:sz w:val="13"/>
          <w:szCs w:val="13"/>
          <w:color w:val="FFFFFF"/>
        </w:rPr>
        <w:t>- Page 36 -</w:t>
      </w:r>
    </w:p>
    <w:p>
      <w:pPr>
        <w:sectPr>
          <w:pgSz w:w="11900" w:h="16838" w:orient="portrait"/>
          <w:cols w:equalWidth="0" w:num="1">
            <w:col w:w="11160"/>
          </w:cols>
          <w:pgMar w:left="580" w:top="508" w:right="159" w:bottom="1440" w:gutter="0" w:footer="0" w:header="0"/>
        </w:sectPr>
      </w:pPr>
    </w:p>
    <w:bookmarkStart w:id="39" w:name="page40"/>
    <w:bookmarkEnd w:id="39"/>
    <w:p>
      <w:pPr>
        <w:ind w:left="4940"/>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5203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5203190"/>
                    </a:xfrm>
                    <a:prstGeom prst="rect">
                      <a:avLst/>
                    </a:prstGeom>
                    <a:noFill/>
                  </pic:spPr>
                </pic:pic>
              </a:graphicData>
            </a:graphic>
          </wp:anchor>
        </w:drawing>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0"/>
        <w:spacing w:after="0"/>
        <w:rPr>
          <w:sz w:val="20"/>
          <w:szCs w:val="20"/>
          <w:color w:val="auto"/>
        </w:rPr>
      </w:pPr>
      <w:r>
        <w:rPr>
          <w:rFonts w:ascii="Arial" w:cs="Arial" w:eastAsia="Arial" w:hAnsi="Arial"/>
          <w:sz w:val="32"/>
          <w:szCs w:val="32"/>
          <w:b w:val="1"/>
          <w:bCs w:val="1"/>
          <w:color w:val="FFFFFF"/>
        </w:rPr>
        <w:t>Rodman &amp; Renshaw Annual Global Investment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FFFFFF"/>
        </w:rPr>
        <w:t>Conference</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FFFFFF"/>
        </w:rPr>
        <w:t>September 13, 2010</w:t>
      </w:r>
    </w:p>
    <w:p>
      <w:pPr>
        <w:sectPr>
          <w:pgSz w:w="11900" w:h="16838" w:orient="portrait"/>
          <w:cols w:equalWidth="0" w:num="1">
            <w:col w:w="9260"/>
          </w:cols>
          <w:pgMar w:left="1440" w:top="570" w:right="119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99.2</w:t>
      </w:r>
    </w:p>
    <w:p>
      <w:pPr>
        <w:spacing w:after="0" w:line="148" w:lineRule="exact"/>
        <w:rPr>
          <w:sz w:val="20"/>
          <w:szCs w:val="20"/>
          <w:color w:val="auto"/>
        </w:rPr>
      </w:pPr>
    </w:p>
    <w:p>
      <w:pPr>
        <w:ind w:right="5480"/>
        <w:spacing w:after="0" w:line="365" w:lineRule="auto"/>
        <w:rPr>
          <w:sz w:val="20"/>
          <w:szCs w:val="20"/>
          <w:color w:val="auto"/>
        </w:rPr>
      </w:pPr>
      <w:r>
        <w:rPr>
          <w:rFonts w:ascii="Arial" w:cs="Arial" w:eastAsia="Arial" w:hAnsi="Arial"/>
          <w:sz w:val="14"/>
          <w:szCs w:val="14"/>
          <w:b w:val="1"/>
          <w:bCs w:val="1"/>
          <w:color w:val="auto"/>
        </w:rPr>
        <w:t xml:space="preserve">Vringo to Present at the Rodman &amp; Renshaw Annual Global Investment Conference in New York </w:t>
      </w:r>
      <w:r>
        <w:rPr>
          <w:rFonts w:ascii="Arial" w:cs="Arial" w:eastAsia="Arial" w:hAnsi="Arial"/>
          <w:sz w:val="14"/>
          <w:szCs w:val="14"/>
          <w:color w:val="auto"/>
        </w:rPr>
        <w:t>NEW YORK, Aug 24, 2010 (GlobeNewswire via COMTEX) —</w:t>
      </w:r>
    </w:p>
    <w:p>
      <w:pPr>
        <w:jc w:val="both"/>
        <w:ind w:right="20"/>
        <w:spacing w:after="0" w:line="278" w:lineRule="auto"/>
        <w:rPr>
          <w:sz w:val="20"/>
          <w:szCs w:val="20"/>
          <w:color w:val="auto"/>
        </w:rPr>
      </w:pPr>
      <w:r>
        <w:rPr>
          <w:rFonts w:ascii="Arial" w:cs="Arial" w:eastAsia="Arial" w:hAnsi="Arial"/>
          <w:sz w:val="14"/>
          <w:szCs w:val="14"/>
          <w:color w:val="auto"/>
        </w:rPr>
        <w:t>Vringo, Inc. (NYSE Amex:VRNG), a provider of video ringtones and personalization solutions for mobile devices, today announced that Jon Medved, Chief Executive Officer of Vringo, will present at the Rodman &amp; Renshaw Annual Global Investment Conference taking place at the New York Palace Hotel in New York City on September 12 - 15, 2010. The Company’s presentation is scheduled for Monday, September 13, at 11:40 a.m. Eastern Time.</w:t>
      </w:r>
    </w:p>
    <w:p>
      <w:pPr>
        <w:spacing w:after="0" w:line="103"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color w:val="auto"/>
        </w:rPr>
        <w:t>The presentation will be broadcast live via the internet. The broadcast will include slides and an audio webcast that can be accessed from the investor relations section of the Company’s website: http://ir.vringo.com. A broadcast replay (slides and audio) will become available within approximately one hour of the live presentation and will remain available for 90 days following the conference.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About Rodman &amp; Renshaw</w:t>
      </w:r>
    </w:p>
    <w:p>
      <w:pPr>
        <w:spacing w:after="0" w:line="82"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Rodman &amp; Renshaw is a full-service investment bank dedicated to providing corporate finance, strategic advisory and related services to public and private companies across multiple sectors and regions. Rodman also provides research and sales and trading services to institutional investors. Rodman is the leader in the PIPE (private investment in public equity) and RD (registered direct offering) transaction markets. According to Sagient Research Systems, Rodman has been ranked the #1 Placement Agent in terms of the aggregate number of PIPE and RD financing transactions completed every year since 2005. For more information please visit: http://www.rodm.com.</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About Vringo</w:t>
      </w:r>
    </w:p>
    <w:p>
      <w:pPr>
        <w:spacing w:after="0" w:line="8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Founded in 2006, Vringo is bringing about the evolution of ringtones. With its award-winning video ringtone application and mobile software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Vringo’s patented VringForward(TM) technology allows users to share video clips with friends with a simple call. Vringo has launched its service with various international mobile operators and dozens of content partners, and maintains a library of more than 5,000 video ringtones. For more information, visit http://ir.vringo.com.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about how video ringtones work, visit www.vringo.com/p_video_ringtones.html.</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82"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This press release includes forward-looking statements that involve risks and uncertainties. Forward-looking statements are statements that are not historical facts. Such forward-looking statements are</w:t>
      </w:r>
    </w:p>
    <w:p>
      <w:pPr>
        <w:sectPr>
          <w:pgSz w:w="11900" w:h="16838" w:orient="portrait"/>
          <w:cols w:equalWidth="0" w:num="1">
            <w:col w:w="11460"/>
          </w:cols>
          <w:pgMar w:left="220" w:top="128" w:right="219" w:bottom="1440" w:gutter="0" w:footer="0" w:header="0"/>
        </w:sectPr>
      </w:pPr>
    </w:p>
    <w:bookmarkStart w:id="41" w:name="page42"/>
    <w:bookmarkEnd w:id="41"/>
    <w:p>
      <w:pPr>
        <w:spacing w:after="0" w:line="29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075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33655"/>
                    </a:xfrm>
                    <a:prstGeom prst="rect">
                      <a:avLst/>
                    </a:prstGeom>
                    <a:noFill/>
                  </pic:spPr>
                </pic:pic>
              </a:graphicData>
            </a:graphic>
          </wp:anchor>
        </w:drawing>
        <w:t>subject to risks and uncertainties, which could cause actual results to differ from the forward-looking statements. Vringo expressly disclaims any obligation to publicly update any forward-looking statements contained herein, whether as a results of new information, future events or otherwise, except as required by law.</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This news release was distributed by GlobeNewswire, www.globenewswire.com</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SOURCE: Vringo, Inc.</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CONTACT: Vringo,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Jonathan Medved, CEO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+1 646-525-4319 x 2501</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jon@vringo.com</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Crescendo Communications, LLC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Investor Relations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John J. Quirk</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David K. Waldman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+1 212-671-1020</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vrng@crescendo-ir.com</w:t>
      </w:r>
    </w:p>
    <w:sectPr>
      <w:pgSz w:w="11900" w:h="16838" w:orient="portrait"/>
      <w:cols w:equalWidth="0" w:num="1">
        <w:col w:w="11220"/>
      </w:cols>
      <w:pgMar w:left="220" w:top="25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36C6125"/>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1">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4"/>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lvl w:ilvl="1">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836C40E"/>
    <w:multiLevelType w:val="hybridMultilevel"/>
    <w:lvl w:ilvl="0">
      <w:lvlJc w:val="left"/>
      <w:lvlText w:val="•"/>
      <w:numFmt w:val="bullet"/>
      <w:start w:val="1"/>
    </w:lvl>
    <w:lvl w:ilvl="1">
      <w:lvlJc w:val="left"/>
      <w:lvlText w:val="•"/>
      <w:numFmt w:val="bullet"/>
      <w:start w:val="1"/>
    </w:lvl>
  </w:abstractNum>
  <w:abstractNum w:abstractNumId="27">
    <w:nsid w:val="2901D82"/>
    <w:multiLevelType w:val="hybridMultilevel"/>
    <w:lvl w:ilvl="0">
      <w:lvlJc w:val="left"/>
      <w:lvlText w:val="•"/>
      <w:numFmt w:val="bullet"/>
      <w:start w:val="1"/>
    </w:lvl>
    <w:lvl w:ilvl="1">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2019-12-11T05:49:28Z</dcterms:created>
  <dcterms:modified xsi:type="dcterms:W3CDTF">2019-12-11T05:49:28Z</dcterms:modified>
</cp:coreProperties>
</file>