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w w:val="94"/>
              </w:rPr>
            </w:pPr>
            <w:hyperlink r:id="rId11">
              <w:r>
                <w:rPr>
                  <w:rFonts w:ascii="Arial" w:cs="Arial" w:eastAsia="Arial" w:hAnsi="Arial"/>
                  <w:sz w:val="22"/>
                  <w:szCs w:val="22"/>
                  <w:color w:val="0000EE"/>
                  <w:w w:val="94"/>
                </w:rPr>
                <w:t>Iroquois Capital Management, LLC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10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06/22/2011</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40"/>
              <w:spacing w:after="0"/>
              <w:rPr>
                <w:sz w:val="20"/>
                <w:szCs w:val="20"/>
                <w:color w:val="auto"/>
              </w:rPr>
            </w:pPr>
            <w:r>
              <w:rPr>
                <w:rFonts w:ascii="Arial" w:cs="Arial" w:eastAsia="Arial" w:hAnsi="Arial"/>
                <w:sz w:val="14"/>
                <w:szCs w:val="14"/>
                <w:color w:val="auto"/>
              </w:rPr>
              <w:t>(First)</w:t>
            </w:r>
          </w:p>
        </w:tc>
        <w:tc>
          <w:tcPr>
            <w:tcW w:w="1100" w:type="dxa"/>
            <w:vAlign w:val="bottom"/>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0000FF"/>
                <w:w w:val="96"/>
              </w:rPr>
              <w:t>641 LEXINGTON AVENUE</w:t>
            </w:r>
          </w:p>
        </w:tc>
        <w:tc>
          <w:tcPr>
            <w:tcW w:w="11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0000FF"/>
                <w:w w:val="93"/>
              </w:rPr>
              <w:t>26TH FLOOR</w:t>
            </w:r>
          </w:p>
        </w:tc>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1060" w:type="dxa"/>
            <w:vAlign w:val="bottom"/>
          </w:tcPr>
          <w:p>
            <w:pPr>
              <w:ind w:left="40"/>
              <w:spacing w:after="0"/>
              <w:rPr>
                <w:sz w:val="20"/>
                <w:szCs w:val="20"/>
                <w:color w:val="auto"/>
              </w:rPr>
            </w:pPr>
            <w:r>
              <w:rPr>
                <w:rFonts w:ascii="Arial" w:cs="Arial" w:eastAsia="Arial" w:hAnsi="Arial"/>
                <w:sz w:val="18"/>
                <w:szCs w:val="18"/>
                <w:color w:val="0000FF"/>
              </w:rPr>
              <w:t>NY</w:t>
            </w:r>
          </w:p>
        </w:tc>
        <w:tc>
          <w:tcPr>
            <w:tcW w:w="1100" w:type="dxa"/>
            <w:vAlign w:val="bottom"/>
          </w:tcPr>
          <w:p>
            <w:pPr>
              <w:ind w:left="60"/>
              <w:spacing w:after="0"/>
              <w:rPr>
                <w:sz w:val="20"/>
                <w:szCs w:val="20"/>
                <w:color w:val="auto"/>
              </w:rPr>
            </w:pPr>
            <w:r>
              <w:rPr>
                <w:rFonts w:ascii="Arial" w:cs="Arial" w:eastAsia="Arial" w:hAnsi="Arial"/>
                <w:sz w:val="18"/>
                <w:szCs w:val="18"/>
                <w:color w:val="0000FF"/>
              </w:rPr>
              <w:t>10022</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(Month/Day/Year)</w:t>
            </w:r>
          </w:p>
        </w:tc>
      </w:tr>
      <w:tr>
        <w:trPr>
          <w:trHeight w:val="237"/>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2420" w:type="dxa"/>
            <w:vAlign w:val="bottom"/>
            <w:tcBorders>
              <w:bottom w:val="single" w:sz="8" w:color="2C2C2C"/>
            </w:tcBorders>
          </w:tcPr>
          <w:p>
            <w:pPr>
              <w:spacing w:after="0"/>
              <w:rPr>
                <w:sz w:val="20"/>
                <w:szCs w:val="20"/>
                <w:color w:val="auto"/>
              </w:rPr>
            </w:pPr>
          </w:p>
        </w:tc>
      </w:tr>
      <w:tr>
        <w:trPr>
          <w:trHeight w:val="188"/>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Applicable Line)</w:t>
            </w: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ind w:left="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r>
    </w:tbl>
    <w:p>
      <w:pPr>
        <w:spacing w:after="0" w:line="200"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9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80" w:type="dxa"/>
            <w:vAlign w:val="bottom"/>
          </w:tcPr>
          <w:p>
            <w:pPr>
              <w:ind w:left="20"/>
              <w:spacing w:after="0"/>
              <w:rPr>
                <w:sz w:val="20"/>
                <w:szCs w:val="20"/>
                <w:color w:val="auto"/>
              </w:rPr>
            </w:pPr>
            <w:r>
              <w:rPr>
                <w:rFonts w:ascii="Arial" w:cs="Arial" w:eastAsia="Arial" w:hAnsi="Arial"/>
                <w:sz w:val="14"/>
                <w:szCs w:val="14"/>
                <w:b w:val="1"/>
                <w:bCs w:val="1"/>
                <w:color w:val="auto"/>
              </w:rPr>
              <w:t>2. Amount of Securities</w:t>
            </w: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Form: Direct (D)</w:t>
            </w:r>
          </w:p>
        </w:tc>
        <w:tc>
          <w:tcPr>
            <w:tcW w:w="13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20" w:type="dxa"/>
            <w:vAlign w:val="bottom"/>
          </w:tcPr>
          <w:p>
            <w:pPr>
              <w:ind w:left="220"/>
              <w:spacing w:after="0"/>
              <w:rPr>
                <w:sz w:val="20"/>
                <w:szCs w:val="20"/>
                <w:color w:val="auto"/>
              </w:rPr>
            </w:pPr>
            <w:r>
              <w:rPr>
                <w:rFonts w:ascii="Arial" w:cs="Arial" w:eastAsia="Arial" w:hAnsi="Arial"/>
                <w:sz w:val="14"/>
                <w:szCs w:val="14"/>
                <w:b w:val="1"/>
                <w:bCs w:val="1"/>
                <w:color w:val="auto"/>
              </w:rPr>
              <w:t>(Instr. 5)</w:t>
            </w: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jc w:val="center"/>
              <w:ind w:left="29"/>
              <w:spacing w:after="0" w:line="324" w:lineRule="exact"/>
              <w:rPr>
                <w:sz w:val="20"/>
                <w:szCs w:val="20"/>
                <w:color w:val="auto"/>
              </w:rPr>
            </w:pPr>
            <w:r>
              <w:rPr>
                <w:rFonts w:ascii="Arial" w:cs="Arial" w:eastAsia="Arial" w:hAnsi="Arial"/>
                <w:sz w:val="35"/>
                <w:szCs w:val="35"/>
                <w:color w:val="0000FF"/>
                <w:w w:val="76"/>
                <w:vertAlign w:val="subscript"/>
              </w:rPr>
              <w:t>926,604</w:t>
            </w:r>
            <w:r>
              <w:rPr>
                <w:rFonts w:ascii="Arial" w:cs="Arial" w:eastAsia="Arial" w:hAnsi="Arial"/>
                <w:sz w:val="11"/>
                <w:szCs w:val="11"/>
                <w:color w:val="008000"/>
                <w:w w:val="76"/>
              </w:rPr>
              <w:t>(1)(4)(5)</w:t>
            </w:r>
          </w:p>
        </w:tc>
        <w:tc>
          <w:tcPr>
            <w:tcW w:w="920" w:type="dxa"/>
            <w:vAlign w:val="bottom"/>
            <w:tcBorders>
              <w:bottom w:val="single" w:sz="8" w:color="2C2C2C"/>
            </w:tcBorders>
          </w:tcPr>
          <w:p>
            <w:pPr>
              <w:ind w:left="740"/>
              <w:spacing w:after="0"/>
              <w:rPr>
                <w:sz w:val="20"/>
                <w:szCs w:val="20"/>
                <w:color w:val="auto"/>
              </w:rPr>
            </w:pPr>
            <w:r>
              <w:rPr>
                <w:rFonts w:ascii="Arial" w:cs="Arial" w:eastAsia="Arial" w:hAnsi="Arial"/>
                <w:sz w:val="18"/>
                <w:szCs w:val="18"/>
                <w:color w:val="0000FF"/>
              </w:rPr>
              <w:t>I</w:t>
            </w:r>
          </w:p>
        </w:tc>
        <w:tc>
          <w:tcPr>
            <w:tcW w:w="4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gridSpan w:val="4"/>
          </w:tcPr>
          <w:p>
            <w:pPr>
              <w:ind w:left="12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(1)(4)(5)</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2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540" w:type="dxa"/>
            <w:vAlign w:val="bottom"/>
            <w:tcBorders>
              <w:top w:val="single" w:sz="8" w:color="2C2C2C"/>
            </w:tcBorders>
            <w:gridSpan w:val="7"/>
          </w:tcPr>
          <w:p>
            <w:pPr>
              <w:ind w:left="2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4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6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80" w:type="dxa"/>
            <w:vAlign w:val="bottom"/>
            <w:gridSpan w:val="9"/>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9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5"/>
          </w:tcPr>
          <w:p>
            <w:pPr>
              <w:ind w:left="60"/>
              <w:spacing w:after="0"/>
              <w:rPr>
                <w:sz w:val="20"/>
                <w:szCs w:val="20"/>
                <w:color w:val="auto"/>
              </w:rPr>
            </w:pPr>
            <w:r>
              <w:rPr>
                <w:rFonts w:ascii="Arial" w:cs="Arial" w:eastAsia="Arial" w:hAnsi="Arial"/>
                <w:sz w:val="14"/>
                <w:szCs w:val="14"/>
                <w:b w:val="1"/>
                <w:bCs w:val="1"/>
                <w:color w:val="auto"/>
                <w:w w:val="99"/>
              </w:rPr>
              <w:t>2. Date Exercisable and</w:t>
            </w:r>
          </w:p>
        </w:tc>
        <w:tc>
          <w:tcPr>
            <w:tcW w:w="2900" w:type="dxa"/>
            <w:vAlign w:val="bottom"/>
            <w:gridSpan w:val="2"/>
          </w:tcPr>
          <w:p>
            <w:pPr>
              <w:ind w:left="120"/>
              <w:spacing w:after="0"/>
              <w:rPr>
                <w:sz w:val="20"/>
                <w:szCs w:val="20"/>
                <w:color w:val="auto"/>
              </w:rPr>
            </w:pPr>
            <w:r>
              <w:rPr>
                <w:rFonts w:ascii="Arial" w:cs="Arial" w:eastAsia="Arial" w:hAnsi="Arial"/>
                <w:sz w:val="14"/>
                <w:szCs w:val="14"/>
                <w:b w:val="1"/>
                <w:bCs w:val="1"/>
                <w:color w:val="auto"/>
              </w:rPr>
              <w:t>3. Title and Amount of Securities</w:t>
            </w: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9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Amount or</w:t>
            </w:r>
          </w:p>
        </w:tc>
        <w:tc>
          <w:tcPr>
            <w:tcW w:w="900" w:type="dxa"/>
            <w:vAlign w:val="bottom"/>
            <w:gridSpan w:val="2"/>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6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9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Number of</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76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1980" w:type="dxa"/>
            <w:vAlign w:val="bottom"/>
            <w:vMerge w:val="continue"/>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94"/>
              </w:rPr>
              <w:t>Warrant to Purchase Common Stock</w:t>
            </w:r>
          </w:p>
        </w:tc>
        <w:tc>
          <w:tcPr>
            <w:tcW w:w="1460" w:type="dxa"/>
            <w:vAlign w:val="bottom"/>
            <w:tcBorders>
              <w:bottom w:val="single" w:sz="8" w:color="2C2C2C"/>
            </w:tcBorders>
            <w:gridSpan w:val="3"/>
          </w:tcPr>
          <w:p>
            <w:pPr>
              <w:ind w:left="720"/>
              <w:spacing w:after="0"/>
              <w:rPr>
                <w:sz w:val="20"/>
                <w:szCs w:val="20"/>
                <w:color w:val="auto"/>
              </w:rPr>
            </w:pPr>
            <w:r>
              <w:rPr>
                <w:rFonts w:ascii="Arial" w:cs="Arial" w:eastAsia="Arial" w:hAnsi="Arial"/>
                <w:sz w:val="14"/>
                <w:szCs w:val="14"/>
                <w:color w:val="0000FF"/>
              </w:rPr>
              <w:t>12/29/2009</w:t>
            </w:r>
          </w:p>
        </w:tc>
        <w:tc>
          <w:tcPr>
            <w:tcW w:w="760" w:type="dxa"/>
            <w:vAlign w:val="bottom"/>
            <w:tcBorders>
              <w:bottom w:val="single" w:sz="8" w:color="2C2C2C"/>
            </w:tcBorders>
            <w:gridSpan w:val="4"/>
          </w:tcPr>
          <w:p>
            <w:pPr>
              <w:ind w:left="100"/>
              <w:spacing w:after="0"/>
              <w:rPr>
                <w:sz w:val="20"/>
                <w:szCs w:val="20"/>
                <w:color w:val="auto"/>
              </w:rPr>
            </w:pPr>
            <w:r>
              <w:rPr>
                <w:rFonts w:ascii="Arial" w:cs="Arial" w:eastAsia="Arial" w:hAnsi="Arial"/>
                <w:sz w:val="14"/>
                <w:szCs w:val="14"/>
                <w:color w:val="0000FF"/>
                <w:w w:val="91"/>
              </w:rPr>
              <w:t>12/29/2014</w:t>
            </w:r>
          </w:p>
        </w:tc>
        <w:tc>
          <w:tcPr>
            <w:tcW w:w="198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7"/>
              </w:rPr>
              <w:t>Common Stock</w:t>
            </w:r>
          </w:p>
        </w:tc>
        <w:tc>
          <w:tcPr>
            <w:tcW w:w="920" w:type="dxa"/>
            <w:vAlign w:val="bottom"/>
            <w:tcBorders>
              <w:bottom w:val="single" w:sz="8" w:color="2C2C2C"/>
            </w:tcBorders>
          </w:tcPr>
          <w:p>
            <w:pPr>
              <w:jc w:val="center"/>
              <w:ind w:right="6"/>
              <w:spacing w:after="0"/>
              <w:rPr>
                <w:sz w:val="20"/>
                <w:szCs w:val="20"/>
                <w:color w:val="auto"/>
              </w:rPr>
            </w:pPr>
            <w:r>
              <w:rPr>
                <w:rFonts w:ascii="Arial" w:cs="Arial" w:eastAsia="Arial" w:hAnsi="Arial"/>
                <w:sz w:val="18"/>
                <w:szCs w:val="18"/>
                <w:color w:val="0000FF"/>
              </w:rPr>
              <w:t>97,101</w:t>
            </w:r>
            <w:r>
              <w:rPr>
                <w:rFonts w:ascii="Arial" w:cs="Arial" w:eastAsia="Arial" w:hAnsi="Arial"/>
                <w:sz w:val="22"/>
                <w:szCs w:val="22"/>
                <w:color w:val="008000"/>
                <w:vertAlign w:val="superscript"/>
              </w:rPr>
              <w:t>(2)</w:t>
            </w:r>
          </w:p>
        </w:tc>
        <w:tc>
          <w:tcPr>
            <w:tcW w:w="90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2.75</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88"/>
              </w:rPr>
              <w:t>See Footnotes</w:t>
            </w:r>
            <w:r>
              <w:rPr>
                <w:rFonts w:ascii="Arial" w:cs="Arial" w:eastAsia="Arial" w:hAnsi="Arial"/>
                <w:sz w:val="22"/>
                <w:szCs w:val="22"/>
                <w:color w:val="008000"/>
                <w:w w:val="88"/>
                <w:vertAlign w:val="superscript"/>
              </w:rPr>
              <w:t>(2)(4)(5)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94"/>
              </w:rPr>
              <w:t>Warrant to Purchase Common Stock</w:t>
            </w:r>
          </w:p>
        </w:tc>
        <w:tc>
          <w:tcPr>
            <w:tcW w:w="1460" w:type="dxa"/>
            <w:vAlign w:val="bottom"/>
            <w:tcBorders>
              <w:bottom w:val="single" w:sz="8" w:color="2C2C2C"/>
            </w:tcBorders>
            <w:gridSpan w:val="3"/>
          </w:tcPr>
          <w:p>
            <w:pPr>
              <w:ind w:left="720"/>
              <w:spacing w:after="0"/>
              <w:rPr>
                <w:sz w:val="20"/>
                <w:szCs w:val="20"/>
                <w:color w:val="auto"/>
              </w:rPr>
            </w:pPr>
            <w:r>
              <w:rPr>
                <w:rFonts w:ascii="Arial" w:cs="Arial" w:eastAsia="Arial" w:hAnsi="Arial"/>
                <w:sz w:val="14"/>
                <w:szCs w:val="14"/>
                <w:color w:val="0000FF"/>
              </w:rPr>
              <w:t>06/21/2010</w:t>
            </w:r>
          </w:p>
        </w:tc>
        <w:tc>
          <w:tcPr>
            <w:tcW w:w="760" w:type="dxa"/>
            <w:vAlign w:val="bottom"/>
            <w:tcBorders>
              <w:bottom w:val="single" w:sz="8" w:color="2C2C2C"/>
            </w:tcBorders>
            <w:gridSpan w:val="4"/>
          </w:tcPr>
          <w:p>
            <w:pPr>
              <w:ind w:left="100"/>
              <w:spacing w:after="0"/>
              <w:rPr>
                <w:sz w:val="20"/>
                <w:szCs w:val="20"/>
                <w:color w:val="auto"/>
              </w:rPr>
            </w:pPr>
            <w:r>
              <w:rPr>
                <w:rFonts w:ascii="Arial" w:cs="Arial" w:eastAsia="Arial" w:hAnsi="Arial"/>
                <w:sz w:val="14"/>
                <w:szCs w:val="14"/>
                <w:color w:val="0000FF"/>
                <w:w w:val="91"/>
              </w:rPr>
              <w:t>06/21/2015</w:t>
            </w:r>
          </w:p>
        </w:tc>
        <w:tc>
          <w:tcPr>
            <w:tcW w:w="198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7"/>
              </w:rPr>
              <w:t>Common Stock</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194,202</w:t>
            </w:r>
            <w:r>
              <w:rPr>
                <w:rFonts w:ascii="Arial" w:cs="Arial" w:eastAsia="Arial" w:hAnsi="Arial"/>
                <w:sz w:val="22"/>
                <w:szCs w:val="22"/>
                <w:color w:val="008000"/>
                <w:vertAlign w:val="superscript"/>
              </w:rPr>
              <w:t>(3)</w:t>
            </w:r>
          </w:p>
        </w:tc>
        <w:tc>
          <w:tcPr>
            <w:tcW w:w="90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5.06</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(3)(4)(5)</w:t>
            </w: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0" w:type="dxa"/>
            <w:vAlign w:val="bottom"/>
            <w:gridSpan w:val="7"/>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Iroquois Capital Management, LLC</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(First)</w:t>
            </w:r>
          </w:p>
        </w:tc>
        <w:tc>
          <w:tcPr>
            <w:tcW w:w="146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641 LEXINGTON AVENUE</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0000FF"/>
              </w:rPr>
              <w:t>26TH FLOOR</w:t>
            </w: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2"/>
          </w:tcPr>
          <w:p>
            <w:pPr>
              <w:ind w:left="120"/>
              <w:spacing w:after="0"/>
              <w:rPr>
                <w:sz w:val="20"/>
                <w:szCs w:val="20"/>
                <w:color w:val="auto"/>
              </w:rPr>
            </w:pPr>
            <w:r>
              <w:rPr>
                <w:rFonts w:ascii="Arial" w:cs="Arial" w:eastAsia="Arial" w:hAnsi="Arial"/>
                <w:sz w:val="18"/>
                <w:szCs w:val="18"/>
                <w:color w:val="0000FF"/>
              </w:rPr>
              <w:t>NY</w:t>
            </w:r>
          </w:p>
        </w:tc>
        <w:tc>
          <w:tcPr>
            <w:tcW w:w="1460" w:type="dxa"/>
            <w:vAlign w:val="bottom"/>
            <w:gridSpan w:val="3"/>
          </w:tcPr>
          <w:p>
            <w:pPr>
              <w:ind w:left="180"/>
              <w:spacing w:after="0"/>
              <w:rPr>
                <w:sz w:val="20"/>
                <w:szCs w:val="20"/>
                <w:color w:val="auto"/>
              </w:rPr>
            </w:pPr>
            <w:r>
              <w:rPr>
                <w:rFonts w:ascii="Arial" w:cs="Arial" w:eastAsia="Arial" w:hAnsi="Arial"/>
                <w:sz w:val="18"/>
                <w:szCs w:val="18"/>
                <w:color w:val="0000FF"/>
              </w:rPr>
              <w:t>10022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2"/>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(State)</w:t>
            </w:r>
          </w:p>
        </w:tc>
        <w:tc>
          <w:tcPr>
            <w:tcW w:w="146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Silverman Joshua</w:t>
              </w:r>
            </w:hyperlink>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(First)</w:t>
            </w:r>
          </w:p>
        </w:tc>
        <w:tc>
          <w:tcPr>
            <w:tcW w:w="146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641 LEXINGTON AVENUE</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0000FF"/>
              </w:rPr>
              <w:t>26TH FLOOR</w:t>
            </w: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2"/>
          </w:tcPr>
          <w:p>
            <w:pPr>
              <w:ind w:left="120"/>
              <w:spacing w:after="0"/>
              <w:rPr>
                <w:sz w:val="20"/>
                <w:szCs w:val="20"/>
                <w:color w:val="auto"/>
              </w:rPr>
            </w:pPr>
            <w:r>
              <w:rPr>
                <w:rFonts w:ascii="Arial" w:cs="Arial" w:eastAsia="Arial" w:hAnsi="Arial"/>
                <w:sz w:val="18"/>
                <w:szCs w:val="18"/>
                <w:color w:val="0000FF"/>
              </w:rPr>
              <w:t>NY</w:t>
            </w:r>
          </w:p>
        </w:tc>
        <w:tc>
          <w:tcPr>
            <w:tcW w:w="1460" w:type="dxa"/>
            <w:vAlign w:val="bottom"/>
            <w:gridSpan w:val="3"/>
          </w:tcPr>
          <w:p>
            <w:pPr>
              <w:ind w:left="180"/>
              <w:spacing w:after="0"/>
              <w:rPr>
                <w:sz w:val="20"/>
                <w:szCs w:val="20"/>
                <w:color w:val="auto"/>
              </w:rPr>
            </w:pPr>
            <w:r>
              <w:rPr>
                <w:rFonts w:ascii="Arial" w:cs="Arial" w:eastAsia="Arial" w:hAnsi="Arial"/>
                <w:sz w:val="18"/>
                <w:szCs w:val="18"/>
                <w:color w:val="0000FF"/>
              </w:rPr>
              <w:t>10022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2"/>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(State)</w:t>
            </w:r>
          </w:p>
        </w:tc>
        <w:tc>
          <w:tcPr>
            <w:tcW w:w="146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spacing w:after="0" w:line="224" w:lineRule="exact"/>
              <w:rPr>
                <w:rFonts w:ascii="Arial" w:cs="Arial" w:eastAsia="Arial" w:hAnsi="Arial"/>
                <w:sz w:val="22"/>
                <w:szCs w:val="22"/>
                <w:color w:val="0000EE"/>
                <w:w w:val="99"/>
              </w:rPr>
            </w:pPr>
            <w:hyperlink r:id="rId14">
              <w:r>
                <w:rPr>
                  <w:rFonts w:ascii="Arial" w:cs="Arial" w:eastAsia="Arial" w:hAnsi="Arial"/>
                  <w:sz w:val="22"/>
                  <w:szCs w:val="22"/>
                  <w:color w:val="0000EE"/>
                  <w:w w:val="99"/>
                </w:rPr>
                <w:t>Abbe Richard</w:t>
              </w:r>
            </w:hyperlink>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(First)</w:t>
            </w:r>
          </w:p>
        </w:tc>
        <w:tc>
          <w:tcPr>
            <w:tcW w:w="146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641 LEXINGTON AVENUE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26TH FLOOR</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647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6470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200"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675,849 Shares (as defined below) are held by Iroquois Master Fund Ltd., a Cayman Islands corporation ("Iroquois Master Fund"). 241,173 Shares are held by Iroquois Capital Management L.L.C., a Delaware limited liability company ("Iroquois Capital"). 4,791 Shares are held by Richard Abbe, a citizen of the United States of America ("Mr. Abbe"), as UGMA custodian for Mr. Abbe's three children. 4,791 Shares are held by American Capital Management LLC, as to which Mr. Abbe and Joshua Silverman, a citizen of the United States of America ("Mr. Silverman"), may be deemed to have a pecuniary interest. "Shares" are shares of the Issuer's common stock, par value $0.01 per share.</w:t>
      </w:r>
    </w:p>
    <w:p>
      <w:pPr>
        <w:spacing w:after="0" w:line="31" w:lineRule="exact"/>
        <w:rPr>
          <w:rFonts w:ascii="Arial" w:cs="Arial" w:eastAsia="Arial" w:hAnsi="Arial"/>
          <w:sz w:val="14"/>
          <w:szCs w:val="14"/>
          <w:color w:val="008000"/>
        </w:rPr>
      </w:pPr>
    </w:p>
    <w:p>
      <w:pPr>
        <w:ind w:firstLine="9"/>
        <w:spacing w:after="0" w:line="28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97,101 Shares are issuable upon exercise of a warrant (the "First Master Fund Warrant") held by Iroquois Master Fund. However, the First Master Fund Warrant is not currently exercisable because the terms of the First Master Fund Warrant contain a so-called "blocker provision" under which the holder thereof does not have the right to exercise the First Master Fund Warrant to the extent (but only to the extent) that such exercise would result in beneficial ownership by the holder thereof or any of its affiliates of more than 4.99% of the Shares.</w:t>
      </w:r>
    </w:p>
    <w:p>
      <w:pPr>
        <w:spacing w:after="0" w:line="2" w:lineRule="exact"/>
        <w:rPr>
          <w:rFonts w:ascii="Arial" w:cs="Arial" w:eastAsia="Arial" w:hAnsi="Arial"/>
          <w:sz w:val="12"/>
          <w:szCs w:val="12"/>
          <w:color w:val="008000"/>
        </w:rPr>
      </w:pPr>
    </w:p>
    <w:p>
      <w:pPr>
        <w:ind w:right="140" w:firstLine="9"/>
        <w:spacing w:after="0" w:line="28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194,202 Shares are issuable upon exercise of a second warrant (the "Second Master Fund Warrant") held by Iroquois Master Fund. However, the Second Master Fund Warrant is not currently exercisable because the terms of the Second Master Fund Warrant contain a so-called "blocker provision" under which the holder thereof does not have the right to exercise the Second Master Fund Warrant to the extent (but only to the extent) that such exercise would result in beneficial ownership by the holder thereof or any of its affiliates of more than 4.99% of the Shares.</w:t>
      </w:r>
    </w:p>
    <w:p>
      <w:pPr>
        <w:spacing w:after="0" w:line="2" w:lineRule="exact"/>
        <w:rPr>
          <w:rFonts w:ascii="Arial" w:cs="Arial" w:eastAsia="Arial" w:hAnsi="Arial"/>
          <w:sz w:val="12"/>
          <w:szCs w:val="12"/>
          <w:color w:val="008000"/>
        </w:rPr>
      </w:pPr>
    </w:p>
    <w:p>
      <w:pPr>
        <w:jc w:val="both"/>
        <w:ind w:right="20"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Iroquois Capital is the investment manager of Iroquois Master Fund. Consequently, Iroquois Capital has voting control and investment discretion over securities held by Iroquois Master Fund. As managing members of Iroquois Capital, Mr. Silverman and Mr. Abbe make voting and investment decisions on behalf of Iroquois Capital in its capacity as investment manager to Iroquois Master Fund. As a result of the foregoing, Mr. Silverman and Mr. Abbe may be deemed to have beneficial ownership (as determined under Section 13(d) of the Securities Exchange Act of 1934, as amended) of the securities held by Iroquois Master Fund.</w:t>
      </w:r>
    </w:p>
    <w:p>
      <w:pPr>
        <w:spacing w:after="0" w:line="3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Iroquois Capital, Mr. Abbe and Mr. Silverman disclaim beneficial ownership of these Shares except to the extent of their pecuniary interest in these Shares.</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200" w:type="dxa"/>
            <w:vAlign w:val="bottom"/>
            <w:gridSpan w:val="7"/>
          </w:tcPr>
          <w:p>
            <w:pPr>
              <w:spacing w:after="0"/>
              <w:rPr>
                <w:sz w:val="20"/>
                <w:szCs w:val="20"/>
                <w:color w:val="auto"/>
              </w:rPr>
            </w:pPr>
            <w:r>
              <w:rPr>
                <w:rFonts w:ascii="Arial" w:cs="Arial" w:eastAsia="Arial" w:hAnsi="Arial"/>
                <w:sz w:val="18"/>
                <w:szCs w:val="18"/>
                <w:color w:val="0000FF"/>
                <w:w w:val="92"/>
              </w:rPr>
              <w:t>Iroquois Capital Management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0000FF"/>
              </w:rPr>
              <w:t>L.L.C., By: /s/ Joshua</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07/05/2011</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gridSpan w:val="7"/>
            <w:vMerge w:val="restart"/>
          </w:tcPr>
          <w:p>
            <w:pPr>
              <w:spacing w:after="0" w:line="196" w:lineRule="exact"/>
              <w:rPr>
                <w:sz w:val="20"/>
                <w:szCs w:val="20"/>
                <w:color w:val="auto"/>
              </w:rPr>
            </w:pPr>
            <w:r>
              <w:rPr>
                <w:rFonts w:ascii="Arial" w:cs="Arial" w:eastAsia="Arial" w:hAnsi="Arial"/>
                <w:sz w:val="18"/>
                <w:szCs w:val="18"/>
                <w:color w:val="0000FF"/>
              </w:rPr>
              <w:t>Silverman, Authorized</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Signatory</w:t>
            </w:r>
          </w:p>
        </w:tc>
        <w:tc>
          <w:tcPr>
            <w:tcW w:w="900" w:type="dxa"/>
            <w:vAlign w:val="bottom"/>
            <w:tcBorders>
              <w:top w:val="single" w:sz="8" w:color="auto"/>
            </w:tcBorders>
            <w:gridSpan w:val="4"/>
          </w:tcPr>
          <w:p>
            <w:pPr>
              <w:spacing w:after="0"/>
              <w:rPr>
                <w:sz w:val="17"/>
                <w:szCs w:val="17"/>
                <w:color w:val="auto"/>
              </w:rPr>
            </w:pPr>
          </w:p>
        </w:tc>
        <w:tc>
          <w:tcPr>
            <w:tcW w:w="6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0" w:type="dxa"/>
            <w:vAlign w:val="bottom"/>
            <w:gridSpan w:val="7"/>
          </w:tcPr>
          <w:p>
            <w:pPr>
              <w:spacing w:after="0"/>
              <w:rPr>
                <w:sz w:val="20"/>
                <w:szCs w:val="20"/>
                <w:color w:val="auto"/>
              </w:rPr>
            </w:pPr>
            <w:r>
              <w:rPr>
                <w:rFonts w:ascii="Arial" w:cs="Arial" w:eastAsia="Arial" w:hAnsi="Arial"/>
                <w:sz w:val="18"/>
                <w:szCs w:val="18"/>
                <w:color w:val="0000FF"/>
              </w:rPr>
              <w:t>/s/ Joshua Silverman</w:t>
            </w:r>
          </w:p>
        </w:tc>
        <w:tc>
          <w:tcPr>
            <w:tcW w:w="880" w:type="dxa"/>
            <w:vAlign w:val="bottom"/>
            <w:gridSpan w:val="2"/>
          </w:tcPr>
          <w:p>
            <w:pPr>
              <w:ind w:left="100"/>
              <w:spacing w:after="0"/>
              <w:rPr>
                <w:sz w:val="20"/>
                <w:szCs w:val="20"/>
                <w:color w:val="auto"/>
              </w:rPr>
            </w:pPr>
            <w:r>
              <w:rPr>
                <w:rFonts w:ascii="Arial" w:cs="Arial" w:eastAsia="Arial" w:hAnsi="Arial"/>
                <w:sz w:val="18"/>
                <w:szCs w:val="18"/>
                <w:color w:val="0000FF"/>
                <w:w w:val="84"/>
              </w:rPr>
              <w:t>07/05/2011</w:t>
            </w: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0000FF"/>
                <w:w w:val="88"/>
              </w:rPr>
              <w:t>/s/ Richard Abbe</w:t>
            </w:r>
          </w:p>
        </w:tc>
        <w:tc>
          <w:tcPr>
            <w:tcW w:w="260" w:type="dxa"/>
            <w:vAlign w:val="bottom"/>
          </w:tcPr>
          <w:p>
            <w:pPr>
              <w:spacing w:after="0"/>
              <w:rPr>
                <w:sz w:val="21"/>
                <w:szCs w:val="21"/>
                <w:color w:val="auto"/>
              </w:rPr>
            </w:pPr>
          </w:p>
        </w:tc>
        <w:tc>
          <w:tcPr>
            <w:tcW w:w="740" w:type="dxa"/>
            <w:vAlign w:val="bottom"/>
            <w:gridSpan w:val="4"/>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0000FF"/>
                <w:w w:val="84"/>
              </w:rPr>
              <w:t>07/05/2011</w:t>
            </w: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7"/>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50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1" Type="http://schemas.openxmlformats.org/officeDocument/2006/relationships/hyperlink" Target="http://www.sec.gov/cgi-bin/browse-edgar?action=getcompany&amp;CIK=0001481867" TargetMode="External"/><Relationship Id="rId12" Type="http://schemas.openxmlformats.org/officeDocument/2006/relationships/hyperlink" Target="http://www.sec.gov/cgi-bin/browse-edgar?action=getcompany&amp;CIK=0001410428" TargetMode="External"/><Relationship Id="rId13" Type="http://schemas.openxmlformats.org/officeDocument/2006/relationships/hyperlink" Target="http://www.sec.gov/cgi-bin/browse-edgar?action=getcompany&amp;CIK=0001524858" TargetMode="External"/><Relationship Id="rId14" Type="http://schemas.openxmlformats.org/officeDocument/2006/relationships/hyperlink" Target="http://www.sec.gov/cgi-bin/browse-edgar?action=getcompany&amp;CIK=0001524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2019-12-18T02:20:21Z</dcterms:created>
  <dcterms:modified xsi:type="dcterms:W3CDTF">2019-12-18T02:20:21Z</dcterms:modified>
</cp:coreProperties>
</file>