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Washington, D.C. 20549</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rPr>
              <w:t>FORM 8-K</w:t>
            </w:r>
          </w:p>
        </w:tc>
        <w:tc>
          <w:tcPr>
            <w:tcW w:w="168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Date of Report (Date of earliest event reported): June 11, 2014</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rPr>
              <w:t>VRINGO, INC.</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41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780 Third Avenue, 15</w:t>
            </w:r>
            <w:r>
              <w:rPr>
                <w:rFonts w:ascii="Arial" w:cs="Arial" w:eastAsia="Arial" w:hAnsi="Arial"/>
                <w:sz w:val="30"/>
                <w:szCs w:val="30"/>
                <w:b w:val="1"/>
                <w:bCs w:val="1"/>
                <w:color w:val="auto"/>
                <w:w w:val="90"/>
                <w:vertAlign w:val="superscript"/>
              </w:rPr>
              <w:t>th</w:t>
            </w:r>
            <w:r>
              <w:rPr>
                <w:rFonts w:ascii="Arial" w:cs="Arial" w:eastAsia="Arial" w:hAnsi="Arial"/>
                <w:sz w:val="18"/>
                <w:szCs w:val="18"/>
                <w:b w:val="1"/>
                <w:bCs w:val="1"/>
                <w:color w:val="auto"/>
                <w:w w:val="90"/>
              </w:rPr>
              <w:t xml:space="preserve"> Floor, New York, New York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5" w:lineRule="exact"/>
        <w:rPr>
          <w:sz w:val="20"/>
          <w:szCs w:val="20"/>
          <w:color w:val="auto"/>
        </w:rPr>
      </w:pPr>
    </w:p>
    <w:p>
      <w:pPr>
        <w:ind w:right="160" w:firstLine="8"/>
        <w:spacing w:after="0" w:line="347" w:lineRule="auto"/>
        <w:tabs>
          <w:tab w:leader="none" w:pos="65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June 11, 2014, the Company held its 2014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At the Annual Meeting, 65,017,008 votes were present in person or represented by proxy, which represented 75.15% of the total outstanding eligible votes as of the record date of April 21, 2014.</w:t>
      </w:r>
    </w:p>
    <w:p>
      <w:pPr>
        <w:spacing w:after="0" w:line="120" w:lineRule="exact"/>
        <w:rPr>
          <w:rFonts w:ascii="Arial" w:cs="Arial" w:eastAsia="Arial" w:hAnsi="Arial"/>
          <w:sz w:val="16"/>
          <w:szCs w:val="16"/>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actions were taken in the Annual Meeting:</w:t>
      </w:r>
    </w:p>
    <w:p>
      <w:pPr>
        <w:spacing w:after="0" w:line="225" w:lineRule="exact"/>
        <w:rPr>
          <w:sz w:val="20"/>
          <w:szCs w:val="20"/>
          <w:color w:val="auto"/>
        </w:rPr>
      </w:pPr>
    </w:p>
    <w:p>
      <w:pPr>
        <w:ind w:left="300" w:right="200" w:hanging="292"/>
        <w:spacing w:after="0" w:line="277" w:lineRule="auto"/>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eight nominees were elected to serve on the Company’s board of directors until the Company’s 2015 annual meeting of stockholders and until their successors are duly elected and qualified, based on the following votes:</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780" w:type="dxa"/>
            <w:vAlign w:val="bottom"/>
            <w:gridSpan w:val="2"/>
          </w:tcPr>
          <w:p>
            <w:pPr>
              <w:ind w:left="220"/>
              <w:spacing w:after="0"/>
              <w:rPr>
                <w:sz w:val="20"/>
                <w:szCs w:val="20"/>
                <w:color w:val="auto"/>
              </w:rPr>
            </w:pPr>
            <w:r>
              <w:rPr>
                <w:rFonts w:ascii="Arial" w:cs="Arial" w:eastAsia="Arial" w:hAnsi="Arial"/>
                <w:sz w:val="18"/>
                <w:szCs w:val="18"/>
                <w:color w:val="auto"/>
              </w:rPr>
              <w:t>Name of Director</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780" w:type="dxa"/>
            <w:vAlign w:val="bottom"/>
            <w:gridSpan w:val="2"/>
          </w:tcPr>
          <w:p>
            <w:pPr>
              <w:ind w:left="480"/>
              <w:spacing w:after="0"/>
              <w:rPr>
                <w:sz w:val="20"/>
                <w:szCs w:val="20"/>
                <w:color w:val="auto"/>
              </w:rPr>
            </w:pPr>
            <w:r>
              <w:rPr>
                <w:rFonts w:ascii="Arial" w:cs="Arial" w:eastAsia="Arial" w:hAnsi="Arial"/>
                <w:sz w:val="18"/>
                <w:szCs w:val="18"/>
                <w:color w:val="auto"/>
              </w:rPr>
              <w:t>Nominees</w:t>
            </w:r>
          </w:p>
        </w:tc>
        <w:tc>
          <w:tcPr>
            <w:tcW w:w="17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Votes For</w:t>
            </w:r>
          </w:p>
        </w:tc>
        <w:tc>
          <w:tcPr>
            <w:tcW w:w="17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Votes Withheld</w:t>
            </w:r>
          </w:p>
        </w:tc>
        <w:tc>
          <w:tcPr>
            <w:tcW w:w="1640" w:type="dxa"/>
            <w:vAlign w:val="bottom"/>
          </w:tcPr>
          <w:p>
            <w:pPr>
              <w:jc w:val="center"/>
              <w:spacing w:after="0"/>
              <w:rPr>
                <w:sz w:val="20"/>
                <w:szCs w:val="20"/>
                <w:color w:val="auto"/>
              </w:rPr>
            </w:pPr>
            <w:r>
              <w:rPr>
                <w:rFonts w:ascii="Arial" w:cs="Arial" w:eastAsia="Arial" w:hAnsi="Arial"/>
                <w:sz w:val="18"/>
                <w:szCs w:val="18"/>
                <w:color w:val="auto"/>
                <w:w w:val="92"/>
              </w:rPr>
              <w:t>Broker Non-Vote</w:t>
            </w:r>
          </w:p>
        </w:tc>
      </w:tr>
      <w:tr>
        <w:trPr>
          <w:trHeight w:val="210"/>
        </w:trPr>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Andrew D. Perlman</w:t>
            </w:r>
          </w:p>
        </w:tc>
        <w:tc>
          <w:tcPr>
            <w:tcW w:w="8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20,552,997</w:t>
            </w:r>
          </w:p>
        </w:tc>
        <w:tc>
          <w:tcPr>
            <w:tcW w:w="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3,258,047</w:t>
            </w:r>
          </w:p>
        </w:tc>
        <w:tc>
          <w:tcPr>
            <w:tcW w:w="6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43,669,866</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John Engelman</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22,143,702</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1,667,342</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43,669,866</w:t>
            </w: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Andrew Kennedy Lang</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20,843,654</w:t>
            </w: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2,967,390</w:t>
            </w: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43,669,866</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Alexander R. Berger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20,568,518</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3,242,526</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43,669,866</w:t>
            </w: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E. Stout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20,807,012</w:t>
            </w: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3,004,032</w:t>
            </w: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43,669,866</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H. Van Sinclair</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22,113,225</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1,697,819</w:t>
            </w:r>
          </w:p>
        </w:tc>
        <w:tc>
          <w:tcPr>
            <w:tcW w:w="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43,669,866</w:t>
            </w: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Ashley C. Keller</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22,112,552</w:t>
            </w: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1,698,492</w:t>
            </w: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43,669,866</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Noel J. Spiegel</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22,163,339</w:t>
            </w:r>
          </w:p>
        </w:tc>
        <w:tc>
          <w:tcPr>
            <w:tcW w:w="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1,647,705</w:t>
            </w:r>
          </w:p>
        </w:tc>
        <w:tc>
          <w:tcPr>
            <w:tcW w:w="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43,669,866</w:t>
            </w:r>
          </w:p>
        </w:tc>
      </w:tr>
    </w:tbl>
    <w:p>
      <w:pPr>
        <w:spacing w:after="0" w:line="187" w:lineRule="exact"/>
        <w:rPr>
          <w:sz w:val="20"/>
          <w:szCs w:val="20"/>
          <w:color w:val="auto"/>
        </w:rPr>
      </w:pPr>
    </w:p>
    <w:p>
      <w:pPr>
        <w:ind w:left="300" w:right="20" w:hanging="292"/>
        <w:spacing w:after="0" w:line="277" w:lineRule="auto"/>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selection of KPMG LLP, as the Company’s independent registered public accounting firm for the fiscal year ending December 31, 2014, was ratified,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760" w:type="dxa"/>
            <w:vAlign w:val="bottom"/>
            <w:gridSpan w:val="2"/>
          </w:tcPr>
          <w:p>
            <w:pPr>
              <w:jc w:val="center"/>
              <w:ind w:right="2060"/>
              <w:spacing w:after="0"/>
              <w:rPr>
                <w:sz w:val="20"/>
                <w:szCs w:val="20"/>
                <w:color w:val="auto"/>
              </w:rPr>
            </w:pPr>
            <w:r>
              <w:rPr>
                <w:rFonts w:ascii="Arial" w:cs="Arial" w:eastAsia="Arial" w:hAnsi="Arial"/>
                <w:sz w:val="18"/>
                <w:szCs w:val="18"/>
                <w:color w:val="auto"/>
                <w:w w:val="89"/>
              </w:rPr>
              <w:t>Votes For</w:t>
            </w:r>
          </w:p>
        </w:tc>
        <w:tc>
          <w:tcPr>
            <w:tcW w:w="2860" w:type="dxa"/>
            <w:vAlign w:val="bottom"/>
            <w:gridSpan w:val="2"/>
          </w:tcPr>
          <w:p>
            <w:pPr>
              <w:jc w:val="center"/>
              <w:ind w:right="1820"/>
              <w:spacing w:after="0"/>
              <w:rPr>
                <w:sz w:val="20"/>
                <w:szCs w:val="20"/>
                <w:color w:val="auto"/>
              </w:rPr>
            </w:pPr>
            <w:r>
              <w:rPr>
                <w:rFonts w:ascii="Arial" w:cs="Arial" w:eastAsia="Arial" w:hAnsi="Arial"/>
                <w:sz w:val="18"/>
                <w:szCs w:val="18"/>
                <w:color w:val="auto"/>
                <w:w w:val="89"/>
              </w:rPr>
              <w:t>Votes Against</w:t>
            </w:r>
          </w:p>
        </w:tc>
        <w:tc>
          <w:tcPr>
            <w:tcW w:w="2680" w:type="dxa"/>
            <w:vAlign w:val="bottom"/>
            <w:gridSpan w:val="2"/>
          </w:tcPr>
          <w:p>
            <w:pPr>
              <w:jc w:val="center"/>
              <w:ind w:right="1680"/>
              <w:spacing w:after="0"/>
              <w:rPr>
                <w:sz w:val="20"/>
                <w:szCs w:val="20"/>
                <w:color w:val="auto"/>
              </w:rPr>
            </w:pPr>
            <w:r>
              <w:rPr>
                <w:rFonts w:ascii="Arial" w:cs="Arial" w:eastAsia="Arial" w:hAnsi="Arial"/>
                <w:sz w:val="18"/>
                <w:szCs w:val="18"/>
                <w:color w:val="auto"/>
                <w:w w:val="89"/>
              </w:rPr>
              <w:t>Votes Abstain</w:t>
            </w:r>
          </w:p>
        </w:tc>
        <w:tc>
          <w:tcPr>
            <w:tcW w:w="198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Broker Non-Vote</w:t>
            </w: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3900" w:type="dxa"/>
            <w:vAlign w:val="bottom"/>
            <w:gridSpan w:val="3"/>
            <w:shd w:val="clear" w:color="auto" w:fill="CCEEFF"/>
          </w:tcPr>
          <w:p>
            <w:pPr>
              <w:jc w:val="right"/>
              <w:ind w:right="2000"/>
              <w:spacing w:after="0"/>
              <w:rPr>
                <w:sz w:val="20"/>
                <w:szCs w:val="20"/>
                <w:color w:val="auto"/>
              </w:rPr>
            </w:pPr>
            <w:r>
              <w:rPr>
                <w:rFonts w:ascii="Arial" w:cs="Arial" w:eastAsia="Arial" w:hAnsi="Arial"/>
                <w:sz w:val="18"/>
                <w:szCs w:val="18"/>
                <w:color w:val="auto"/>
              </w:rPr>
              <w:t>65,017,008</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741,461</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1,722,441</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300" w:right="340" w:hanging="292"/>
        <w:spacing w:after="0" w:line="277" w:lineRule="auto"/>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compensation of the Company’s named executive officers as disclosed in the proxy statement for the Annual Meeting was approved, on advisory basis, based on the following votes: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2760" w:type="dxa"/>
            <w:vAlign w:val="bottom"/>
            <w:gridSpan w:val="2"/>
          </w:tcPr>
          <w:p>
            <w:pPr>
              <w:jc w:val="center"/>
              <w:ind w:right="2060"/>
              <w:spacing w:after="0"/>
              <w:rPr>
                <w:sz w:val="20"/>
                <w:szCs w:val="20"/>
                <w:color w:val="auto"/>
              </w:rPr>
            </w:pPr>
            <w:r>
              <w:rPr>
                <w:rFonts w:ascii="Arial" w:cs="Arial" w:eastAsia="Arial" w:hAnsi="Arial"/>
                <w:sz w:val="18"/>
                <w:szCs w:val="18"/>
                <w:color w:val="auto"/>
                <w:w w:val="89"/>
              </w:rPr>
              <w:t>Votes For</w:t>
            </w:r>
          </w:p>
        </w:tc>
        <w:tc>
          <w:tcPr>
            <w:tcW w:w="2860" w:type="dxa"/>
            <w:vAlign w:val="bottom"/>
            <w:gridSpan w:val="2"/>
          </w:tcPr>
          <w:p>
            <w:pPr>
              <w:jc w:val="center"/>
              <w:ind w:right="1820"/>
              <w:spacing w:after="0"/>
              <w:rPr>
                <w:sz w:val="20"/>
                <w:szCs w:val="20"/>
                <w:color w:val="auto"/>
              </w:rPr>
            </w:pPr>
            <w:r>
              <w:rPr>
                <w:rFonts w:ascii="Arial" w:cs="Arial" w:eastAsia="Arial" w:hAnsi="Arial"/>
                <w:sz w:val="18"/>
                <w:szCs w:val="18"/>
                <w:color w:val="auto"/>
                <w:w w:val="89"/>
              </w:rPr>
              <w:t>Votes Against</w:t>
            </w:r>
          </w:p>
        </w:tc>
        <w:tc>
          <w:tcPr>
            <w:tcW w:w="2680" w:type="dxa"/>
            <w:vAlign w:val="bottom"/>
            <w:gridSpan w:val="2"/>
          </w:tcPr>
          <w:p>
            <w:pPr>
              <w:jc w:val="center"/>
              <w:ind w:right="1680"/>
              <w:spacing w:after="0"/>
              <w:rPr>
                <w:sz w:val="20"/>
                <w:szCs w:val="20"/>
                <w:color w:val="auto"/>
              </w:rPr>
            </w:pPr>
            <w:r>
              <w:rPr>
                <w:rFonts w:ascii="Arial" w:cs="Arial" w:eastAsia="Arial" w:hAnsi="Arial"/>
                <w:sz w:val="18"/>
                <w:szCs w:val="18"/>
                <w:color w:val="auto"/>
                <w:w w:val="89"/>
              </w:rPr>
              <w:t>Votes Abstain</w:t>
            </w:r>
          </w:p>
        </w:tc>
        <w:tc>
          <w:tcPr>
            <w:tcW w:w="1980" w:type="dxa"/>
            <w:vAlign w:val="bottom"/>
            <w:gridSpan w:val="2"/>
          </w:tcPr>
          <w:p>
            <w:pPr>
              <w:jc w:val="center"/>
              <w:ind w:right="740"/>
              <w:spacing w:after="0"/>
              <w:rPr>
                <w:sz w:val="20"/>
                <w:szCs w:val="20"/>
                <w:color w:val="auto"/>
              </w:rPr>
            </w:pPr>
            <w:r>
              <w:rPr>
                <w:rFonts w:ascii="Arial" w:cs="Arial" w:eastAsia="Arial" w:hAnsi="Arial"/>
                <w:sz w:val="18"/>
                <w:szCs w:val="18"/>
                <w:color w:val="auto"/>
                <w:w w:val="92"/>
              </w:rPr>
              <w:t>Broker Non-Vote</w:t>
            </w:r>
          </w:p>
        </w:tc>
      </w:tr>
      <w:tr>
        <w:trPr>
          <w:trHeight w:val="21"/>
        </w:trPr>
        <w:tc>
          <w:tcPr>
            <w:tcW w:w="11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3900" w:type="dxa"/>
            <w:vAlign w:val="bottom"/>
            <w:gridSpan w:val="3"/>
            <w:shd w:val="clear" w:color="auto" w:fill="CCEEFF"/>
          </w:tcPr>
          <w:p>
            <w:pPr>
              <w:jc w:val="right"/>
              <w:ind w:right="2000"/>
              <w:spacing w:after="0"/>
              <w:rPr>
                <w:sz w:val="20"/>
                <w:szCs w:val="20"/>
                <w:color w:val="auto"/>
              </w:rPr>
            </w:pPr>
            <w:r>
              <w:rPr>
                <w:rFonts w:ascii="Arial" w:cs="Arial" w:eastAsia="Arial" w:hAnsi="Arial"/>
                <w:sz w:val="18"/>
                <w:szCs w:val="18"/>
                <w:color w:val="auto"/>
              </w:rPr>
              <w:t>15,438,044</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7,878,793</w:t>
            </w:r>
          </w:p>
        </w:tc>
        <w:tc>
          <w:tcPr>
            <w:tcW w:w="18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494,007</w:t>
            </w:r>
          </w:p>
        </w:tc>
        <w:tc>
          <w:tcPr>
            <w:tcW w:w="16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43,669,866</w:t>
            </w:r>
          </w:p>
        </w:tc>
        <w:tc>
          <w:tcPr>
            <w:tcW w:w="740" w:type="dxa"/>
            <w:vAlign w:val="bottom"/>
            <w:shd w:val="clear" w:color="auto" w:fill="CCEEFF"/>
          </w:tcPr>
          <w:p>
            <w:pPr>
              <w:spacing w:after="0"/>
              <w:rPr>
                <w:sz w:val="18"/>
                <w:szCs w:val="18"/>
                <w:color w:val="auto"/>
              </w:rPr>
            </w:pPr>
          </w:p>
        </w:tc>
      </w:tr>
      <w:tr>
        <w:trPr>
          <w:trHeight w:val="648"/>
        </w:trPr>
        <w:tc>
          <w:tcPr>
            <w:tcW w:w="1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6660" w:type="dxa"/>
            <w:vAlign w:val="bottom"/>
            <w:gridSpan w:val="2"/>
          </w:tcPr>
          <w:p>
            <w:pPr>
              <w:ind w:left="2100"/>
              <w:spacing w:after="0"/>
              <w:rPr>
                <w:sz w:val="20"/>
                <w:szCs w:val="20"/>
                <w:color w:val="auto"/>
              </w:rPr>
            </w:pPr>
            <w:r>
              <w:rPr>
                <w:rFonts w:ascii="Arial" w:cs="Arial" w:eastAsia="Arial" w:hAnsi="Arial"/>
                <w:sz w:val="18"/>
                <w:szCs w:val="18"/>
                <w:b w:val="1"/>
                <w:bCs w:val="1"/>
                <w:color w:val="auto"/>
              </w:rPr>
              <w:t>VRINGO, INC.</w:t>
            </w:r>
          </w:p>
        </w:tc>
        <w:tc>
          <w:tcPr>
            <w:tcW w:w="11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June 11, 2014</w:t>
            </w:r>
          </w:p>
        </w:tc>
        <w:tc>
          <w:tcPr>
            <w:tcW w:w="2680" w:type="dxa"/>
            <w:vAlign w:val="bottom"/>
          </w:tcPr>
          <w:p>
            <w:pPr>
              <w:ind w:left="21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c>
          <w:tcPr>
            <w:tcW w:w="11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c>
          <w:tcPr>
            <w:tcW w:w="11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140" w:type="dxa"/>
            <w:vAlign w:val="bottom"/>
          </w:tcPr>
          <w:p>
            <w:pPr>
              <w:spacing w:after="0"/>
              <w:rPr>
                <w:sz w:val="20"/>
                <w:szCs w:val="20"/>
                <w:color w:val="auto"/>
              </w:rPr>
            </w:pPr>
          </w:p>
        </w:tc>
      </w:tr>
      <w:tr>
        <w:trPr>
          <w:trHeight w:val="648"/>
        </w:trPr>
        <w:tc>
          <w:tcPr>
            <w:tcW w:w="36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2019-12-07T16:22:11Z</dcterms:created>
  <dcterms:modified xsi:type="dcterms:W3CDTF">2019-12-07T16:22:11Z</dcterms:modified>
</cp:coreProperties>
</file>