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October 4, 2012</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00"/>
          </w:cols>
          <w:pgMar w:left="240" w:top="931" w:right="35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5000" w:space="720"/>
            <w:col w:w="2920" w:space="720"/>
            <w:col w:w="1940"/>
          </w:cols>
          <w:pgMar w:left="240" w:top="931" w:right="359" w:bottom="1440" w:gutter="0" w:footer="0" w:header="0"/>
          <w:type w:val="continuous"/>
        </w:sectPr>
      </w:pP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780 Third Avenue, 15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(212) 309-7549</w:t>
      </w:r>
    </w:p>
    <w:p>
      <w:pPr>
        <w:sectPr>
          <w:pgSz w:w="11900" w:h="16838" w:orient="portrait"/>
          <w:cols w:equalWidth="0" w:num="1">
            <w:col w:w="11300"/>
          </w:cols>
          <w:pgMar w:left="240" w:top="931" w:right="359" w:bottom="1440" w:gutter="0" w:footer="0" w:header="0"/>
          <w:type w:val="continuous"/>
        </w:sect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975360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Registered Direct Financing</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October 4, 2012, Vringo, Inc. (the “Company”) entered into Subscription Agreements with several investors with respect to the registered direct offer and sale by the Company of an aggregate of 10,344,998 shares of the Company’s common stock, par value $0.01 per share (the “Shares”), at a purchase price of $4.35 per share in a privately negotiated transaction in which no party is acting as an underwriter or placement agent. The sale of the Shares is expected to settle on or about October 9, 2012. The net proceeds to the Company are expected to be approximately $44.9 million after deducting estimated offering expenses payable by the Company. The Company intends to use the net proceeds from this offering for general corporate working capital purposes.</w:t>
      </w:r>
    </w:p>
    <w:p>
      <w:pPr>
        <w:spacing w:after="0" w:line="15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sale and issuance of the Shares is being made pursuant to a prospectus supplement dated October 4, 2012 and an accompanying prospectus dated August 2, 2012, pursuant to the Company’s existing effective “shelf” registration statement on Form S-3 (File No. 333-182823), which was filed with the Securities and Exchange Commission (the “Commission”) on July 24, 2012 and declared effective by the Commission on August 2, 2012.</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 copy of the opinion of Mintz, Levin, Cohn, Ferris, Glovsky and Popeo, P.C. relating to the legality of the issuance and sale of the Shares is attached as Exhibit 5.1 hereto. A copy of the form of Subscription Agreement is filed herewith as Exhibit 10.1 and is incorporated herein by reference. The foregoing description of the sale of the Shares by the Company and the documentation related thereto does not purport to be complete and is qualified in its entirety by reference to such Exhibits.</w:t>
      </w:r>
    </w:p>
    <w:p>
      <w:pPr>
        <w:spacing w:after="0" w:line="18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sale of the Shares as described in Item 1.01 of this Current Report on Form 8-K, the Company issued a press release. A copy of the press release is filed as Exhibit 99.1 to this Current Report on Form 8-K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 Exhibits.</w:t>
            </w:r>
          </w:p>
        </w:tc>
        <w:tc>
          <w:tcPr>
            <w:tcW w:w="1034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34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34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5.1</w:t>
            </w:r>
          </w:p>
        </w:tc>
        <w:tc>
          <w:tcPr>
            <w:tcW w:w="10340" w:type="dxa"/>
            <w:vAlign w:val="bottom"/>
          </w:tcPr>
          <w:p>
            <w:pPr>
              <w:ind w:left="180"/>
              <w:spacing w:after="0"/>
              <w:rPr>
                <w:sz w:val="20"/>
                <w:szCs w:val="20"/>
                <w:color w:val="auto"/>
              </w:rPr>
            </w:pPr>
            <w:r>
              <w:rPr>
                <w:rFonts w:ascii="Arial" w:cs="Arial" w:eastAsia="Arial" w:hAnsi="Arial"/>
                <w:sz w:val="18"/>
                <w:szCs w:val="18"/>
                <w:color w:val="auto"/>
              </w:rPr>
              <w:t>Opinion of Mintz, Levin, Cohn, Ferris, Glovsky and Popeo, P.C.</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340" w:type="dxa"/>
            <w:vAlign w:val="bottom"/>
          </w:tcPr>
          <w:p>
            <w:pPr>
              <w:ind w:left="180"/>
              <w:spacing w:after="0"/>
              <w:rPr>
                <w:sz w:val="20"/>
                <w:szCs w:val="20"/>
                <w:color w:val="auto"/>
              </w:rPr>
            </w:pPr>
            <w:r>
              <w:rPr>
                <w:rFonts w:ascii="Arial" w:cs="Arial" w:eastAsia="Arial" w:hAnsi="Arial"/>
                <w:sz w:val="18"/>
                <w:szCs w:val="18"/>
                <w:color w:val="auto"/>
              </w:rPr>
              <w:t>Form of Subscription Agreement, dated October 4, 2012, by and between Vringo, Inc. and each of the investors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tcPr>
          <w:p>
            <w:pPr>
              <w:ind w:left="180"/>
              <w:spacing w:after="0"/>
              <w:rPr>
                <w:sz w:val="20"/>
                <w:szCs w:val="20"/>
                <w:color w:val="auto"/>
              </w:rPr>
            </w:pPr>
            <w:r>
              <w:rPr>
                <w:rFonts w:ascii="Arial" w:cs="Arial" w:eastAsia="Arial" w:hAnsi="Arial"/>
                <w:sz w:val="18"/>
                <w:szCs w:val="18"/>
                <w:color w:val="auto"/>
              </w:rPr>
              <w:t>Consent of Mintz, Levin, Cohn, Ferris, Glovsky and Popeo, P.C. (included in the opinion filed as Exhibit 5.1)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340" w:type="dxa"/>
            <w:vAlign w:val="bottom"/>
          </w:tcPr>
          <w:p>
            <w:pPr>
              <w:ind w:left="180"/>
              <w:spacing w:after="0"/>
              <w:rPr>
                <w:sz w:val="20"/>
                <w:szCs w:val="20"/>
                <w:color w:val="auto"/>
              </w:rPr>
            </w:pPr>
            <w:r>
              <w:rPr>
                <w:rFonts w:ascii="Arial" w:cs="Arial" w:eastAsia="Arial" w:hAnsi="Arial"/>
                <w:sz w:val="18"/>
                <w:szCs w:val="18"/>
                <w:color w:val="auto"/>
                <w:w w:val="96"/>
              </w:rPr>
              <w:t>Press release, dated October 5, 2012, announcing the sale of shares of common stock by the company in a registered direct offering</w:t>
            </w:r>
          </w:p>
        </w:tc>
      </w:tr>
      <w:tr>
        <w:trPr>
          <w:trHeight w:val="864"/>
        </w:trPr>
        <w:tc>
          <w:tcPr>
            <w:tcW w:w="108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7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October 5, 2012</w:t>
            </w:r>
          </w:p>
        </w:tc>
        <w:tc>
          <w:tcPr>
            <w:tcW w:w="3300" w:type="dxa"/>
            <w:vAlign w:val="bottom"/>
          </w:tcPr>
          <w:p>
            <w:pPr>
              <w:ind w:left="2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3</w:t>
            </w: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i w:val="1"/>
          <w:iCs w:val="1"/>
          <w:color w:val="auto"/>
        </w:rPr>
        <w:t>666 Third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-121920</wp:posOffset>
            </wp:positionV>
            <wp:extent cx="1337945" cy="214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7945" cy="214630"/>
                    </a:xfrm>
                    <a:prstGeom prst="rect">
                      <a:avLst/>
                    </a:prstGeom>
                    <a:noFill/>
                  </pic:spPr>
                </pic:pic>
              </a:graphicData>
            </a:graphic>
          </wp:anchor>
        </w:drawing>
      </w:r>
    </w:p>
    <w:p>
      <w:pPr>
        <w:jc w:val="right"/>
        <w:spacing w:after="0" w:line="180" w:lineRule="auto"/>
        <w:rPr>
          <w:sz w:val="20"/>
          <w:szCs w:val="20"/>
          <w:color w:val="auto"/>
        </w:rPr>
      </w:pPr>
      <w:r>
        <w:rPr>
          <w:rFonts w:ascii="Arial" w:cs="Arial" w:eastAsia="Arial" w:hAnsi="Arial"/>
          <w:sz w:val="17"/>
          <w:szCs w:val="17"/>
          <w:i w:val="1"/>
          <w:iCs w:val="1"/>
          <w:color w:val="auto"/>
        </w:rPr>
        <w:t>New York, New York 10017</w:t>
      </w:r>
    </w:p>
    <w:p>
      <w:pPr>
        <w:ind w:left="80"/>
        <w:spacing w:after="0"/>
        <w:tabs>
          <w:tab w:leader="none" w:pos="10380" w:val="left"/>
        </w:tabs>
        <w:rPr>
          <w:sz w:val="20"/>
          <w:szCs w:val="20"/>
          <w:color w:val="auto"/>
        </w:rPr>
      </w:pPr>
      <w:r>
        <w:rPr>
          <w:rFonts w:ascii="Arial" w:cs="Arial" w:eastAsia="Arial" w:hAnsi="Arial"/>
          <w:sz w:val="18"/>
          <w:szCs w:val="18"/>
          <w:b w:val="1"/>
          <w:bCs w:val="1"/>
          <w:i w:val="1"/>
          <w:iCs w:val="1"/>
          <w:color w:val="auto"/>
        </w:rPr>
        <w:t>Mintz, Levin, Cohn, Ferris, Glovsky and Popeo, P.C.</w:t>
      </w:r>
      <w:r>
        <w:rPr>
          <w:sz w:val="20"/>
          <w:szCs w:val="20"/>
          <w:color w:val="auto"/>
        </w:rPr>
        <w:tab/>
      </w:r>
      <w:r>
        <w:rPr>
          <w:rFonts w:ascii="Arial" w:cs="Arial" w:eastAsia="Arial" w:hAnsi="Arial"/>
          <w:sz w:val="24"/>
          <w:szCs w:val="24"/>
          <w:i w:val="1"/>
          <w:iCs w:val="1"/>
          <w:color w:val="auto"/>
          <w:vertAlign w:val="subscript"/>
        </w:rPr>
        <w:t>212-935-3000</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212-983-3115 fax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www.mintz.com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October 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95" w:lineRule="auto"/>
        <w:rPr>
          <w:sz w:val="20"/>
          <w:szCs w:val="20"/>
          <w:color w:val="auto"/>
        </w:rPr>
      </w:pPr>
      <w:r>
        <w:rPr>
          <w:rFonts w:ascii="Arial" w:cs="Arial" w:eastAsia="Arial" w:hAnsi="Arial"/>
          <w:sz w:val="18"/>
          <w:szCs w:val="18"/>
          <w:color w:val="auto"/>
        </w:rPr>
        <w:t>780 Third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acted as legal counsel to Vringo, Inc., a Delaware corporation (the “Company”), in connection with the preparation and filing with the Securities and Exchange Commission (the “Commission”) of a Prospectus Supplement, dated October 4, 2012 (the “Prospectus Supplement”), to a Registration Statement (No. 333-182823) on Form S-3 (the “Registration Statement”), filed by the Company with the Commission under the Securities Act of 1933, as amended (the “Securities Act”). The Prospectus Supplement relates to the sale of an aggregate of 10,344,998 shares (the “Shares”) of the Company’s common stock, $0.01 par value per share (the “Common Stock”), pursuant to Subscription Agreements, dated October 4, 2012, by and among the Company and the purchasers set forth on the signature pages thereto (the “Subscription Agreements”). The form of Subscription Agreement is being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this opinion, we have examined the Company’s Certificate of Incorporation and Bylaws, each as currently in effect, the Registration Statement and the exhibits thereto, the Prospectus Supplement and the Subscription Agreements and such other records of the corporate proceedings of the Company and certificates of the Company’s officers as we have deemed relevant.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opinion is limited to the General Corporation Law of the State of Delaware and we express no opinion with respect to the laws of any other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opinion is expressed herein with respect to the qualification of the Shares under the securities or blue sky laws of any state or any foreign jurisdiction.</w:t>
      </w:r>
    </w:p>
    <w:p>
      <w:pPr>
        <w:spacing w:after="0" w:line="23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4,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upon the foregoing, we are of the opinion that the Shares, when issued and sold in accordance with the Subscription Agreements and the Prospectus Supplement, will be validly issued, fully paid and non-assessable.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Mintz, Levin, Cohn, Ferris, Glovsky and Popeo, P.C.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6884183v.2</w:t>
      </w:r>
    </w:p>
    <w:p>
      <w:pPr>
        <w:sectPr>
          <w:pgSz w:w="11900" w:h="16838" w:orient="portrait"/>
          <w:cols w:equalWidth="0" w:num="1">
            <w:col w:w="11380"/>
          </w:cols>
          <w:pgMar w:left="240" w:top="1337"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October 4, 2012, between Vringo,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purchaser identified on the signature page hereto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WHEREAS, the Purchaser desires to subscribe for, and the Company desires to issue, shares of the Company’s 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the Purchaser pursuant to the terms and conditions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upon the execution and delivery of this Agreement, the Company and the Purchaser agree as follows:</w:t>
      </w:r>
    </w:p>
    <w:p>
      <w:pPr>
        <w:spacing w:after="0" w:line="225" w:lineRule="exact"/>
        <w:rPr>
          <w:sz w:val="20"/>
          <w:szCs w:val="20"/>
          <w:color w:val="auto"/>
        </w:rPr>
      </w:pPr>
    </w:p>
    <w:p>
      <w:pPr>
        <w:ind w:right="60" w:firstLine="1305"/>
        <w:spacing w:after="0" w:line="255" w:lineRule="auto"/>
        <w:tabs>
          <w:tab w:leader="none" w:pos="201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Purchaser, intending to be legally bound, hereby irrevocably subscribes for and agrees to purchase the number of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at the per share purchase price and aggregate purchase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as set forth on the signature page hereto, and the Company, intending to be legally bound, hereby agrees to issue and sell the Shares to the Purchaser,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reserves the right to accept or reject this subscription for Shares, in whole or in part. If the Company elects to accept this subscription for Shares in part, it shall promptly notify such Purchaser by delivery to the Purchaser by email of the signature page countersigned by the Company and reflecting the amount of the subscription accepted.</w:t>
      </w:r>
    </w:p>
    <w:p>
      <w:pPr>
        <w:spacing w:after="0" w:line="193" w:lineRule="exact"/>
        <w:rPr>
          <w:rFonts w:ascii="Arial" w:cs="Arial" w:eastAsia="Arial" w:hAnsi="Arial"/>
          <w:sz w:val="18"/>
          <w:szCs w:val="18"/>
          <w:color w:val="auto"/>
        </w:rPr>
      </w:pPr>
    </w:p>
    <w:p>
      <w:pPr>
        <w:ind w:firstLine="1305"/>
        <w:spacing w:after="0" w:line="254" w:lineRule="auto"/>
        <w:tabs>
          <w:tab w:leader="none" w:pos="201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Registration of Shares</w:t>
      </w:r>
      <w:r>
        <w:rPr>
          <w:rFonts w:ascii="Arial" w:cs="Arial" w:eastAsia="Arial" w:hAnsi="Arial"/>
          <w:sz w:val="18"/>
          <w:szCs w:val="18"/>
          <w:color w:val="auto"/>
        </w:rPr>
        <w:t>. The offering and sale of the Shares (the “</w:t>
      </w:r>
      <w:r>
        <w:rPr>
          <w:rFonts w:ascii="Arial" w:cs="Arial" w:eastAsia="Arial" w:hAnsi="Arial"/>
          <w:sz w:val="18"/>
          <w:szCs w:val="18"/>
          <w:u w:val="single" w:color="auto"/>
          <w:color w:val="auto"/>
        </w:rPr>
        <w:t>Offering</w:t>
      </w:r>
      <w:r>
        <w:rPr>
          <w:rFonts w:ascii="Arial" w:cs="Arial" w:eastAsia="Arial" w:hAnsi="Arial"/>
          <w:sz w:val="18"/>
          <w:szCs w:val="18"/>
          <w:color w:val="auto"/>
        </w:rPr>
        <w:t>”) are being made pursuant to (a) an effective Registration Statement on Form S-3 (File No. 333-182823)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including the prospectus contained therein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Prospectus</w:t>
      </w:r>
      <w:r>
        <w:rPr>
          <w:rFonts w:ascii="Arial" w:cs="Arial" w:eastAsia="Arial" w:hAnsi="Arial"/>
          <w:sz w:val="18"/>
          <w:szCs w:val="18"/>
          <w:color w:val="auto"/>
        </w:rPr>
        <w:t>”), which relates, among other things, to the Shares and the sale thereof from time to time in accordance with Rule 415 under the Securities Act, and (b) a prospectus supplement (the “</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and,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containing certain supplemental information regarding the Shares and terms of the Offering that will be filed with the Commission and delivered to the Purchaser (or made available to the Purchaser by the filing by the Company of an electronic version thereof with the Commission) no later than the second business day following the date of this Agreement.</w:t>
      </w:r>
    </w:p>
    <w:p>
      <w:pPr>
        <w:spacing w:after="0" w:line="192" w:lineRule="exact"/>
        <w:rPr>
          <w:rFonts w:ascii="Arial" w:cs="Arial" w:eastAsia="Arial" w:hAnsi="Arial"/>
          <w:sz w:val="18"/>
          <w:szCs w:val="18"/>
          <w:color w:val="auto"/>
        </w:rPr>
      </w:pPr>
    </w:p>
    <w:p>
      <w:pPr>
        <w:ind w:firstLine="1305"/>
        <w:spacing w:after="0" w:line="291" w:lineRule="auto"/>
        <w:tabs>
          <w:tab w:leader="none" w:pos="201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Company agrees to issue and sell to the Purchaser and the Purchaser agrees to purchase the Shares at a closing to take place at the offices of the Company, or such other place as the Purchaser and the Company shall mutually agree, including by way of the exchange of facsimile or “pdf” copies of signatures (the “</w:t>
      </w:r>
      <w:r>
        <w:rPr>
          <w:rFonts w:ascii="Arial" w:cs="Arial" w:eastAsia="Arial" w:hAnsi="Arial"/>
          <w:sz w:val="16"/>
          <w:szCs w:val="16"/>
          <w:u w:val="single" w:color="auto"/>
          <w:color w:val="auto"/>
        </w:rPr>
        <w:t>Closing</w:t>
      </w:r>
      <w:r>
        <w:rPr>
          <w:rFonts w:ascii="Arial" w:cs="Arial" w:eastAsia="Arial" w:hAnsi="Arial"/>
          <w:sz w:val="16"/>
          <w:szCs w:val="16"/>
          <w:color w:val="auto"/>
        </w:rPr>
        <w:t>”), no later than the third Trading Day (as such term is defined below) following the date hereof (the “</w:t>
      </w:r>
      <w:r>
        <w:rPr>
          <w:rFonts w:ascii="Arial" w:cs="Arial" w:eastAsia="Arial" w:hAnsi="Arial"/>
          <w:sz w:val="16"/>
          <w:szCs w:val="16"/>
          <w:u w:val="single" w:color="auto"/>
          <w:color w:val="auto"/>
        </w:rPr>
        <w:t>Closing Date</w:t>
      </w:r>
      <w:r>
        <w:rPr>
          <w:rFonts w:ascii="Arial" w:cs="Arial" w:eastAsia="Arial" w:hAnsi="Arial"/>
          <w:sz w:val="16"/>
          <w:szCs w:val="16"/>
          <w:color w:val="auto"/>
        </w:rPr>
        <w:t>”). At the Closing, the Company shall deliver instructions to the Company’s transfer agent to issue the Shares as of the Closing Date and deliver via the Depository Trust Company Deposit Withdrawal Agent Commission System (“</w:t>
      </w:r>
      <w:r>
        <w:rPr>
          <w:rFonts w:ascii="Arial" w:cs="Arial" w:eastAsia="Arial" w:hAnsi="Arial"/>
          <w:sz w:val="16"/>
          <w:szCs w:val="16"/>
          <w:u w:val="single" w:color="auto"/>
          <w:color w:val="auto"/>
        </w:rPr>
        <w:t>DWAC</w:t>
      </w:r>
      <w:r>
        <w:rPr>
          <w:rFonts w:ascii="Arial" w:cs="Arial" w:eastAsia="Arial" w:hAnsi="Arial"/>
          <w:sz w:val="16"/>
          <w:szCs w:val="16"/>
          <w:color w:val="auto"/>
        </w:rPr>
        <w:t xml:space="preserve">”) the Shares, registered in the name of the Purchaser, against delivery of the Purchase Price, which shall be paid by the Purchaser at the Closing by wire transfer of immediately available funds to the account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term “</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principal NYSE MKT is open for trading.</w:t>
      </w:r>
    </w:p>
    <w:p>
      <w:pPr>
        <w:spacing w:after="0" w:line="167"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 xml:space="preserve">Prior to Closing, the Purchaser shall direct the broker-dealer at which the account or accounts to be credited with the Shares being purchased by such Purchaser are maintained, which broker/dealer shall be a DTC participant, to set up a DWAC instructing the Company’s transfer agent, to credit such account or accounts with the Shares by means of an electronic book-entry delivery. Simultaneously with the delivery to the Company by the Purchaser of the Purchase Price at Closing, the Company shall direct its transfer agent to credit the Purchaser’s account or accounts with the Shares pursuant to the information contained in the DWAC (as specified by such Purchaser on the Investor Questionnaire annexed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58" w:lineRule="exact"/>
        <w:rPr>
          <w:sz w:val="20"/>
          <w:szCs w:val="20"/>
          <w:color w:val="auto"/>
        </w:rPr>
      </w:pPr>
    </w:p>
    <w:p>
      <w:pPr>
        <w:ind w:left="3320" w:hanging="719"/>
        <w:spacing w:after="0"/>
        <w:tabs>
          <w:tab w:leader="none" w:pos="332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obligations of the Company hereunder are subject to the following conditions being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 w:name="page7"/>
    <w:bookmarkEnd w:id="6"/>
    <w:p>
      <w:pPr>
        <w:ind w:left="2020" w:hanging="715"/>
        <w:spacing w:after="0"/>
        <w:tabs>
          <w:tab w:leader="none" w:pos="2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Purchaser contained herein;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2020" w:hanging="715"/>
        <w:spacing w:after="0"/>
        <w:tabs>
          <w:tab w:leader="none" w:pos="2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delivery by the Purchaser of the Purchase Price to the Company for the Shares as set forth herein on the Closing Date.</w:t>
      </w:r>
    </w:p>
    <w:p>
      <w:pPr>
        <w:spacing w:after="0" w:line="237" w:lineRule="exact"/>
        <w:rPr>
          <w:sz w:val="20"/>
          <w:szCs w:val="20"/>
          <w:color w:val="auto"/>
        </w:rPr>
      </w:pPr>
    </w:p>
    <w:p>
      <w:pPr>
        <w:ind w:left="2000" w:hanging="695"/>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obligations of the Purchaser hereunder are subject to the following conditions being met:</w:t>
      </w:r>
    </w:p>
    <w:p>
      <w:pPr>
        <w:spacing w:after="0" w:line="225" w:lineRule="exact"/>
        <w:rPr>
          <w:sz w:val="20"/>
          <w:szCs w:val="20"/>
          <w:color w:val="auto"/>
        </w:rPr>
      </w:pPr>
    </w:p>
    <w:p>
      <w:pPr>
        <w:ind w:left="1520" w:hanging="215"/>
        <w:spacing w:after="0"/>
        <w:tabs>
          <w:tab w:leader="none" w:pos="1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accuracy in all material respects as of the date hereof of the representations and warranties by the Company contained herein;</w:t>
      </w:r>
    </w:p>
    <w:p>
      <w:pPr>
        <w:spacing w:after="0" w:line="236" w:lineRule="exact"/>
        <w:rPr>
          <w:rFonts w:ascii="Arial" w:cs="Arial" w:eastAsia="Arial" w:hAnsi="Arial"/>
          <w:sz w:val="17"/>
          <w:szCs w:val="17"/>
          <w:color w:val="auto"/>
        </w:rPr>
      </w:pPr>
    </w:p>
    <w:p>
      <w:pPr>
        <w:ind w:firstLine="1305"/>
        <w:spacing w:after="0" w:line="277" w:lineRule="auto"/>
        <w:tabs>
          <w:tab w:leader="none" w:pos="15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delivery by the Company to the Purchaser of the Prospectus and Prospectus Supplement (which may be delivered in accordance with Rule 172 under the Securities Act); and</w:t>
      </w:r>
    </w:p>
    <w:p>
      <w:pPr>
        <w:spacing w:after="0" w:line="170" w:lineRule="exact"/>
        <w:rPr>
          <w:rFonts w:ascii="Arial" w:cs="Arial" w:eastAsia="Arial" w:hAnsi="Arial"/>
          <w:sz w:val="18"/>
          <w:szCs w:val="18"/>
          <w:color w:val="auto"/>
        </w:rPr>
      </w:pPr>
    </w:p>
    <w:p>
      <w:pPr>
        <w:ind w:right="40" w:firstLine="1305"/>
        <w:spacing w:after="0" w:line="264" w:lineRule="auto"/>
        <w:tabs>
          <w:tab w:leader="none" w:pos="174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delivery by the Company to the Purchaser of a copy of the irrevocable instructions to the Company’s transfer agent instructing the transfer agent to deliver on an expedited basis via DWAC the number of Shares subscribed for that was accepted by the Company, registered in the name of such Purchaser.</w:t>
      </w:r>
    </w:p>
    <w:p>
      <w:pPr>
        <w:spacing w:after="0" w:line="181" w:lineRule="exact"/>
        <w:rPr>
          <w:sz w:val="20"/>
          <w:szCs w:val="20"/>
          <w:color w:val="auto"/>
        </w:rPr>
      </w:pPr>
    </w:p>
    <w:p>
      <w:pPr>
        <w:ind w:left="2020" w:hanging="715"/>
        <w:spacing w:after="0"/>
        <w:tabs>
          <w:tab w:leader="none" w:pos="20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As of the date hereof, the Company hereby represents and warrants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Purchaser that:</w:t>
      </w:r>
    </w:p>
    <w:p>
      <w:pPr>
        <w:spacing w:after="0" w:line="211" w:lineRule="exact"/>
        <w:rPr>
          <w:sz w:val="20"/>
          <w:szCs w:val="20"/>
          <w:color w:val="auto"/>
        </w:rPr>
      </w:pPr>
    </w:p>
    <w:p>
      <w:pPr>
        <w:ind w:left="2000" w:hanging="695"/>
        <w:spacing w:after="0"/>
        <w:tabs>
          <w:tab w:leader="none" w:pos="20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corporation, duly organized, validly existing and in good standing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11" w:lineRule="exact"/>
        <w:rPr>
          <w:sz w:val="20"/>
          <w:szCs w:val="20"/>
          <w:color w:val="auto"/>
        </w:rPr>
      </w:pPr>
    </w:p>
    <w:p>
      <w:pPr>
        <w:ind w:right="20" w:firstLine="1305"/>
        <w:spacing w:after="0" w:line="291" w:lineRule="auto"/>
        <w:tabs>
          <w:tab w:leader="none" w:pos="200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Authority and Validity</w:t>
      </w:r>
      <w:r>
        <w:rPr>
          <w:rFonts w:ascii="Arial" w:cs="Arial" w:eastAsia="Arial" w:hAnsi="Arial"/>
          <w:sz w:val="16"/>
          <w:szCs w:val="16"/>
          <w:color w:val="auto"/>
        </w:rPr>
        <w:t>. The Company has all requisite corporate power and authority to execute, deliver and perform its obligations under this Agreement and to consummate the transactions contemplated hereby. The execution, delivery and performance by the Company of this Agreement and the consummation of the transactions contemplated hereby have been duly and validly authorized by all necessary action required on the part of the Company, and no other proceedings on the part of the Company are necessary to authorize this Agreement or for the Company to perform its obligations under this Agreement. This Agreement constitutes the lawful, valid and legally binding obligation of the Company, enforceable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67" w:lineRule="exact"/>
        <w:rPr>
          <w:rFonts w:ascii="Arial" w:cs="Arial" w:eastAsia="Arial" w:hAnsi="Arial"/>
          <w:sz w:val="16"/>
          <w:szCs w:val="16"/>
          <w:color w:val="auto"/>
        </w:rPr>
      </w:pPr>
    </w:p>
    <w:p>
      <w:pPr>
        <w:ind w:right="120" w:firstLine="1305"/>
        <w:spacing w:after="0" w:line="264" w:lineRule="auto"/>
        <w:tabs>
          <w:tab w:leader="none" w:pos="199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Valid Issuance of Common Stock</w:t>
      </w:r>
      <w:r>
        <w:rPr>
          <w:rFonts w:ascii="Arial" w:cs="Arial" w:eastAsia="Arial" w:hAnsi="Arial"/>
          <w:sz w:val="18"/>
          <w:szCs w:val="18"/>
          <w:color w:val="auto"/>
        </w:rPr>
        <w:t>. The Shares, when issued, sold and delivered in accordance with the terms hereof for the Purchase Price, will be duly and validly authorized and issued, fully paid and nonassessable and free of restrictions on transfer other than the applicable state and federal securities laws.</w:t>
      </w:r>
    </w:p>
    <w:p>
      <w:pPr>
        <w:spacing w:after="0" w:line="181" w:lineRule="exact"/>
        <w:rPr>
          <w:rFonts w:ascii="Arial" w:cs="Arial" w:eastAsia="Arial" w:hAnsi="Arial"/>
          <w:sz w:val="18"/>
          <w:szCs w:val="18"/>
          <w:color w:val="auto"/>
        </w:rPr>
      </w:pPr>
    </w:p>
    <w:p>
      <w:pPr>
        <w:ind w:right="60" w:firstLine="1305"/>
        <w:spacing w:after="0" w:line="277" w:lineRule="auto"/>
        <w:tabs>
          <w:tab w:leader="none" w:pos="200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Registration Statement is in full force and effect and no cease and desist order or other suspension of the Registration Statement exists, has been imposed or, to the knowledge of the Company is threatened by the Commission.</w:t>
      </w:r>
    </w:p>
    <w:p>
      <w:pPr>
        <w:spacing w:after="0" w:line="170" w:lineRule="exact"/>
        <w:rPr>
          <w:rFonts w:ascii="Arial" w:cs="Arial" w:eastAsia="Arial" w:hAnsi="Arial"/>
          <w:sz w:val="18"/>
          <w:szCs w:val="18"/>
          <w:color w:val="auto"/>
        </w:rPr>
      </w:pPr>
    </w:p>
    <w:p>
      <w:pPr>
        <w:ind w:right="180" w:firstLine="1305"/>
        <w:spacing w:after="0" w:line="290" w:lineRule="auto"/>
        <w:tabs>
          <w:tab w:leader="none" w:pos="199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The execution, delivery and performance of this Agreement and the transactions contemplated hereby do not (i) violate, conflict with or result in the breach of any provision of the Company’s Certificate of Incorporation or Bylaws, (ii) conflict with or violate any law, rule, regulation, order, judgment or decree applicable the Company or any of its assets, properties or businesses, or (iii) conflict with, result in any breach of, constitute a default (or event that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the Company, pursuant to any note, bond, mortgage or indenture, contract, agreement, lease, sublease, license, permit, franchise or other instrument or arrangement to which the Company is a party except, in the case of clauses (ii) and (iii), to the extent that such conflicts, breaches, defaults or other matters would not, individually or in the aggregate, reasonably be expected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ind w:right="40" w:firstLine="1305"/>
        <w:spacing w:after="0" w:line="279" w:lineRule="auto"/>
        <w:tabs>
          <w:tab w:leader="none" w:pos="201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Governmental/Regulatory Consents and Approvals</w:t>
      </w:r>
      <w:r>
        <w:rPr>
          <w:rFonts w:ascii="Arial" w:cs="Arial" w:eastAsia="Arial" w:hAnsi="Arial"/>
          <w:sz w:val="17"/>
          <w:szCs w:val="17"/>
          <w:color w:val="auto"/>
        </w:rPr>
        <w:t>. Except for filings under federal securities laws and, if required, NYSE MKT rules and regulations, the execution, delivery and performance of this Agreement by the Company do not, and the consummation of the transactions contemplated hereby do not and will not, require any permits, consents, approvals, orders, authorizations of, or declarations to or filings with any federal, state, local or foreign government or regulatory authority, which has not already been obtained, effected or provided.</w:t>
      </w:r>
    </w:p>
    <w:p>
      <w:pPr>
        <w:spacing w:after="0" w:line="171" w:lineRule="exact"/>
        <w:rPr>
          <w:sz w:val="20"/>
          <w:szCs w:val="20"/>
          <w:color w:val="auto"/>
        </w:rPr>
      </w:pPr>
    </w:p>
    <w:p>
      <w:pPr>
        <w:ind w:left="2020" w:hanging="715"/>
        <w:spacing w:after="0"/>
        <w:tabs>
          <w:tab w:leader="none" w:pos="202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the Purchaser</w:t>
      </w:r>
      <w:r>
        <w:rPr>
          <w:rFonts w:ascii="Arial" w:cs="Arial" w:eastAsia="Arial" w:hAnsi="Arial"/>
          <w:sz w:val="16"/>
          <w:szCs w:val="16"/>
          <w:color w:val="auto"/>
        </w:rPr>
        <w:t>. As of the date hereof, the Purchaser hereby represents and warrants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Company that:</w:t>
      </w:r>
    </w:p>
    <w:p>
      <w:pPr>
        <w:spacing w:after="0" w:line="211" w:lineRule="exact"/>
        <w:rPr>
          <w:sz w:val="20"/>
          <w:szCs w:val="20"/>
          <w:color w:val="auto"/>
        </w:rPr>
      </w:pPr>
    </w:p>
    <w:p>
      <w:pPr>
        <w:ind w:right="40" w:firstLine="1305"/>
        <w:spacing w:after="0" w:line="255" w:lineRule="auto"/>
        <w:tabs>
          <w:tab w:leader="none" w:pos="19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 has received (or otherwise had made available to him by the filing by the Company of an electronic version thereof with the Commission) the Base Prospectus which is a part of the Registration Statement, and the documents incorporated by reference therein (collectively, the “</w:t>
      </w:r>
      <w:r>
        <w:rPr>
          <w:rFonts w:ascii="Arial" w:cs="Arial" w:eastAsia="Arial" w:hAnsi="Arial"/>
          <w:sz w:val="18"/>
          <w:szCs w:val="18"/>
          <w:u w:val="single" w:color="auto"/>
          <w:color w:val="auto"/>
        </w:rPr>
        <w:t>Disclosure Package</w:t>
      </w:r>
      <w:r>
        <w:rPr>
          <w:rFonts w:ascii="Arial" w:cs="Arial" w:eastAsia="Arial" w:hAnsi="Arial"/>
          <w:sz w:val="18"/>
          <w:szCs w:val="18"/>
          <w:color w:val="auto"/>
        </w:rPr>
        <w:t>”), prior to or in connection with the execution of this Agreement. The Purchaser acknowledges that, prior to the delivery of this Agreement to the Company, the Purchaser will receive certain additional information regarding the Offering, including pricing information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Such information may be provided to the Purchaser by any means permitted under the Act, including the Prospectus Supplement, a free writing prospectus and oral communications.</w:t>
      </w:r>
    </w:p>
    <w:p>
      <w:pPr>
        <w:spacing w:after="0" w:line="193" w:lineRule="exact"/>
        <w:rPr>
          <w:rFonts w:ascii="Arial" w:cs="Arial" w:eastAsia="Arial" w:hAnsi="Arial"/>
          <w:sz w:val="18"/>
          <w:szCs w:val="18"/>
          <w:color w:val="auto"/>
        </w:rPr>
      </w:pPr>
    </w:p>
    <w:p>
      <w:pPr>
        <w:ind w:firstLine="1305"/>
        <w:spacing w:after="0" w:line="276" w:lineRule="auto"/>
        <w:tabs>
          <w:tab w:leader="none" w:pos="19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Purchaser (a) is knowledgeable, sophisticated and experienced in making, and is qualified to make decisions with respect to, investments in shares presenting an investment decision like that involved in the purchase of the Shares, including investments in securities issued by the Company and investments in comparable companies and has reviewed such information and made such inquiries regarding the Company and the purchase of the Shares as he has deemed appropriate and (b) in connection with his decision to purchase the Shares, has received (or had full access to) and is relying only upon the Disclosure Package and the documents incorporated by reference therein.</w:t>
      </w:r>
    </w:p>
    <w:p>
      <w:pPr>
        <w:spacing w:after="0" w:line="172" w:lineRule="exact"/>
        <w:rPr>
          <w:rFonts w:ascii="Arial" w:cs="Arial" w:eastAsia="Arial" w:hAnsi="Arial"/>
          <w:sz w:val="17"/>
          <w:szCs w:val="17"/>
          <w:color w:val="auto"/>
        </w:rPr>
      </w:pPr>
    </w:p>
    <w:p>
      <w:pPr>
        <w:ind w:right="100" w:firstLine="1305"/>
        <w:spacing w:after="0" w:line="259" w:lineRule="auto"/>
        <w:tabs>
          <w:tab w:leader="none" w:pos="19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 understands that nothing in this Agreement, the Disclosure Package or any other materials presented to the Purchaser in connection with the purchase and sale of the Shares constitutes legal, tax or investment advice. The Purchaser has consulted such legal, tax and investment advisors and made such investigations as he, it his sole discretion, has deemed necessary or appropriate in connection with his purchase of the Shares.</w:t>
      </w:r>
    </w:p>
    <w:p>
      <w:pPr>
        <w:spacing w:after="0" w:line="186" w:lineRule="exact"/>
        <w:rPr>
          <w:rFonts w:ascii="Arial" w:cs="Arial" w:eastAsia="Arial" w:hAnsi="Arial"/>
          <w:sz w:val="18"/>
          <w:szCs w:val="18"/>
          <w:color w:val="auto"/>
        </w:rPr>
      </w:pPr>
    </w:p>
    <w:p>
      <w:pPr>
        <w:ind w:right="180" w:firstLine="1305"/>
        <w:spacing w:after="0" w:line="277" w:lineRule="auto"/>
        <w:tabs>
          <w:tab w:leader="none" w:pos="20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person or entity acting on behalf of, or under the authority of, the Purchaser is or will be entitled to any broker’s, finder’s, or similar fees or commission payable by the Company.</w:t>
      </w:r>
    </w:p>
    <w:p>
      <w:pPr>
        <w:spacing w:after="0" w:line="170" w:lineRule="exact"/>
        <w:rPr>
          <w:rFonts w:ascii="Arial" w:cs="Arial" w:eastAsia="Arial" w:hAnsi="Arial"/>
          <w:sz w:val="18"/>
          <w:szCs w:val="18"/>
          <w:color w:val="auto"/>
        </w:rPr>
      </w:pPr>
    </w:p>
    <w:p>
      <w:pPr>
        <w:ind w:right="40" w:firstLine="1305"/>
        <w:spacing w:after="0" w:line="290" w:lineRule="auto"/>
        <w:tabs>
          <w:tab w:leader="none" w:pos="20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Since the time listed on the signature page hereto, October 4, 2012 (the "</w:t>
      </w:r>
      <w:r>
        <w:rPr>
          <w:rFonts w:ascii="Arial" w:cs="Arial" w:eastAsia="Arial" w:hAnsi="Arial"/>
          <w:sz w:val="16"/>
          <w:szCs w:val="16"/>
          <w:u w:val="single" w:color="auto"/>
          <w:color w:val="auto"/>
        </w:rPr>
        <w:t>Restriction Time</w:t>
      </w:r>
      <w:r>
        <w:rPr>
          <w:rFonts w:ascii="Arial" w:cs="Arial" w:eastAsia="Arial" w:hAnsi="Arial"/>
          <w:sz w:val="16"/>
          <w:szCs w:val="16"/>
          <w:color w:val="auto"/>
        </w:rPr>
        <w:t>"), the Purchaser has not disclosed any information regarding the Offering to any third parties (other than its legal, accounting and other advisors) and has not engaged in any purchases or sales of the securities of the Company (including, without limitation, any Short Sales (as defined herein) involving the Company’s securities). The Purchaser agrees that it will not use any of the Shares acquired pursuant to this Agreement to cover any short position in the Common Stock if doing so would be in violation of applicable securities laws. For purposes hereof, “Short Sales” include, without limitation, all “short sales” as defined in Rule 200 promulgated under Regulation SHO under the Exchange Act, whether or not against the box, and all types of direct and indirect stock pledges, forward sales contracts, options, puts, calls, short sales, swaps, ”put equivalent positions” (as defined in Rule 16a-1(h) under the Exchange Act) and similar arrangements (including on a total return basis), and sales and other transactions through non-U.S. broker dealers or foreign regulated brokers.</w:t>
      </w:r>
    </w:p>
    <w:p>
      <w:pPr>
        <w:spacing w:after="0" w:line="166" w:lineRule="exact"/>
        <w:rPr>
          <w:rFonts w:ascii="Arial" w:cs="Arial" w:eastAsia="Arial" w:hAnsi="Arial"/>
          <w:sz w:val="16"/>
          <w:szCs w:val="16"/>
          <w:color w:val="auto"/>
        </w:rPr>
      </w:pPr>
    </w:p>
    <w:p>
      <w:pPr>
        <w:ind w:firstLine="1305"/>
        <w:spacing w:after="0" w:line="293" w:lineRule="auto"/>
        <w:tabs>
          <w:tab w:leader="none" w:pos="1521"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offer by the Purchaser to buy the Shares will be accepted and no part of the Purchase Price will be delivered to the Company until the Purchaser has received the Offering Information and the Company has accepted such offer by countersigning a copy of this Agreement, and any such offer may be withdrawn or revoked, without obligation or commitment of any kind, at any time prior to the Company sending (orally, in writing or by electronic mail) notice of its acceptance of such offer. An indication of interest will involve no obligation or commitment of any kind until the Purchaser has been delivered the Offering Information and this Agreement is accepted and countersigned by or on behalf of the Company. The Purchaser understands and agrees that the Company, in its sole discretion, reserves the right to accept or reject this subscription for Shares,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8" w:name="page9"/>
    <w:bookmarkEnd w:id="8"/>
    <w:p>
      <w:pPr>
        <w:ind w:left="-20" w:firstLine="1305"/>
        <w:spacing w:after="0" w:line="279" w:lineRule="auto"/>
        <w:tabs>
          <w:tab w:leader="none" w:pos="1457"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The Company and the Purchaser agree that the Company shall, prior to the opening of the financial markets in New York City on the business day immediately after the date hereof: (a) issue a press release announcing the Offering and disclosing all material information regarding the Offering and (b) file a Current Report on Form 8-K with the Securities and Exchange Commission, including a form of this Agreement as an exhibit thereto, which discloses all material non-public information disclosed to the Purchaser.</w:t>
      </w:r>
    </w:p>
    <w:p>
      <w:pPr>
        <w:spacing w:after="0" w:line="171" w:lineRule="exact"/>
        <w:rPr>
          <w:rFonts w:ascii="Arial" w:cs="Arial" w:eastAsia="Arial" w:hAnsi="Arial"/>
          <w:sz w:val="17"/>
          <w:szCs w:val="17"/>
          <w:color w:val="auto"/>
        </w:rPr>
      </w:pPr>
    </w:p>
    <w:p>
      <w:pPr>
        <w:ind w:left="-20" w:right="420" w:firstLine="1305"/>
        <w:spacing w:after="0" w:line="277" w:lineRule="auto"/>
        <w:tabs>
          <w:tab w:leader="none" w:pos="199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its conflicts of laws principles.</w:t>
      </w:r>
    </w:p>
    <w:p>
      <w:pPr>
        <w:spacing w:after="0" w:line="170" w:lineRule="exact"/>
        <w:rPr>
          <w:rFonts w:ascii="Arial" w:cs="Arial" w:eastAsia="Arial" w:hAnsi="Arial"/>
          <w:sz w:val="18"/>
          <w:szCs w:val="18"/>
          <w:color w:val="auto"/>
        </w:rPr>
      </w:pPr>
    </w:p>
    <w:p>
      <w:pPr>
        <w:ind w:left="-20" w:right="40" w:firstLine="1305"/>
        <w:spacing w:after="0" w:line="342" w:lineRule="auto"/>
        <w:tabs>
          <w:tab w:leader="none" w:pos="208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Company and the Purchaser with respect to the matters covered hereby and supersedes all prior agreements and understanding with respect to such matters between the Company and the Purchaser.</w:t>
      </w:r>
    </w:p>
    <w:p>
      <w:pPr>
        <w:spacing w:after="0" w:line="123" w:lineRule="exact"/>
        <w:rPr>
          <w:rFonts w:ascii="Arial" w:cs="Arial" w:eastAsia="Arial" w:hAnsi="Arial"/>
          <w:sz w:val="16"/>
          <w:szCs w:val="16"/>
          <w:color w:val="auto"/>
        </w:rPr>
      </w:pPr>
    </w:p>
    <w:p>
      <w:pPr>
        <w:ind w:left="-20" w:right="340" w:firstLine="1305"/>
        <w:spacing w:after="0" w:line="308" w:lineRule="auto"/>
        <w:tabs>
          <w:tab w:leader="none" w:pos="199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46" w:lineRule="exact"/>
        <w:rPr>
          <w:rFonts w:ascii="Arial" w:cs="Arial" w:eastAsia="Arial" w:hAnsi="Arial"/>
          <w:sz w:val="17"/>
          <w:szCs w:val="17"/>
          <w:color w:val="auto"/>
        </w:rPr>
      </w:pPr>
    </w:p>
    <w:p>
      <w:pPr>
        <w:jc w:val="both"/>
        <w:ind w:left="-20" w:right="60" w:firstLine="1305"/>
        <w:spacing w:after="0" w:line="259" w:lineRule="auto"/>
        <w:tabs>
          <w:tab w:leader="none" w:pos="199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Counterparts; Facsimile or “pdf” Copies</w:t>
      </w:r>
      <w:r>
        <w:rPr>
          <w:rFonts w:ascii="Arial" w:cs="Arial" w:eastAsia="Arial" w:hAnsi="Arial"/>
          <w:sz w:val="18"/>
          <w:szCs w:val="18"/>
          <w:color w:val="auto"/>
        </w:rPr>
        <w:t>. This Agreement may be executed in counterparts, each of which, when executed, shall be deemed an original but all of which, taken together, shall constitute one and the same Agreement. Delivery of an executed copy of a signature page to this Agreement by facsimile or “pdf” transmission shall be as effective as delivery of a manually executed copy of this Agreement and shall be as effective and enforceable as the original.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9" w:name="page10"/>
    <w:bookmarkEnd w:id="9"/>
    <w:p>
      <w:pPr>
        <w:ind w:left="1300"/>
        <w:spacing w:after="0"/>
        <w:rPr>
          <w:sz w:val="20"/>
          <w:szCs w:val="20"/>
          <w:color w:val="auto"/>
        </w:rPr>
      </w:pPr>
      <w:r>
        <w:rPr>
          <w:rFonts w:ascii="Arial" w:cs="Arial" w:eastAsia="Arial" w:hAnsi="Arial"/>
          <w:sz w:val="16"/>
          <w:szCs w:val="16"/>
          <w:color w:val="auto"/>
        </w:rPr>
        <w:t>IN WITNESS WHEREOF, the undersigned has caused this Agreement to be duly executed by its authorized signatory as of the date first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PURCHASER:</w:t>
      </w: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Purchase Price per Share: $______________</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of Shares: ________________________</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Restriction Time: ____________________</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vMerge w:val="restart"/>
          </w:tcPr>
          <w:p>
            <w:pPr>
              <w:spacing w:after="0"/>
              <w:rPr>
                <w:sz w:val="20"/>
                <w:szCs w:val="20"/>
                <w:color w:val="auto"/>
              </w:rPr>
            </w:pPr>
            <w:r>
              <w:rPr>
                <w:rFonts w:ascii="Arial" w:cs="Arial" w:eastAsia="Arial" w:hAnsi="Arial"/>
                <w:sz w:val="18"/>
                <w:szCs w:val="18"/>
                <w:color w:val="auto"/>
              </w:rPr>
              <w:t>Agreed and Accepted this 4th day of</w:t>
            </w:r>
          </w:p>
        </w:tc>
        <w:tc>
          <w:tcPr>
            <w:tcW w:w="7520" w:type="dxa"/>
            <w:vAlign w:val="bottom"/>
          </w:tcPr>
          <w:p>
            <w:pPr>
              <w:ind w:left="1260"/>
              <w:spacing w:after="0"/>
              <w:rPr>
                <w:sz w:val="20"/>
                <w:szCs w:val="20"/>
                <w:color w:val="auto"/>
              </w:rPr>
            </w:pPr>
            <w:r>
              <w:rPr>
                <w:rFonts w:ascii="Arial" w:cs="Arial" w:eastAsia="Arial" w:hAnsi="Arial"/>
                <w:sz w:val="18"/>
                <w:szCs w:val="18"/>
                <w:b w:val="1"/>
                <w:bCs w:val="1"/>
                <w:color w:val="auto"/>
              </w:rPr>
              <w:t>VRINGO, INC.</w:t>
            </w:r>
          </w:p>
        </w:tc>
        <w:tc>
          <w:tcPr>
            <w:tcW w:w="0" w:type="dxa"/>
            <w:vAlign w:val="bottom"/>
          </w:tcPr>
          <w:p>
            <w:pPr>
              <w:spacing w:after="0"/>
              <w:rPr>
                <w:sz w:val="1"/>
                <w:szCs w:val="1"/>
                <w:color w:val="auto"/>
              </w:rPr>
            </w:pPr>
          </w:p>
        </w:tc>
      </w:tr>
      <w:tr>
        <w:trPr>
          <w:trHeight w:val="202"/>
        </w:trPr>
        <w:tc>
          <w:tcPr>
            <w:tcW w:w="3900" w:type="dxa"/>
            <w:vAlign w:val="bottom"/>
            <w:vMerge w:val="continue"/>
          </w:tcPr>
          <w:p>
            <w:pPr>
              <w:spacing w:after="0"/>
              <w:rPr>
                <w:sz w:val="17"/>
                <w:szCs w:val="17"/>
                <w:color w:val="auto"/>
              </w:rPr>
            </w:pPr>
          </w:p>
        </w:tc>
        <w:tc>
          <w:tcPr>
            <w:tcW w:w="7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October, 2012:</w:t>
            </w:r>
          </w:p>
        </w:tc>
        <w:tc>
          <w:tcPr>
            <w:tcW w:w="7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900" w:type="dxa"/>
            <w:vAlign w:val="bottom"/>
          </w:tcPr>
          <w:p>
            <w:pPr>
              <w:spacing w:after="0"/>
              <w:rPr>
                <w:sz w:val="24"/>
                <w:szCs w:val="24"/>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By: _____________________________________</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Name: ____________________________________</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Title: _____________________________________</w:t>
            </w:r>
          </w:p>
        </w:tc>
        <w:tc>
          <w:tcPr>
            <w:tcW w:w="0" w:type="dxa"/>
            <w:vAlign w:val="bottom"/>
          </w:tcPr>
          <w:p>
            <w:pPr>
              <w:spacing w:after="0"/>
              <w:rPr>
                <w:sz w:val="1"/>
                <w:szCs w:val="1"/>
                <w:color w:val="auto"/>
              </w:rPr>
            </w:pPr>
          </w:p>
        </w:tc>
      </w:tr>
      <w:tr>
        <w:trPr>
          <w:trHeight w:val="634"/>
        </w:trPr>
        <w:tc>
          <w:tcPr>
            <w:tcW w:w="3900" w:type="dxa"/>
            <w:vAlign w:val="bottom"/>
          </w:tcPr>
          <w:p>
            <w:pPr>
              <w:spacing w:after="0"/>
              <w:rPr>
                <w:sz w:val="24"/>
                <w:szCs w:val="24"/>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Address for Notice: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780 Third Avenue, 15th Floor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Subscription Amount Accepted:</w:t>
            </w:r>
          </w:p>
        </w:tc>
        <w:tc>
          <w:tcPr>
            <w:tcW w:w="7520" w:type="dxa"/>
            <w:vAlign w:val="bottom"/>
          </w:tcPr>
          <w:p>
            <w:pPr>
              <w:ind w:left="1260"/>
              <w:spacing w:after="0"/>
              <w:rPr>
                <w:sz w:val="20"/>
                <w:szCs w:val="20"/>
                <w:color w:val="auto"/>
              </w:rPr>
            </w:pPr>
            <w:r>
              <w:rPr>
                <w:rFonts w:ascii="Arial" w:cs="Arial" w:eastAsia="Arial" w:hAnsi="Arial"/>
                <w:sz w:val="18"/>
                <w:szCs w:val="18"/>
                <w:color w:val="auto"/>
              </w:rPr>
              <w:t>New York, NY 10017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$__________________</w:t>
            </w:r>
          </w:p>
        </w:tc>
        <w:tc>
          <w:tcPr>
            <w:tcW w:w="7520" w:type="dxa"/>
            <w:vAlign w:val="bottom"/>
          </w:tcPr>
          <w:p>
            <w:pPr>
              <w:ind w:left="1260"/>
              <w:spacing w:after="0"/>
              <w:rPr>
                <w:sz w:val="20"/>
                <w:szCs w:val="20"/>
                <w:color w:val="auto"/>
              </w:rPr>
            </w:pPr>
            <w:r>
              <w:rPr>
                <w:rFonts w:ascii="Arial" w:cs="Arial" w:eastAsia="Arial" w:hAnsi="Arial"/>
                <w:sz w:val="18"/>
                <w:szCs w:val="18"/>
                <w:color w:val="auto"/>
              </w:rPr>
              <w:t>Telephone: (646) 525-4319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Facsimile: (509) 271-5246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 of Shares Accepted:</w:t>
            </w:r>
          </w:p>
        </w:tc>
        <w:tc>
          <w:tcPr>
            <w:tcW w:w="7520" w:type="dxa"/>
            <w:vAlign w:val="bottom"/>
          </w:tcPr>
          <w:p>
            <w:pPr>
              <w:ind w:left="1260"/>
              <w:spacing w:after="0"/>
              <w:rPr>
                <w:sz w:val="20"/>
                <w:szCs w:val="20"/>
                <w:color w:val="auto"/>
              </w:rPr>
            </w:pPr>
            <w:r>
              <w:rPr>
                <w:rFonts w:ascii="Arial" w:cs="Arial" w:eastAsia="Arial" w:hAnsi="Arial"/>
                <w:sz w:val="18"/>
                <w:szCs w:val="18"/>
                <w:color w:val="auto"/>
              </w:rPr>
              <w:t>E-mail: andrew.perlman@vringo.com</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___________________</w:t>
            </w:r>
          </w:p>
        </w:tc>
        <w:tc>
          <w:tcPr>
            <w:tcW w:w="7520" w:type="dxa"/>
            <w:vAlign w:val="bottom"/>
          </w:tcPr>
          <w:p>
            <w:pPr>
              <w:ind w:left="1260"/>
              <w:spacing w:after="0"/>
              <w:rPr>
                <w:sz w:val="20"/>
                <w:szCs w:val="20"/>
                <w:color w:val="auto"/>
              </w:rPr>
            </w:pPr>
            <w:r>
              <w:rPr>
                <w:rFonts w:ascii="Arial" w:cs="Arial" w:eastAsia="Arial" w:hAnsi="Arial"/>
                <w:sz w:val="18"/>
                <w:szCs w:val="18"/>
                <w:color w:val="auto"/>
              </w:rPr>
              <w:t>Attention: Chief Executive Officer</w:t>
            </w:r>
          </w:p>
        </w:tc>
        <w:tc>
          <w:tcPr>
            <w:tcW w:w="0" w:type="dxa"/>
            <w:vAlign w:val="bottom"/>
          </w:tcPr>
          <w:p>
            <w:pPr>
              <w:spacing w:after="0"/>
              <w:rPr>
                <w:sz w:val="1"/>
                <w:szCs w:val="1"/>
                <w:color w:val="auto"/>
              </w:rPr>
            </w:pPr>
          </w:p>
        </w:tc>
      </w:tr>
      <w:tr>
        <w:trPr>
          <w:trHeight w:val="418"/>
        </w:trPr>
        <w:tc>
          <w:tcPr>
            <w:tcW w:w="3900" w:type="dxa"/>
            <w:vAlign w:val="bottom"/>
          </w:tcPr>
          <w:p>
            <w:pPr>
              <w:spacing w:after="0"/>
              <w:rPr>
                <w:sz w:val="24"/>
                <w:szCs w:val="24"/>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With a copy to:</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Mintz, Levin, Cohn, Ferris, Glovsky and Popeo, P.C.</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Chrysler Center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666 Third Avenue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New York, NY 10017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Telephone: (212) 935-3000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Facsimile: (212) 983-3115</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E-mail: KRKoch@mintz.com</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7520" w:type="dxa"/>
            <w:vAlign w:val="bottom"/>
          </w:tcPr>
          <w:p>
            <w:pPr>
              <w:ind w:left="1260"/>
              <w:spacing w:after="0"/>
              <w:rPr>
                <w:sz w:val="20"/>
                <w:szCs w:val="20"/>
                <w:color w:val="auto"/>
              </w:rPr>
            </w:pPr>
            <w:r>
              <w:rPr>
                <w:rFonts w:ascii="Arial" w:cs="Arial" w:eastAsia="Arial" w:hAnsi="Arial"/>
                <w:sz w:val="18"/>
                <w:szCs w:val="18"/>
                <w:color w:val="auto"/>
              </w:rPr>
              <w:t>Attention: Kenneth R. Koch, Esq.</w:t>
            </w:r>
          </w:p>
        </w:tc>
        <w:tc>
          <w:tcPr>
            <w:tcW w:w="0" w:type="dxa"/>
            <w:vAlign w:val="bottom"/>
          </w:tcPr>
          <w:p>
            <w:pPr>
              <w:spacing w:after="0"/>
              <w:rPr>
                <w:sz w:val="1"/>
                <w:szCs w:val="1"/>
                <w:color w:val="auto"/>
              </w:rPr>
            </w:pPr>
          </w:p>
        </w:tc>
      </w:tr>
      <w:tr>
        <w:trPr>
          <w:trHeight w:val="648"/>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jc w:val="center"/>
        <w:ind w:right="-5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INVESTOR QUESTIONNAIRE</w:t>
      </w:r>
    </w:p>
    <w:p>
      <w:pPr>
        <w:spacing w:after="0" w:line="229" w:lineRule="exact"/>
        <w:rPr>
          <w:sz w:val="20"/>
          <w:szCs w:val="20"/>
          <w:color w:val="auto"/>
        </w:rPr>
      </w:pPr>
    </w:p>
    <w:p>
      <w:pPr>
        <w:ind w:left="680" w:hanging="634"/>
        <w:spacing w:after="0"/>
        <w:tabs>
          <w:tab w:leader="none" w:pos="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exact name that your Shares are to be registered in. You may use a nominee name if appropriate: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w:t>
      </w:r>
    </w:p>
    <w:p>
      <w:pPr>
        <w:spacing w:after="0" w:line="225" w:lineRule="exact"/>
        <w:rPr>
          <w:rFonts w:ascii="Arial" w:cs="Arial" w:eastAsia="Arial" w:hAnsi="Arial"/>
          <w:sz w:val="18"/>
          <w:szCs w:val="18"/>
          <w:color w:val="auto"/>
        </w:rPr>
      </w:pPr>
    </w:p>
    <w:p>
      <w:pPr>
        <w:ind w:left="620" w:hanging="61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relationship between the Purchaser and the registered holder listed in response to item 1 above: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w:t>
      </w:r>
    </w:p>
    <w:p>
      <w:pPr>
        <w:spacing w:after="0" w:line="225" w:lineRule="exact"/>
        <w:rPr>
          <w:rFonts w:ascii="Arial" w:cs="Arial" w:eastAsia="Arial" w:hAnsi="Arial"/>
          <w:sz w:val="18"/>
          <w:szCs w:val="18"/>
          <w:color w:val="auto"/>
        </w:rPr>
      </w:pPr>
    </w:p>
    <w:p>
      <w:pPr>
        <w:ind w:left="620" w:hanging="61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mailing address of the registered holder listed in response to item 1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________________________________________________</w:t>
      </w:r>
    </w:p>
    <w:p>
      <w:pPr>
        <w:spacing w:after="0" w:line="200" w:lineRule="exact"/>
        <w:rPr>
          <w:sz w:val="20"/>
          <w:szCs w:val="20"/>
          <w:color w:val="auto"/>
        </w:rPr>
      </w:pPr>
    </w:p>
    <w:p>
      <w:pPr>
        <w:spacing w:after="0" w:line="227" w:lineRule="exact"/>
        <w:rPr>
          <w:sz w:val="20"/>
          <w:szCs w:val="20"/>
          <w:color w:val="auto"/>
        </w:rPr>
      </w:pPr>
    </w:p>
    <w:p>
      <w:pPr>
        <w:ind w:left="620" w:hanging="619"/>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Social Security Number or Tax Identification Number of the registered holder listed in the response to item 1 above:</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640" w:hanging="639"/>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DTC Participant (broker-dealer at which the account or accounts to be credited with the Shares are maintained):</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640" w:hanging="639"/>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DTC Participant Number: _________________________________________________________________________</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640" w:hanging="639"/>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Account at DTC Participant being credited with the Shares: _______________________________________</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620" w:hanging="619"/>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Account Number at DTC Participant being credited with the Shares: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441325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99"/>
          </w:cols>
          <w:pgMar w:left="960" w:top="688"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Vringo Announces $45 Million Registered Direct Offering of Common Stock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181818"/>
        </w:rPr>
        <w:t xml:space="preserve">October 5, 2012 — Vringo, Inc. (NYSE MKT: VRNG) today announced </w:t>
      </w:r>
      <w:r>
        <w:rPr>
          <w:rFonts w:ascii="Arial" w:cs="Arial" w:eastAsia="Arial" w:hAnsi="Arial"/>
          <w:sz w:val="17"/>
          <w:szCs w:val="17"/>
          <w:color w:val="000000"/>
        </w:rPr>
        <w:t>that it has entered into subscription agreements for the sale of 10,344,998 shares of</w:t>
      </w:r>
      <w:r>
        <w:rPr>
          <w:rFonts w:ascii="Arial" w:cs="Arial" w:eastAsia="Arial" w:hAnsi="Arial"/>
          <w:sz w:val="17"/>
          <w:szCs w:val="17"/>
          <w:color w:val="181818"/>
        </w:rPr>
        <w:t xml:space="preserve"> </w:t>
      </w:r>
      <w:r>
        <w:rPr>
          <w:rFonts w:ascii="Arial" w:cs="Arial" w:eastAsia="Arial" w:hAnsi="Arial"/>
          <w:sz w:val="17"/>
          <w:szCs w:val="17"/>
          <w:color w:val="000000"/>
        </w:rPr>
        <w:t>its common stock in a registered direct offering at a price of $4.35 per share, for gross proceeds of approximately $45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shares were offered directly to five existing institutional investors without a placement agent or underwriter.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entering court mandated settlement discussions with Google on Tuesday, and trial is scheduled to begin the following week, on October 16th. Upon closing the financing, the company will have over $55 million of cash, and Vringo will be in a position of strength. We are pleased with the confidence our investors have shown in our business plan and growth strategy," said Andrew Perlman, Chief Executive Officer of Vringo.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sale and issuance of the shares is expected to close on or about October 9, 2012, pending NYSE MKT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and issuance of the shares is being made pursuant to a prospectus supplement dated August 9, 2012 and an accompanying prospectus dated August 2, 2012, pursuant to Vringo's effective "shelf" registration statement on Form S-3 (File No. 333-182823), which was filed with the Securities and Exchange Commission on July 24, 2012 and was declared effective on August 2,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of Vringo, Inc. nor shall there be any sale of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Vringo, Inc. is engaged in the innovation, development and monetization of mobile technologies and intellectual property. Vringo's intellectual property portfolio consists of eleven patents, eight of which were acquired from Lycos, Inc., as well as over twenty patent applications. Vringo operates a global platform for the distribution of mobile social applications and services including Facetones® and Video Ringtones which transforms the basic act of making and receiving mobile phone calls into a highly visual, social experience. For more information, visit: www.vringoIP.com.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Investors and stockholders are also urged to read the risk factors set forth in the definitive proxy statement/prospectus filed with the SEC on June 21, 2012.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Hodges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6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Letter"/>
      <w:start w:val="1"/>
    </w:lvl>
    <w:lvl w:ilvl="1">
      <w:lvlJc w:val="left"/>
      <w:lvlText w:val="%2."/>
      <w:numFmt w:val="decimal"/>
      <w:start w:val="4"/>
    </w:lvl>
  </w:abstractNum>
  <w:abstractNum w:abstractNumId="3">
    <w:nsid w:val="1F16E9E8"/>
    <w:multiLevelType w:val="hybridMultilevel"/>
    <w:lvl w:ilvl="0">
      <w:lvlJc w:val="left"/>
      <w:lvlText w:val="(%1)"/>
      <w:numFmt w:val="lowerLetter"/>
      <w:start w:val="1"/>
    </w:lvl>
    <w:lvl w:ilvl="1">
      <w:lvlJc w:val="left"/>
      <w:lvlText w:val="%2"/>
      <w:numFmt w:val="decimal"/>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6"/>
    </w:lvl>
  </w:abstractNum>
  <w:abstractNum w:abstractNumId="12">
    <w:nsid w:val="41A7C4C9"/>
    <w:multiLevelType w:val="hybridMultilevel"/>
    <w:lvl w:ilvl="0">
      <w:lvlJc w:val="left"/>
      <w:lvlText w:val="%1."/>
      <w:numFmt w:val="decimal"/>
      <w:start w:val="7"/>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1"/>
    </w:lvl>
    <w:lvl w:ilvl="1">
      <w:lvlJc w:val="left"/>
      <w:lvlText w:val="%2."/>
      <w:numFmt w:val="decimal"/>
      <w:start w:val="1"/>
    </w:lvl>
  </w:abstractNum>
  <w:abstractNum w:abstractNumId="16">
    <w:nsid w:val="519B500D"/>
    <w:multiLevelType w:val="hybridMultilevel"/>
    <w:lvl w:ilvl="0">
      <w:lvlJc w:val="left"/>
      <w:lvlText w:val="%1."/>
      <w:numFmt w:val="decimal"/>
      <w:start w:val="2"/>
    </w:lvl>
    <w:lvl w:ilvl="1">
      <w:lvlJc w:val="left"/>
      <w:lvlText w:val="%2"/>
      <w:numFmt w:val="decimal"/>
      <w:start w:val="1"/>
    </w:lvl>
  </w:abstractNum>
  <w:abstractNum w:abstractNumId="17">
    <w:nsid w:val="431BD7B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2019-12-09T18:17:16Z</dcterms:created>
  <dcterms:modified xsi:type="dcterms:W3CDTF">2019-12-09T18:17:16Z</dcterms:modified>
</cp:coreProperties>
</file>