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900" w:right="1620" w:hanging="3892"/>
        <w:spacing w:after="0" w:line="473"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2016</w:t>
      </w:r>
    </w:p>
    <w:p>
      <w:pPr>
        <w:spacing w:after="0" w:line="26" w:lineRule="exact"/>
        <w:rPr>
          <w:sz w:val="24"/>
          <w:szCs w:val="24"/>
          <w:color w:val="auto"/>
        </w:rPr>
      </w:pPr>
    </w:p>
    <w:p>
      <w:pPr>
        <w:ind w:left="4460" w:right="1600" w:hanging="4452"/>
        <w:spacing w:after="0" w:line="501" w:lineRule="auto"/>
        <w:tabs>
          <w:tab w:leader="none" w:pos="66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38"/>
        </w:trPr>
        <w:tc>
          <w:tcPr>
            <w:tcW w:w="788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Commission file number: 001-34785</w:t>
            </w:r>
          </w:p>
        </w:tc>
        <w:tc>
          <w:tcPr>
            <w:tcW w:w="3540" w:type="dxa"/>
            <w:vAlign w:val="bottom"/>
          </w:tcPr>
          <w:p>
            <w:pPr>
              <w:spacing w:after="0"/>
              <w:rPr>
                <w:sz w:val="20"/>
                <w:szCs w:val="20"/>
                <w:color w:val="auto"/>
              </w:rPr>
            </w:pPr>
          </w:p>
        </w:tc>
      </w:tr>
      <w:tr>
        <w:trPr>
          <w:trHeight w:val="410"/>
        </w:trPr>
        <w:tc>
          <w:tcPr>
            <w:tcW w:w="78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VRINGO, INC.</w:t>
            </w:r>
          </w:p>
        </w:tc>
        <w:tc>
          <w:tcPr>
            <w:tcW w:w="3540" w:type="dxa"/>
            <w:vAlign w:val="bottom"/>
          </w:tcPr>
          <w:p>
            <w:pPr>
              <w:spacing w:after="0"/>
              <w:rPr>
                <w:sz w:val="24"/>
                <w:szCs w:val="24"/>
                <w:color w:val="auto"/>
              </w:rPr>
            </w:pPr>
          </w:p>
        </w:tc>
      </w:tr>
      <w:tr>
        <w:trPr>
          <w:trHeight w:val="238"/>
        </w:trPr>
        <w:tc>
          <w:tcPr>
            <w:tcW w:w="788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40" w:type="dxa"/>
            <w:vAlign w:val="bottom"/>
          </w:tcPr>
          <w:p>
            <w:pPr>
              <w:spacing w:after="0"/>
              <w:rPr>
                <w:sz w:val="20"/>
                <w:szCs w:val="20"/>
                <w:color w:val="auto"/>
              </w:rPr>
            </w:pPr>
          </w:p>
        </w:tc>
      </w:tr>
      <w:tr>
        <w:trPr>
          <w:trHeight w:val="432"/>
        </w:trPr>
        <w:tc>
          <w:tcPr>
            <w:tcW w:w="788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4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187"/>
        </w:trPr>
        <w:tc>
          <w:tcPr>
            <w:tcW w:w="56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9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88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540" w:type="dxa"/>
            <w:vAlign w:val="bottom"/>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2"/>
        </w:trPr>
        <w:tc>
          <w:tcPr>
            <w:tcW w:w="788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780 Third Avenue, 12th Floor, New York, NY</w:t>
            </w:r>
          </w:p>
        </w:tc>
        <w:tc>
          <w:tcPr>
            <w:tcW w:w="3540" w:type="dxa"/>
            <w:vAlign w:val="bottom"/>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2"/>
        </w:trPr>
        <w:tc>
          <w:tcPr>
            <w:tcW w:w="5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69"/>
        </w:trPr>
        <w:tc>
          <w:tcPr>
            <w:tcW w:w="6280" w:type="dxa"/>
            <w:vAlign w:val="bottom"/>
            <w:gridSpan w:val="4"/>
          </w:tcPr>
          <w:p>
            <w:pPr>
              <w:jc w:val="center"/>
              <w:ind w:left="5070"/>
              <w:spacing w:after="0"/>
              <w:rPr>
                <w:sz w:val="20"/>
                <w:szCs w:val="20"/>
                <w:color w:val="auto"/>
              </w:rPr>
            </w:pPr>
            <w:r>
              <w:rPr>
                <w:rFonts w:ascii="Times New Roman" w:cs="Times New Roman" w:eastAsia="Times New Roman" w:hAnsi="Times New Roman"/>
                <w:sz w:val="18"/>
                <w:szCs w:val="18"/>
                <w:b w:val="1"/>
                <w:bCs w:val="1"/>
                <w:color w:val="auto"/>
                <w:w w:val="99"/>
              </w:rPr>
              <w:t>(212) 309-7549</w:t>
            </w:r>
          </w:p>
        </w:tc>
        <w:tc>
          <w:tcPr>
            <w:tcW w:w="16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78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3540" w:type="dxa"/>
            <w:vAlign w:val="bottom"/>
          </w:tcPr>
          <w:p>
            <w:pPr>
              <w:spacing w:after="0"/>
              <w:rPr>
                <w:sz w:val="20"/>
                <w:szCs w:val="20"/>
                <w:color w:val="auto"/>
              </w:rPr>
            </w:pPr>
          </w:p>
        </w:tc>
      </w:tr>
    </w:tbl>
    <w:p>
      <w:pPr>
        <w:spacing w:after="0" w:line="198"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1" w:right="239" w:bottom="1440"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1800" w:space="720"/>
            <w:col w:w="4540" w:space="720"/>
            <w:col w:w="2360" w:space="720"/>
            <w:col w:w="560"/>
          </w:cols>
          <w:pgMar w:left="240" w:top="441"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19" w:lineRule="exact"/>
        <w:rPr>
          <w:sz w:val="24"/>
          <w:szCs w:val="24"/>
          <w:color w:val="auto"/>
        </w:rPr>
      </w:pPr>
    </w:p>
    <w:p>
      <w:pPr>
        <w:sectPr>
          <w:pgSz w:w="11900" w:h="16838" w:orient="portrait"/>
          <w:cols w:equalWidth="0" w:num="4">
            <w:col w:w="1800" w:space="720"/>
            <w:col w:w="4540" w:space="720"/>
            <w:col w:w="2360" w:space="720"/>
            <w:col w:w="560"/>
          </w:cols>
          <w:pgMar w:left="240" w:top="441" w:right="239" w:bottom="1440" w:gutter="0" w:footer="0" w:header="0"/>
          <w:type w:val="continuous"/>
        </w:sectPr>
      </w:pPr>
    </w:p>
    <w:p>
      <w:pPr>
        <w:spacing w:after="0" w:line="28" w:lineRule="exact"/>
        <w:rPr>
          <w:sz w:val="24"/>
          <w:szCs w:val="24"/>
          <w:color w:val="auto"/>
        </w:rPr>
      </w:pPr>
    </w:p>
    <w:p>
      <w:pPr>
        <w:spacing w:after="0"/>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4">
            <w:col w:w="8620" w:space="220"/>
            <w:col w:w="160" w:space="240"/>
            <w:col w:w="220" w:space="220"/>
            <w:col w:w="1740"/>
          </w:cols>
          <w:pgMar w:left="240" w:top="441"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5, 2016, 14,993,686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80" w:type="dxa"/>
            <w:vAlign w:val="bottom"/>
            <w:gridSpan w:val="3"/>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VRINGO,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80" w:type="dxa"/>
            <w:vAlign w:val="bottom"/>
            <w:gridSpan w:val="3"/>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540" w:type="dxa"/>
            <w:vAlign w:val="bottom"/>
            <w:shd w:val="clear" w:color="auto" w:fill="CCEEFF"/>
          </w:tcPr>
          <w:p>
            <w:pPr>
              <w:spacing w:after="0"/>
              <w:rPr>
                <w:sz w:val="15"/>
                <w:szCs w:val="15"/>
                <w:color w:val="auto"/>
              </w:rPr>
            </w:pPr>
          </w:p>
        </w:tc>
        <w:tc>
          <w:tcPr>
            <w:tcW w:w="88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540" w:type="dxa"/>
            <w:vAlign w:val="bottom"/>
          </w:tcPr>
          <w:p>
            <w:pPr>
              <w:spacing w:after="0"/>
              <w:rPr>
                <w:sz w:val="15"/>
                <w:szCs w:val="15"/>
                <w:color w:val="auto"/>
              </w:rPr>
            </w:pPr>
          </w:p>
        </w:tc>
        <w:tc>
          <w:tcPr>
            <w:tcW w:w="8800" w:type="dxa"/>
            <w:vAlign w:val="bottom"/>
            <w:gridSpan w:val="12"/>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540" w:type="dxa"/>
            <w:vAlign w:val="bottom"/>
            <w:shd w:val="clear" w:color="auto" w:fill="CCEEFF"/>
          </w:tcPr>
          <w:p>
            <w:pPr>
              <w:spacing w:after="0"/>
              <w:rPr>
                <w:sz w:val="17"/>
                <w:szCs w:val="17"/>
                <w:color w:val="auto"/>
              </w:rPr>
            </w:pPr>
          </w:p>
        </w:tc>
        <w:tc>
          <w:tcPr>
            <w:tcW w:w="88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Controls and Procedures</w:t>
              </w:r>
            </w:hyperlink>
          </w:p>
        </w:tc>
        <w:tc>
          <w:tcPr>
            <w:tcW w:w="444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4"/>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PART II. OTHER INFORMATION</w:t>
              </w:r>
            </w:hyperlink>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3"/>
          </w:tcPr>
          <w:p>
            <w:pPr>
              <w:ind w:left="540"/>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540" w:type="dxa"/>
            <w:vAlign w:val="bottom"/>
            <w:shd w:val="clear" w:color="auto" w:fill="CCEEFF"/>
          </w:tcPr>
          <w:p>
            <w:pPr>
              <w:spacing w:after="0"/>
              <w:rPr>
                <w:sz w:val="15"/>
                <w:szCs w:val="15"/>
                <w:color w:val="auto"/>
              </w:rPr>
            </w:pPr>
          </w:p>
        </w:tc>
        <w:tc>
          <w:tcPr>
            <w:tcW w:w="88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540" w:type="dxa"/>
            <w:vAlign w:val="bottom"/>
          </w:tcPr>
          <w:p>
            <w:pPr>
              <w:spacing w:after="0"/>
              <w:rPr>
                <w:sz w:val="15"/>
                <w:szCs w:val="15"/>
                <w:color w:val="auto"/>
              </w:rPr>
            </w:pPr>
          </w:p>
        </w:tc>
        <w:tc>
          <w:tcPr>
            <w:tcW w:w="8800" w:type="dxa"/>
            <w:vAlign w:val="bottom"/>
            <w:gridSpan w:val="12"/>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540" w:type="dxa"/>
            <w:vAlign w:val="bottom"/>
            <w:shd w:val="clear" w:color="auto" w:fill="CCEEFF"/>
          </w:tcPr>
          <w:p>
            <w:pPr>
              <w:spacing w:after="0"/>
              <w:rPr>
                <w:sz w:val="17"/>
                <w:szCs w:val="17"/>
                <w:color w:val="auto"/>
              </w:rPr>
            </w:pPr>
          </w:p>
        </w:tc>
        <w:tc>
          <w:tcPr>
            <w:tcW w:w="88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Mine Safety Disclosures</w:t>
              </w:r>
            </w:hyperlink>
          </w:p>
        </w:tc>
        <w:tc>
          <w:tcPr>
            <w:tcW w:w="648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Other Information</w:t>
              </w:r>
            </w:hyperlink>
          </w:p>
        </w:tc>
        <w:tc>
          <w:tcPr>
            <w:tcW w:w="748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540" w:type="dxa"/>
            <w:vAlign w:val="bottom"/>
          </w:tcPr>
          <w:p>
            <w:pPr>
              <w:spacing w:after="0"/>
              <w:rPr>
                <w:sz w:val="15"/>
                <w:szCs w:val="15"/>
                <w:color w:val="auto"/>
              </w:rPr>
            </w:pPr>
          </w:p>
        </w:tc>
        <w:tc>
          <w:tcPr>
            <w:tcW w:w="8800" w:type="dxa"/>
            <w:vAlign w:val="bottom"/>
            <w:gridSpan w:val="12"/>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2950"/>
              <w:spacing w:after="0"/>
              <w:rPr>
                <w:sz w:val="20"/>
                <w:szCs w:val="20"/>
                <w:color w:val="auto"/>
              </w:rPr>
            </w:pPr>
            <w:r>
              <w:rPr>
                <w:rFonts w:ascii="Times New Roman" w:cs="Times New Roman" w:eastAsia="Times New Roman" w:hAnsi="Times New Roman"/>
                <w:sz w:val="18"/>
                <w:szCs w:val="18"/>
                <w:color w:val="auto"/>
                <w:w w:val="88"/>
              </w:rPr>
              <w:t>2</w:t>
            </w:r>
          </w:p>
        </w:tc>
        <w:tc>
          <w:tcPr>
            <w:tcW w:w="2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Vringo, Inc. and Subsidiaries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(see Note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courts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500,000 shares authorized; none issued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$0.01 par value per share, 5,000,000 shares authorized; 1,666,667 shares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none outstanding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150,000,000 shares authorized; 14,993,686 and 13,220,050 shares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March 31, 2016 and December 31, 2015, respectively</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240,687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warrants and conversion feature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 debt</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6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2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 during the year*:</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14,158,680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9,340,490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14,158,680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9,340,490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Includes stock-based compensation expense, as follows:</w:t>
            </w: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Common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Accumulated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paid-in 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178"/>
        </w:trPr>
        <w:tc>
          <w:tcPr>
            <w:tcW w:w="5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Issuance of common stock for repayment of convertible debt and related</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(3,955)</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2016</w:t>
            </w: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(200,817</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407"/>
        </w:trPr>
        <w:tc>
          <w:tcPr>
            <w:tcW w:w="5620" w:type="dxa"/>
            <w:vAlign w:val="bottom"/>
          </w:tcPr>
          <w:p>
            <w:pPr>
              <w:spacing w:after="0"/>
              <w:rPr>
                <w:sz w:val="24"/>
                <w:szCs w:val="24"/>
                <w:color w:val="auto"/>
              </w:rPr>
            </w:pPr>
          </w:p>
        </w:tc>
        <w:tc>
          <w:tcPr>
            <w:tcW w:w="9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Common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Accumulated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620" w:type="dxa"/>
            <w:vAlign w:val="bottom"/>
          </w:tcPr>
          <w:p>
            <w:pPr>
              <w:spacing w:after="0"/>
              <w:rPr>
                <w:sz w:val="20"/>
                <w:szCs w:val="20"/>
                <w:color w:val="auto"/>
              </w:rPr>
            </w:pPr>
          </w:p>
        </w:tc>
        <w:tc>
          <w:tcPr>
            <w:tcW w:w="9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paid-in 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2014, as adjusted</w:t>
            </w: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derivative warrants to equity warrants</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(6,976)</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2015, as adjusted</w:t>
            </w: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1:10 reverse stock split that became effective on November 27,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0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not affecting cash flows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warrants as part of debt modification</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conversion feature</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loss, net</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current assets and liabilities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payables and accruals</w:t>
            </w:r>
          </w:p>
        </w:tc>
        <w:tc>
          <w:tcPr>
            <w:tcW w:w="1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software</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deposits</w:t>
            </w:r>
          </w:p>
        </w:tc>
        <w:tc>
          <w:tcPr>
            <w:tcW w:w="1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3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16,023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transactions</w:t>
            </w:r>
          </w:p>
        </w:tc>
        <w:tc>
          <w:tcPr>
            <w:tcW w:w="1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classification of derivative warrant liabilities into equity warrants</w:t>
            </w:r>
          </w:p>
        </w:tc>
        <w:tc>
          <w:tcPr>
            <w:tcW w:w="23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repay $2,786 of debt and interest</w:t>
            </w:r>
          </w:p>
        </w:tc>
        <w:tc>
          <w:tcPr>
            <w:tcW w:w="23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2,996</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Vringo, Inc. (“Vringo” or the “Company”) is engaged in the innovation, development and monetization of intellectual property, as well as the commercialization and distribution of wire-free power and rugged computing devices. The Company has three operating segments:</w:t>
      </w:r>
    </w:p>
    <w:p>
      <w:pPr>
        <w:spacing w:after="0" w:line="162" w:lineRule="exact"/>
        <w:rPr>
          <w:sz w:val="20"/>
          <w:szCs w:val="20"/>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 Charge</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Mobile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in Delaware on January 9, 2006 and completed an initial public offering in June 2010. On July 19, 2012, Vringo closed a merger with Innovate/Protect, Inc. On August 9, 2012, the Company acquired a patent portfolio from Nokia, comprised of 124 patent families with counterparts in certain jurisdictions worldwide, for $22,000. Under the terms of the purchase agreement, to the extent that the gross revenue as defined by the agreement exceeds $22,000, the Company is obligated to pay a royalty of 35% of such excess.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2015, the Company acquired 100% of International Development Group Limited (“IDG”), a holding company consisting of two subsidiaries, Fli Charge and Group Mobile. IDG owned 70% of Fli Charge and 100% of Group Mobile. The acquisition was a stock purchase whereby Vringo acquired its entire interest in IDG in exchange for shares in Vringo. The total value of the consideration was $5,571. On December 28, 2015, Vringo acquired the remaining 30% of Fli Charge from third party shareholders in exchange for shares in Vringo.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Fli Charge owns a patented conductive wire-free charging technology and is focused on the development and commercialization of its technology through the direct-to-consumer sale of enablements, as well as partnerships and licensing agreements in various industries. Fli Charge is currently working with partners that are interested in implementing Fli Charge technology for smart furniture, Original Equipment Manufacturers “OEM” and after-market automobiles, and vaporizers. Fli Charge’s business model is to license its technology in exchange for recurring licensing revenue as well as to manufacture and commercialize its own conductive charging pads and associated cases for phones, tablets and laptops.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Group Mobile is a full-service reseller of rugged computers, rugged tablets, rugged mobile devices, accessories and other related products geared toward emergency first responders, municipalities and corporations. In addition, Group Mobile specializes in high-quality customer support for those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2013, Vringo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As part of the transaction, the Company has the opportunity to license certain intellectual property assets and work with InfoMedia to identify and protect new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Company’s operating segments are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818"/>
        </w:rPr>
        <w:t>Fli Charge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Fli Charge is a wire-free power company dedicated to making it easier for people to power and charge the multitude of mobile electronic devices they use on a daily basis. By eliminating the need to search and compete for outlets and charging cables, Fli Charge is improving the powering and charging experience for all battery and DC powered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Fli Charge designs, develops, licenses, manufactures and markets wire-free conductive power and charging solutions. Fli Charge is currently working with partners in several verticals to bring products to market. These verticals include education, office, hospitality, automotive and consumer electronics among others. To date, Fli Charge has not yet generated any substantial revenue from its products. The Company believes that Fli Charge’s patented technology is the only wire-free power solution that is fully interoperable between different mobile devices ranging from smartphones to power tools, and many more. Fli Charge’s wire-free power solution can simultaneously power multiple devices on the same pad no matter their power requirements or positions on the pad.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Fli Charge ecosystem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117"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Group Mobile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Group Mobile is a provider of rugged, mobile and field-use computing products, serving customers worldwide. Group Mobile provides total hardware solutions, including rugged laptops, tablets, and handheld computers. Group Mobile also markets rugged mobile printers, vehicle computer docking and mounting gear, power accessories, wireless communication products, antennas, carrying cases, and other peripherals, accessories, and add-ons needed to maximize productivity in a mobile- or field-computing environment. Group Mobile operates a full-service e-commerce website with live chat, up-to-date product information, and computer system configuration capabilities. Group Mobile’s goal is to ensure that its customers purchase the best product for their specific requirements.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Group Mobile purchases rugged mobile computing equipment and complementary products from its primary distribution and manufacturing partners and sells them to enterprise, reseller, and retail customers. Group Mobile’s primary customers range from corporations to local governments, emergency first responders and healthcare organizations. Group Mobile believes that its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costs represent the single largest expense and product inventory is one of the largest working capital investments for Group Mobile. Group Mobile’s primary suppliers include Synnex Corporation, Ingram Micro Inc., Xplore Technologies Corporation, Flextronics International Ltd. and Trimble Navigation Ltd., which combined represent approximately 80% of Group Mobile’s inventory purchases. Group Mobile has reseller agreements with most of its OEM and distribution partners. These agreements usually provide for nonexclusive resale and distribution rights. The agreements are generally short-term, subject to periodic renewal, and often contain provisions permitting termination by either Group Mobile or their supplier without cause upon relatively short notice. Furthermore, product procurement from the OEM suppliers is a highly complex process and, as such, efficient and effective purchasing operations are critical to Group Mobile’s success.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Vringo’s Intellectual Property operating segment is engaged in the innovation, development and monetization of intellectual property. The Company’s portfolio consists of over 600 patents and patent applications covering telecom infrastructure, internet search, ad-insertion and mobile technologies.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Vringo is currently focused on monetizing its technology portfolio through a variety of value enhancing initiatives, including, but not limited to licensing, litigation and strategic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181818"/>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Senior Secured Convertible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9, 2016, the Company and the holders (the “Investors”) of the Company’s $12,500 Senior Convertible Notes (the “Notes”), which were originally issued by the Company in a registered direct offering on May 4, 2015, entered into an exchange note agreement (the “Exchange Note Agreement”). Pursuant to the Exchange Note Agreement, the Company issued to the Investors an aggregate of 703,644 shares of its common stock, par value $0.01 per share,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March 9, 2016, the Company, with the consent of each of the Investors,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the Company’s common stock and will be payable by the Company on the Maturity Date (as defined below) in cash only, (ii) the Maturity Date of the Amended Notes will extend to June 30, 2017 (the “Maturity Date”), (iii) the Company will discontinue the payment of principal prior to the Maturity Date (subject to certain exceptions), (iv) the interest rate increased from 8% to 10% per annum and will accrue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agreed to reduce the exercise price of the warrants to purchase an aggregate of 537,500 shares of the Company’s common stock granted as part of the initial agreement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181818"/>
        </w:rPr>
        <w:t>Shareholder Rights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18, 2016, the Company announced that the Company’s Board of Directors adopted a shareholder rights plan in the form of a Section 382 Rights Agreement designed to preserve the Company’s tax assets. As a part of the plan, the Company’s Board of Directors declared a dividend of one preferred-share-purchase right for each share of the Company’s common stock outstanding as of March 29, 2016. Effective on March 18, 2016, if any group or person acquires 4.99% or more of the Company’s outstanding shares of common stock, or if a group or person that already owns 4.99% or more of the Company’s common stock acquires additional shares representing 0.5% or more of the Company’s common stock, then, subject to certain exceptions, there would be a triggering event under the plan. The rights would then separate from the Company’s common stock and would be adjusted to become exercisable to purchase shares of the Company’s common stock having a market value equal to twice the purchase price of $9.50, resulting in significant dilution in the ownership interest of the acquiring person or group. The Company’s Board of Directors has the discretion to exempt any acquisition of the Company’s common stock from the provisions of the plan and has the ability to terminate the plan prior to a triggering event. In connection with this plan, the Company filed a Certificate of Designation of Series C Junior Preferred Stock with the Secretary of State of the State of Delaware on March 18,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Reverse Stock Split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27, 2015, the Company implemented a one-for-ten reverse split of its issued and outstanding shares of common stock (the "Reverse Stock Split"), as authorized at a special meeting of the Company’s stockholders held on November 16, 2015. The Reverse Stock Split became effective at the opening of trading on NASDAQ on November 27, 2015. As of November 27, 2015, every 10 shares of the Company’s issued and outstanding common stock were combined into one share of its common stock, except to the extent that the Reverse Stock Split resulted in any of the Company’s stockholders owning a fractional share, which was rounded up to the next highest whole share. In connection with the Reverse Stock Split, there was no change in the nominal par value per share of $0.01.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2016, the Company had a cash balance of $20,560, accounts receivable of $1,060, and deposits with courts of $831. In February 2016, $1,173 of deposits with courts and $192 of court fees were returned back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 and 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2015. All adjustments that, in the opinion of management, are necessary for a fair presentation for the periods presented have been reflected by the Company. Such adjustments are of a normal, recurring nature. The results of operations for the three month period ended March 31, 2016 are not necessarily indicative of the results that may be expected for the entire fiscal year or for any other interim period.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 assets, the useful lives of the Company’s intangible assets, the valuation of the Company’s derivative warrants, the valuation of stock-based compensation, deferred tax assets and liabilities, income tax uncertainties, and other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Accounting guidance adopted in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2015-03, Imputation of Interest (Subtopic 835-30): Simplifying the Presentation of Debt Issuance Costs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 period ended March 31, 2016, the Company adopted guidance on a retrospective basis that requires debt issuance costs related to a recognized debt liability to be presented in the consolidated balance sheet as a deduction from the carrying amount of such debt. As a result of this adoption, the Company reclassified $73 of debt issuance costs as of December 31, 2015 from other current assets to senior secured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2014-15, Presentation of Financial Statements (Topic 205): Going Concern</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 period ended March 31, 2016, the Company adopted the standard that provides guidance around management's responsibility to evaluate whether there is substantial doubt about an entity's ability to continue as a going concern and to provide related footnote disclosures. The adoption of this guidance did not have a material effect on the Company’s consolidated financial statements.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ASU 2014-16, Derivatives and Hedging (Topic 815): Determining Whether the Host Contract in a Hybrid Financial Instrument Issued in the Form of a Share is More Akin to Debt or to Equity</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 period ended March 31, 2016, the Company adopted the standard that clarifies how current U.S. GAAP should be interpreted in evaluating the economic characteristics and risks of a host contract in a hybrid financial instrument that is issued in the form of a share. The adoption of this guidance did not have a material effect on the Company’s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Reclassification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27, 2015, the Company implemented the Reverse Stock Split, which became effective at the opening of trading on the NASDAQ on that date. As of November 27, 2015, every 10 shares of the Company’s issued and outstanding common stock were combined into one share of its common stock, except to the extent that the Reverse Stock Split resulted in any of the Company’s stockholders owning a fractional share, which was rounded up to the next highest whole share. In connection with the Reverse Stock Split, there was no change in the nominal par value per share of $0.01.</w:t>
      </w:r>
    </w:p>
    <w:p>
      <w:pPr>
        <w:sectPr>
          <w:pgSz w:w="11900" w:h="16838" w:orient="portrait"/>
          <w:cols w:equalWidth="0" w:num="1">
            <w:col w:w="11420"/>
          </w:cols>
          <w:pgMar w:left="240" w:top="902" w:right="239" w:bottom="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Certain balances have been reclassified to conform to presentation requirements, including to retroactively present the effect of the Reverse Stock Split. All references to the number of shares of common stock, price per share and weighted average shares of common stock have been adjusted to reflect the Reverse Stock Split on a retroactive basis for all periods presented, unless otherwise noted.</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a result of the adoption by the Company of </w:t>
      </w:r>
      <w:r>
        <w:rPr>
          <w:rFonts w:ascii="Times New Roman" w:cs="Times New Roman" w:eastAsia="Times New Roman" w:hAnsi="Times New Roman"/>
          <w:sz w:val="18"/>
          <w:szCs w:val="18"/>
          <w:i w:val="1"/>
          <w:iCs w:val="1"/>
          <w:color w:val="auto"/>
        </w:rPr>
        <w:t>ASU No. 2015-03</w:t>
      </w:r>
      <w:r>
        <w:rPr>
          <w:rFonts w:ascii="Times New Roman" w:cs="Times New Roman" w:eastAsia="Times New Roman" w:hAnsi="Times New Roman"/>
          <w:sz w:val="18"/>
          <w:szCs w:val="18"/>
          <w:color w:val="auto"/>
        </w:rPr>
        <w:t xml:space="preserve"> on a retrospective basis, during the three month period ended March 31, 2016, the Company reclassified $73 of debt issuance costs as of December 31, 2015 from other current assets to senior secured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including certain warrants and stock options, were not reflected in diluted net loss per share because the impact of such instruments was anti-dilutive.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losses per common share:</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Numerator:</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shares of common stock</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Denominator:</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during the period</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14,158,680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9,340,490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Basic common stock shares outstanding</w:t>
            </w:r>
          </w:p>
        </w:tc>
        <w:tc>
          <w:tcPr>
            <w:tcW w:w="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14,158,680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9,340,490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stock share</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Numerator:</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attributable to shares of common stock</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Diluted Denominator: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common stock shares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common stock shares outstanding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stock share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14,158,680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14,158,680</w:t>
            </w: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9,340,490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-153670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data presented excludes from the calculation of diluted net loss the following</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potentially dilutive securities, as they had an anti-dilutive impact:</w:t>
            </w: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Both vested and unvested options to purchase an equal number of shares of common stock of the Company</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862,484</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920,235</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to issue an equal number of shares of common stock of the Company</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67,656</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an equal number of shares of common stock of the Company</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1,006,679</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1,740,265</w:t>
            </w:r>
          </w:p>
        </w:tc>
      </w:tr>
      <w:tr>
        <w:trPr>
          <w:trHeight w:val="23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feature of Notes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318,924</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potentially dilutive instruments, excluded from the calculation of net loss per share</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2,213,707</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2,728,156</w:t>
            </w:r>
          </w:p>
        </w:tc>
        <w:tc>
          <w:tcPr>
            <w:tcW w:w="100" w:type="dxa"/>
            <w:vAlign w:val="bottom"/>
          </w:tcPr>
          <w:p>
            <w:pPr>
              <w:spacing w:after="0"/>
              <w:rPr>
                <w:sz w:val="18"/>
                <w:szCs w:val="18"/>
                <w:color w:val="auto"/>
              </w:rPr>
            </w:pPr>
          </w:p>
        </w:tc>
      </w:tr>
      <w:tr>
        <w:trPr>
          <w:trHeight w:val="642"/>
        </w:trPr>
        <w:tc>
          <w:tcPr>
            <w:tcW w:w="8120" w:type="dxa"/>
            <w:vAlign w:val="bottom"/>
            <w:tcBorders>
              <w:bottom w:val="single" w:sz="8" w:color="auto"/>
            </w:tcBorders>
          </w:tcPr>
          <w:p>
            <w:pPr>
              <w:ind w:left="564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 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15, 2015, the Company acquired IDG. Pursuant to the Purchase Agreement, the Company acquired 100% of the capital stock of IDG. Fli Charge, in which IDG owned 70% of the capital stock and control of its operations, and the wholly-owned Group Mobile were also acquired through the purchase of IDG. Fli Charge owns patented conductive wire-free charging technology and is focused on innovation, sales, manufacturing and licensing its technology in various industries, such as automotive, furniture and others. Group Mobile is a company with full-service customer support in rugged computers, mobile devices and accessories.</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consideration for the acquisition, the Company issued an equivalent of 1,666,667 common shares (after giving effect to the Reverse Stock Split), which were issued as follows: (i) 1,604,167 shares of the Company’s newly designated Series B Convertible Preferred Stock (“Series B Preferred”), convertible into 1,604,167 shares of the Company’s common stock , (ii) 57,500 shares of the Company’s unregistered common stock issued to one of the sellers, who is a former Chief Executive Officer and Director, in consideration of his forgiveness of debt and (iii) 5,000 shares of the Company’s common stock for transaction related services. A total of 240,625 Series B Preferred shares were placed in escrow to secure certain of the sellers’ indemnity obligations under the Purchase Agreement for a period of up to 12 months. On November 27, 2015, all Series B Preferred outstanding shares were converted into unregistered common stock of the Company, resulting in the 1,604,167 shares of common stock. On April 20, 2016, 85,121 shares of common stock were released from escrow.</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 consideration value was determined based on the market value of the Company’s common shares at the date of the transactions, discounted for the fact that the shares are restricted as to their marketability for a period of six months from the issuance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has been accounted for as a business combination. Assets acquired and liabilities assumed were recorded at their fair values at the closing date. The purchase price consideration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 Acquisition:</w:t>
            </w:r>
          </w:p>
        </w:tc>
        <w:tc>
          <w:tcPr>
            <w:tcW w:w="10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Debt assumed, settled in shares</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 value issued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for the acquisition was allocated to the net tangible and intangible assets based on their fair values as of the closing date. The excess of the purchase price over the net tangible assets and intangible assets was recorded as goodwill. The purchase price allocation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3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5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 line</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 in Fli Charge</w:t>
            </w:r>
          </w:p>
        </w:tc>
        <w:tc>
          <w:tcPr>
            <w:tcW w:w="3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was based upon a valuation and the Company's estimates and assumptions, which are subject to change within the measurement period (up to one year from the acquisition dates). The principal area of potential purchase price adjustments relate to the shares placed in escrow.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also entered into a Consulting Agreement with IDG’s former Chief Executive Officer and director for a term of six months and payment of $9 per month. The Company also issued to a finder a warrant to purchase up to an aggregate of 50,000 shares of common stock of the Company, at an exercise price of $5.00 per share, expiring on April 15, 2021. The fair value of the warrant was $114 and was recorded as an expense in general and administrative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28, 2015, the Company acquired the remaining 30% interest in Fli Charge from third parties. In conjunction with the transaction, the Company issued 110,000 shares of its unregistered common stock for total consideration of $262. The fair value of the consideration for financial reporting purposes was determined based on the market value of the shares at the date of the transaction, discounted due to the restricted nature of the shares and the effect this has on their marketability. The issuance of these shares have no impact on the allocation of the purchase consideration pursuant to FASB ASC 810 and was recorded as an equity transaction.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which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March 31, 2016</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December 31, 2015</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91"/>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Carrying</w:t>
            </w: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Accumulated</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Carrying</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amortization period</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Amount</w:t>
            </w: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(years)</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during the year: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patents consist of three major patent portfolios, which were acquired from third parties, as well as a number of internally-developed patents. The costs related to internally-developed patents are expensed as incurred. The Company recorded customer relationships, trade name and technology as part of the acquisition of Group Mobile and Fli Charge that was completed on October 15, 2015.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During the three month periods ended March 31, 2016 and 2015, the Company recorded amortization expense of $851 and $804, respectively. There were no impairment indicators related to the Company’s amortizable intangible assets during the periods ended March 31, 2016 and 2015.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goodwill, which relates to the purchase of IDG completed on October 15, 2015. There were no indicators of impairment as of March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3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4,106</w:t>
            </w:r>
          </w:p>
        </w:tc>
      </w:tr>
      <w:tr>
        <w:trPr>
          <w:trHeight w:val="223"/>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Segment Information</w:t>
            </w: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loss: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operating loss</w:t>
            </w:r>
          </w:p>
        </w:tc>
        <w:tc>
          <w:tcPr>
            <w:tcW w:w="2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net</w:t>
            </w: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9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117"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are allocated to the Intellectual Property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Senior Secured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4, 2015 (the “Closing Date”), the Company entered into a securities purchase agreement with certain institutional investors (the “Investors”) in a registered direct offering of $12,500 of Senior Secured Convertible Notes (the “Notes”) and warrants (the “May 2015 Warrants”) to purchase 537,500 shares of the Company’s common stock (after giving effect to the Reverse Stock Split). On the Closing Date, the Company issued the Notes, which were convertible into shares of the Company’s common stock at $10.00 per share, had 8% interest and matured in 21 months from the date of issuance, unless earlier converted. In addition, the Company issued the May 2015 Warrants to purchase shares of the Company’s common stock, which were exercisable at $10.00 per share for a period of five years, beginning on November 4, 2015. In connection with the issuance of the Notes and the May 2015 Warrants, the Company received net cash proceeds of $12,425. The Company also incurred third party costs directly associated with the issuance of Notes of $218, which are capitalized as debt issuance costs and reported as a reduction in senior secured notes, and are amortized over the term of the Note. The Company’s obligations under the outstanding Notes are secured by a first priority perfected security interest in substantially all of the Company’s U.S. assets. In addition, stock of certain subsidiaries of the Company were pledged. The outstanding Notes contain customary events of default, as well as covenants which include restrictions on the assumption of new debt by the Company. As of December 31, 2015, all covenants were met and there were no events of default.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2015, total outstanding principal was $4,206. Between January 1, 2016 and March 9, 2016, the Company made two principal payments in the aggregate amount of $1,190. The Company elected to make these principal payments in shares of the Company’s common stock, which are issued at a 15% discount to the market price data. As such, the Company issued 1,032,332 shares in lieu of principal payments and recorded $210 as extinguishment of debt expense on the consolidated statements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2016, the Company and the Investors entered into the Exchange Note Agreement. Pursuant to the Exchange Note Agreement, the Company issued to the Investors an aggregate of 703,644 shares of its common stock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March 9, 2016, the Company, with the consent of each of the Investors, agreed to amend the Notes. Pursuant to the Amended Notes and the Indenture dated May 4, 2015, as supplemented by a First Supplemental Indenture dated May 4, 2015 and further supplemented by the Second Supplemental Indenture dated March 9, 2016: (i) the Amended Notes are no longer convertible into shares of the Company’s common stock and will be payable by the Company on the Maturity Date in cash only, (ii) the Maturity Date of the Amended Notes will extend to June 30, 2017, (iii) the Company will discontinue the payment of principal prior to the Maturity Date (subject to certain exceptions), (iv) the interest rate increased from 8% to 10% per annum and will accrue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agreed to reduce the exercise price of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 Exchange Note Agreement does not constitute a troubled debt restructuring as it has not experienced financial difficulty. As such, the Company applied the guidance in ASC 470-50, Modifications and Extinguishments. The accounting treatment is determined by whether (1) the Investors remain the same and (2) the change in the debt terms is considered substantial.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the Investors remained the same before and after the Exchange Note Agreement, the Company has made a quantitative test, in order to determine whether the Amended Notes are substantially different from the original Notes. According to ASC 470-50-40-10, from the debtor’s perspective, an exchange of debt instruments between or a modification of a debt instrument by a debtor and a creditor is deemed to have been accomplished with debt instruments that are substantially different if the present value of the cash flows under the terms of the new debt instrument is at least 10 percent different from the present value of the remaining cash flows under the terms of the original instrument. If the terms of a debt instrument are changed or modified and the cash flow effect on a present value basis is less than 10 percent, the debt instruments are not considered to be substantially different.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accounting analysis performed and considering various scenarios for the cash flow test, the Company concluded that the Amended Notes were not substantially different from the original Notes and, as such, accounted for the Exchange Note Agreement as a modification:</w:t>
      </w:r>
    </w:p>
    <w:p>
      <w:pPr>
        <w:spacing w:after="0" w:line="162"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is recorded and a new effective interest rate is established based on the carrying value of the Notes and the revised cash flows of the Notes. Immediately before the Exchange Note Agreement, the fair value of the conversion option of the Notes was $10.00 per share. As such, the cancellation of this conversion option didn't affect the 10 percent test.</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of the May 2015 Warrants is capitalized similar to certain debt issuance costs. The fair value of the May 2015 Warrants increased by $281 as a result of the reduction of the exercise price from $10.00 to $3.00. Other terms of the May 2015 Warrants remain the same and continue to be recorded as derivative warrant liabilities. The capitalized amount of $281, along with any existing unamortized debt discount or premium, is amortized to interest expense over the remaining term of the Notes.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Exchange Note Agreement, on March 9, 2016, 703,644 shares were issued in exchange for the reduction of $1,267 of the outstanding principal amount and $49 of accrued interest and are also considered a noncash consideration. The fair value of the shares issued was $1,499. As such, the Company capitalized the fair value difference of $183 similar to certain debt issuance costs, which is amortized to interest expense over the remaining term of the Notes.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transactions cost as of March 9, 2016, in the amount of $49, continue to be deferred. New transaction costs paid to the Investors, in the amount of $50, are capitalized and recorded as an offset to the debt. New transaction costs, in the amount of $65, paid to third parties are recognized as an expense and are included in the general and administrative expense.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p>
    <w:p>
      <w:pPr>
        <w:sectPr>
          <w:pgSz w:w="11900" w:h="16870" w:orient="portrait"/>
          <w:cols w:equalWidth="0" w:num="1">
            <w:col w:w="11420"/>
          </w:cols>
          <w:pgMar w:left="240" w:top="904" w:right="239" w:bottom="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table below summarizes changes in the book value of the Notes from December 31, 2015 to March 31, 2016:</w:t>
      </w:r>
    </w:p>
    <w:p>
      <w:pPr>
        <w:spacing w:after="0" w:line="225" w:lineRule="exact"/>
        <w:rPr>
          <w:sz w:val="20"/>
          <w:szCs w:val="20"/>
          <w:color w:val="auto"/>
        </w:rPr>
      </w:pPr>
    </w:p>
    <w:p>
      <w:pPr>
        <w:ind w:right="777"/>
        <w:spacing w:after="0" w:line="261" w:lineRule="auto"/>
        <w:rPr>
          <w:sz w:val="20"/>
          <w:szCs w:val="20"/>
          <w:color w:val="auto"/>
        </w:rPr>
      </w:pPr>
      <w:r>
        <w:rPr>
          <w:rFonts w:ascii="Times New Roman" w:cs="Times New Roman" w:eastAsia="Times New Roman" w:hAnsi="Times New Roman"/>
          <w:sz w:val="18"/>
          <w:szCs w:val="18"/>
          <w:color w:val="auto"/>
        </w:rPr>
        <w:t>Book value of Notes as of December 31, 2015 (net of unamortized portion of debt issuance costs of $73) Debt repayments in January and February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65176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right="2357"/>
        <w:spacing w:after="0" w:line="276" w:lineRule="auto"/>
        <w:rPr>
          <w:sz w:val="20"/>
          <w:szCs w:val="20"/>
          <w:color w:val="auto"/>
        </w:rPr>
      </w:pPr>
      <w:r>
        <w:rPr>
          <w:rFonts w:ascii="Times New Roman" w:cs="Times New Roman" w:eastAsia="Times New Roman" w:hAnsi="Times New Roman"/>
          <w:sz w:val="18"/>
          <w:szCs w:val="18"/>
          <w:color w:val="auto"/>
        </w:rPr>
        <w:t>Amortization of debt discount and debt issuance costs, included in interest expense Book value of Notes before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65176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65176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considerations provided to the Investors, including:</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Increase in fair value of May 2015 Warrants due to reduced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Repayment of Notes in shares of common stock</w:t>
      </w:r>
    </w:p>
    <w:p>
      <w:pPr>
        <w:spacing w:after="0" w:line="9" w:lineRule="exact"/>
        <w:rPr>
          <w:sz w:val="20"/>
          <w:szCs w:val="20"/>
          <w:color w:val="auto"/>
        </w:rPr>
      </w:pPr>
    </w:p>
    <w:p>
      <w:pPr>
        <w:ind w:left="260" w:right="1957"/>
        <w:spacing w:after="0" w:line="250" w:lineRule="auto"/>
        <w:rPr>
          <w:sz w:val="20"/>
          <w:szCs w:val="20"/>
          <w:color w:val="auto"/>
        </w:rPr>
      </w:pPr>
      <w:r>
        <w:rPr>
          <w:rFonts w:ascii="Times New Roman" w:cs="Times New Roman" w:eastAsia="Times New Roman" w:hAnsi="Times New Roman"/>
          <w:sz w:val="18"/>
          <w:szCs w:val="18"/>
          <w:color w:val="auto"/>
        </w:rPr>
        <w:t>Repayment of $1,267 of Notes in shares of common stock at a discount to the market Restructuring fee paid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fair value of the considerations provided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 value of Amended Notes after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discount and debt issuance costs, included in 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 value of Amended Notes as of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723" w:hanging="723"/>
        <w:spacing w:after="0"/>
        <w:tabs>
          <w:tab w:leader="none" w:pos="7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3,111</w:t>
      </w:r>
    </w:p>
    <w:p>
      <w:pPr>
        <w:spacing w:after="0" w:line="27" w:lineRule="exact"/>
        <w:rPr>
          <w:rFonts w:ascii="Times New Roman" w:cs="Times New Roman" w:eastAsia="Times New Roman" w:hAnsi="Times New Roman"/>
          <w:sz w:val="18"/>
          <w:szCs w:val="18"/>
          <w:color w:val="auto"/>
        </w:rPr>
      </w:pPr>
    </w:p>
    <w:p>
      <w:pPr>
        <w:ind w:left="6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(1,190)</w:t>
      </w:r>
    </w:p>
    <w:p>
      <w:pPr>
        <w:spacing w:after="0" w:line="20" w:lineRule="exact"/>
        <w:rPr>
          <w:rFonts w:ascii="Times New Roman" w:cs="Times New Roman" w:eastAsia="Times New Roman" w:hAnsi="Times New Roman"/>
          <w:sz w:val="18"/>
          <w:szCs w:val="18"/>
          <w:color w:val="auto"/>
        </w:rPr>
      </w:pPr>
    </w:p>
    <w:p>
      <w:pPr>
        <w:ind w:left="8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356</w:t>
      </w:r>
    </w:p>
    <w:p>
      <w:pPr>
        <w:spacing w:after="0" w:line="9" w:lineRule="exact"/>
        <w:rPr>
          <w:rFonts w:ascii="Times New Roman" w:cs="Times New Roman" w:eastAsia="Times New Roman" w:hAnsi="Times New Roman"/>
          <w:sz w:val="18"/>
          <w:szCs w:val="18"/>
          <w:color w:val="auto"/>
        </w:rPr>
      </w:pPr>
    </w:p>
    <w:p>
      <w:pPr>
        <w:ind w:left="7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1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281</w:t>
      </w:r>
    </w:p>
    <w:p>
      <w:pPr>
        <w:spacing w:after="0" w:line="27"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1,267</w:t>
      </w:r>
    </w:p>
    <w:p>
      <w:pPr>
        <w:spacing w:after="0" w:line="9"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183</w:t>
      </w:r>
    </w:p>
    <w:p>
      <w:pPr>
        <w:spacing w:after="0" w:line="9"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50</w:t>
      </w:r>
    </w:p>
    <w:p>
      <w:pPr>
        <w:spacing w:after="0" w:line="9" w:lineRule="exact"/>
        <w:rPr>
          <w:sz w:val="20"/>
          <w:szCs w:val="20"/>
          <w:color w:val="auto"/>
        </w:rPr>
      </w:pPr>
    </w:p>
    <w:p>
      <w:pPr>
        <w:ind w:left="723"/>
        <w:spacing w:after="0"/>
        <w:rPr>
          <w:sz w:val="20"/>
          <w:szCs w:val="20"/>
          <w:color w:val="auto"/>
        </w:rPr>
      </w:pPr>
      <w:r>
        <w:rPr>
          <w:rFonts w:ascii="Times New Roman" w:cs="Times New Roman" w:eastAsia="Times New Roman" w:hAnsi="Times New Roman"/>
          <w:sz w:val="18"/>
          <w:szCs w:val="18"/>
          <w:color w:val="auto"/>
        </w:rPr>
        <w:t>1,781</w:t>
      </w:r>
    </w:p>
    <w:p>
      <w:pPr>
        <w:spacing w:after="0" w:line="220"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496</w:t>
      </w:r>
    </w:p>
    <w:p>
      <w:pPr>
        <w:spacing w:after="0" w:line="27"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58</w:t>
      </w:r>
    </w:p>
    <w:p>
      <w:pPr>
        <w:spacing w:after="0" w:line="9" w:lineRule="exact"/>
        <w:rPr>
          <w:sz w:val="20"/>
          <w:szCs w:val="20"/>
          <w:color w:val="auto"/>
        </w:rPr>
      </w:pPr>
    </w:p>
    <w:p>
      <w:pPr>
        <w:ind w:left="843" w:hanging="843"/>
        <w:spacing w:after="0"/>
        <w:tabs>
          <w:tab w:leader="none" w:pos="8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8337" w:space="720"/>
            <w:col w:w="2363"/>
          </w:cols>
          <w:pgMar w:left="240" w:top="904" w:right="239"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liabilities measured at fair value on a recurring basis as of March 31,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Times New Roman" w:cs="Times New Roman" w:eastAsia="Times New Roman" w:hAnsi="Times New Roman"/>
                <w:sz w:val="18"/>
                <w:szCs w:val="18"/>
                <w:color w:val="auto"/>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2015 Warrants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2015 Warrants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feature</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its derivative liabilities at fair value. The May 2015 Warrants were classified within Level 3 because they were valued using the Black-Sholes-Merton model, which utilizes significant inputs that are unobservable in the market. They are recorded as derivative warrant liabilities as they are freestanding instruments and there are several features within the warrants that may require the Company to cash settle or partially cash settle. In particular, the Company may have to cash settle, partially cash settle, or make cash payments to the Investors including cash settlement upon exercise when insufficient shares are authorized to be issued, and that the Company is obligated to issue registered shares when the warrants are exercised. The derivative warrant liabilities are initially measured at fair value and marked to market at each balance sheet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as of March 31, 2016 and December 31, 2015 consisted of cash, cash equivalents, receivables, accounts payable, deposits and Notes. The carrying amounts of all the aforementioned financial instruments approximate fair value because of the short-term maturities of these instruments.</w:t>
      </w:r>
    </w:p>
    <w:p>
      <w:pPr>
        <w:spacing w:after="0" w:line="3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liabilities measured at fair value using significant unobservable inputs (Level 3) during the three month period ended March 31,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May 2015</w:t>
            </w:r>
          </w:p>
        </w:tc>
        <w:tc>
          <w:tcPr>
            <w:tcW w:w="10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Conversion</w:t>
            </w:r>
          </w:p>
        </w:tc>
      </w:tr>
      <w:tr>
        <w:trPr>
          <w:trHeight w:val="234"/>
        </w:trPr>
        <w:tc>
          <w:tcPr>
            <w:tcW w:w="5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feature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fair value of the warrants and conversion feature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fair value as a result of debt modification</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1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processes for Level 3 Fair Value Measurements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0"/>
        </w:trPr>
        <w:tc>
          <w:tcPr>
            <w:tcW w:w="4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2015 Warrants</w:t>
            </w:r>
          </w:p>
        </w:tc>
        <w:tc>
          <w:tcPr>
            <w:tcW w:w="10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Black-Scholes-Merton</w:t>
            </w:r>
          </w:p>
        </w:tc>
        <w:tc>
          <w:tcPr>
            <w:tcW w:w="100" w:type="dxa"/>
            <w:vAlign w:val="bottom"/>
            <w:vMerge w:val="continue"/>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0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Monte-Carlo model</w:t>
            </w:r>
          </w:p>
        </w:tc>
        <w:tc>
          <w:tcPr>
            <w:tcW w:w="100" w:type="dxa"/>
            <w:vAlign w:val="bottom"/>
            <w:vMerge w:val="continue"/>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May 2015 Warrants</w:t>
            </w:r>
          </w:p>
        </w:tc>
        <w:tc>
          <w:tcPr>
            <w:tcW w:w="2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Black-Scholes-Merton</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of Level 3 measurements to changes in significant unobservable inputs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inputs to estimate the fair value of the Company’s derivative warrant liabilities and conversion feature were the current market price of the Company’s common stock, the exercise price of the warrants and conversion feature,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an increase in the market price of the Company’s shares of common stock, an increase in the volatility of the Company’s shares of common stock, and an increase in the remaining term of the warrants and conversion feature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differential between the warrants’ and conversion feature’s exercise prices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warrants and conversion feature due to the dividend assumption.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 activity during the three month period ended March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3800" w:type="dxa"/>
            <w:vAlign w:val="bottom"/>
          </w:tcPr>
          <w:p>
            <w:pPr>
              <w:spacing w:after="0"/>
              <w:rPr>
                <w:sz w:val="20"/>
                <w:szCs w:val="20"/>
                <w:color w:val="auto"/>
              </w:rPr>
            </w:pPr>
          </w:p>
        </w:tc>
        <w:tc>
          <w:tcPr>
            <w:tcW w:w="3620" w:type="dxa"/>
            <w:vAlign w:val="bottom"/>
            <w:gridSpan w:val="3"/>
          </w:tcPr>
          <w:p>
            <w:pPr>
              <w:ind w:left="2400"/>
              <w:spacing w:after="0"/>
              <w:rPr>
                <w:sz w:val="20"/>
                <w:szCs w:val="20"/>
                <w:color w:val="auto"/>
              </w:rPr>
            </w:pPr>
            <w:r>
              <w:rPr>
                <w:rFonts w:ascii="Times New Roman" w:cs="Times New Roman" w:eastAsia="Times New Roman" w:hAnsi="Times New Roman"/>
                <w:sz w:val="18"/>
                <w:szCs w:val="18"/>
                <w:color w:val="auto"/>
              </w:rPr>
              <w:t>No. of warrants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exercise price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price range</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24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1,006,679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 $17.60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4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24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1,006,679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 $17.60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2016, the Company modified the exercise price of the May 2015 Warrants, which are recorded as derivative warrant liabilities, from $10.00 to $3.00. There were no changes to other terms of the May 2015 Warrants (see Note 7). The change in fair value of the May 2015 Warrants as a result of the exercise price modification was accounted for as a debt discount to be amortized over the remaining term of the Amended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 Company’s outstanding warrants are classified as equity warrants and certain are classified as derivative warrant liabilities. The Company’s outstanding equity warrants as of March 31, 2016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Remaining</w:t>
            </w:r>
          </w:p>
        </w:tc>
        <w:tc>
          <w:tcPr>
            <w:tcW w:w="13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No.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Exercise price</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contractual life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1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1.30 years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19, 2017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Series 2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194,352</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1.30 years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19, 2017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Reload Warrants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0.85 years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6, 2017</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October 2015 Warrants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5.04 years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2021</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076"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Company’s outstanding derivative warrants as of March 31, 2016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Remaining</w:t>
            </w:r>
          </w:p>
        </w:tc>
        <w:tc>
          <w:tcPr>
            <w:tcW w:w="13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contractual life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2015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4.09 years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4, 2020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restricted stock units (“RSUs”) to the Company’s directors, employees and consultants. Under the 2012 Employee, Director and Consultant Equity Incentive Plan (the “Plan”), a maximum of 1,560,000 shares of common stock may be awarded (after giving effect to the one-for-ten reverse stock split). In 2015, the Company amended its Plan, so that a maximum of shares of common stock that may be awarded was increased to 2,100,000. As of March 31, 2016, 932,460 shares were available for future grants under the Plan. Total stock-based compensation expense for the periods ended March 31, 2016 and 2015 was $463 and $1,872, respectively.</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RSUs granted during the three month period ended March 31, 2016. There were no stock options granted during the three month period ended March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market</w:t>
            </w:r>
          </w:p>
        </w:tc>
        <w:tc>
          <w:tcPr>
            <w:tcW w:w="1600" w:type="dxa"/>
            <w:vAlign w:val="bottom"/>
          </w:tcPr>
          <w:p>
            <w:pPr>
              <w:spacing w:after="0"/>
              <w:rPr>
                <w:sz w:val="18"/>
                <w:szCs w:val="18"/>
                <w:color w:val="auto"/>
              </w:rPr>
            </w:pPr>
          </w:p>
        </w:tc>
      </w:tr>
      <w:tr>
        <w:trPr>
          <w:trHeight w:val="238"/>
        </w:trPr>
        <w:tc>
          <w:tcPr>
            <w:tcW w:w="30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Grant date</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 of RSUs</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at grant date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term</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9, 2016</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0.33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related to stock options and RSUs during the three month period ended March 31, 2016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60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8"/>
                <w:szCs w:val="18"/>
                <w:color w:val="auto"/>
                <w:w w:val="99"/>
              </w:rPr>
              <w:t>RSUs</w:t>
            </w: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w w:val="96"/>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8"/>
              </w:rPr>
              <w:t>Weighted average</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No.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grant date fair</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No. of</w:t>
            </w:r>
          </w:p>
        </w:tc>
        <w:tc>
          <w:tcPr>
            <w:tcW w:w="15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Exercise price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grant date fair</w:t>
            </w:r>
          </w:p>
        </w:tc>
      </w:tr>
      <w:tr>
        <w:trPr>
          <w:trHeight w:val="234"/>
        </w:trPr>
        <w:tc>
          <w:tcPr>
            <w:tcW w:w="264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value</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exercise price</w:t>
            </w:r>
          </w:p>
        </w:tc>
        <w:tc>
          <w:tcPr>
            <w:tcW w:w="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range</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Vested/Exercised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(37,660)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w:t>
            </w:r>
          </w:p>
        </w:tc>
      </w:tr>
      <w:tr>
        <w:trPr>
          <w:trHeight w:val="263"/>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862,484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5.10 - 55.00</w:t>
            </w:r>
          </w:p>
        </w:tc>
        <w:tc>
          <w:tcPr>
            <w:tcW w:w="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bottom w:val="single" w:sz="8" w:color="CCEEFF"/>
            </w:tcBorders>
          </w:tcPr>
          <w:p>
            <w:pPr>
              <w:spacing w:after="0"/>
              <w:rPr>
                <w:sz w:val="22"/>
                <w:szCs w:val="22"/>
                <w:color w:val="auto"/>
              </w:rPr>
            </w:pPr>
          </w:p>
        </w:tc>
      </w:tr>
      <w:tr>
        <w:trPr>
          <w:trHeight w:val="224"/>
        </w:trPr>
        <w:tc>
          <w:tcPr>
            <w:tcW w:w="2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2016</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819,358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5.10 - 55.00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and December 31, 2015, the Company’s other current assets were comprised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March 31,</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12. Accounts Payable, Accrued Expenses and Other Current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2016 and December 31, 2015, the Company’s accounts payable, accrued expenses and other current liabilities were comprised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March 31,</w:t>
            </w: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88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18"/>
                <w:szCs w:val="18"/>
                <w:color w:val="auto"/>
              </w:rPr>
            </w:pPr>
          </w:p>
        </w:tc>
      </w:tr>
      <w:tr>
        <w:trPr>
          <w:trHeight w:val="23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shd w:val="clear" w:color="auto" w:fill="CCEEFF"/>
          </w:tcPr>
          <w:p>
            <w:pPr>
              <w:spacing w:after="0"/>
              <w:rPr>
                <w:sz w:val="19"/>
                <w:szCs w:val="19"/>
                <w:color w:val="auto"/>
              </w:rPr>
            </w:pPr>
          </w:p>
        </w:tc>
      </w:tr>
      <w:tr>
        <w:trPr>
          <w:trHeight w:val="223"/>
        </w:trPr>
        <w:tc>
          <w:tcPr>
            <w:tcW w:w="48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2015, Group Mobile amended its existing loan agreement with Oklahoma Fidelity Bank, a division of Fidelity Bank. The total amount of the loan is $300 and it bears a variable interest, which is the lower of the Wall Street Journal prime rate plus 1% or 5% annually. The maturity date of the loan is July 12, 2016. The outstanding balance on the loan as of March 31, 2016 and December 31, 2015 was $266 and $268, respectively, and is included in accounts payable, accrued expenses and other current liabilities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2016,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unrecognized tax benefits as of March 31, 2016. The Company does not expect to record any additional material provisions for unrecognized tax benefits within the next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7, 2015, the Company entered into the Settlement Agreement with ZTE, pursuant to which the parties withdrew all pending litigations and proceedings against each other and the Company granted ZTE a non-exclusive, non-transferable, worldwide perpetual license to certain patents and patent applications owned by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Settlement Agreement, the parties have taken steps to withdraw all pending litigations and proceedings against one another. To date, proceedings in Romania have yet to be formally closed, though the parties are currently working together to cause those proceedings to be formally closed.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several jurisdictions, though ZTE requested that government organizations close proceedings against Vringo, those organizations make such determinations on their own volition. In China, ZTE requested that the National Developmental and Reform Commission (“NDRC”) conclude its investigation against Vringo; however, the NDRC has not yet closed its investigation. In addition, ZTE requested that the European Commission close its file on Vringo following ZTE’s withdrawal of its complaint against Vringo. On February 1, 2016, the European Commission confirmed that it would close its file on ZTE’s complaint against Vringo.</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China and the Netherlands, Vringo continues to appeal patent invalidity rulings issued in connection with proceedings originally brought by ZTE. In each instance, ZTE has indicated that it will not oppose Vringo’s appeals, though Vringo must still plead its case before the respective adjudicatory body in each jurisdiction. In addition, the European Patent Office has not yet dismissed an opposition action filed on one of Vringo’s recently issued European patents, and has requested that Vringo defend this action even though ZTE has indicated that it would not continue to pursue the action. No contingent liability is expected or recorded for the ZTE related legal proceedings.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Vringo had filed patent infringement lawsuits against ASUSTeK Computer Inc. and its subsidiaries (collectively, “ASUS”) in Germany, India, and Spain. In March 2016, the parties settled their disputes and ended all litigations between them. As such, as of March 31, 2016, the Company had reversed $222 of contingent liabilities related to potential legal fees that were previously accrued for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also engaged in additional litigation, for which no contingent liability is recorded as the Company does not expect any material negative outcome.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 with courts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made deposits with courts during 2015 and 2014, related to its proceedings in Germany, Brazil, Romania and Malaysia. Deposits with courts paid in local currency are remeasured on the balance sheet date based on the related foreign exchange rate on that date. As of March 31, 2016 and December 31, 2015, deposits with courts, which are recorded as current assets, totaled $831 and $1,930, respectively. During the three month period ended March 31, 2016, $1,173 of the deposits with courts and $192 of court fees were returned back to the Company. As of May 5, 2016, all deposits that had been posted with the courts in connection with its litigation with ZTE have been returned to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ectPr>
          <w:pgSz w:w="11900" w:h="16838" w:orient="portrait"/>
          <w:cols w:equalWidth="0" w:num="1">
            <w:col w:w="11420"/>
          </w:cols>
          <w:pgMar w:left="240" w:top="900" w:right="239" w:bottom="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2014, the Company entered into an amended lease agreement for its corporate executive office in New York for the lease of a different office space within the same building. The initial annual rental fee for this new office is approximately $403 (subject to certain future escalations and adjustments) beginning on August 1, 2014, which was the date when the new office space was available. This lease will expire in October 2019. Group Mobile has a lease for its office space in Chandler, AZ. The annual rental fee is approximately $72; the current lease, which originally was due to expire on June 30, 2016, was amended in February 2016 and extended until July 31, 2019. Rent expense for operating leases for the three month periods ended March 31, 2016 and 2015 were $109 and $91,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2016, the Company entered into a Confidential License Agreement (the “License Agreement”). Pursuant to the terms of the License Agreement, the Licensee will pay the Company a one-time lump sum payment of $8,900 within 30 days following the execution of the License Agreement and the Company will grant to the Licensee a non-exclusive, non-transferable, worldwide perpetual license to certain patents and patent applications owned by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2015 filed on March 10, 2016 (the “2015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in this Quarterly Report on Form 10-Q to “we,” “us” and “our” refer to Vringo, Inc., a Delaware corporation,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Vringo, Inc. (“Vringo”) is engaged in the innovation, development and monetization of intellectual property, as well as the commercialization and distribution of wire-free power and rugged computing devices. Our company has three operating segments:</w:t>
      </w:r>
    </w:p>
    <w:p>
      <w:pPr>
        <w:spacing w:after="0" w:line="162" w:lineRule="exact"/>
        <w:rPr>
          <w:sz w:val="20"/>
          <w:szCs w:val="20"/>
          <w:color w:val="auto"/>
        </w:rPr>
      </w:pPr>
    </w:p>
    <w:p>
      <w:pPr>
        <w:ind w:left="700" w:hanging="341"/>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 Charge</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Mobile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19, 2012, we consummated a merger with Innovate/Protect, Inc., then a privately held Delaware corporation.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9, 2012, we acquired a patent portfolio from Nokia Corporation (“Nokia”), comprised of 124 patent families with counterparts in certain jurisdictions worldwide, for $22,000,000. Under the terms of the purchase agreement, to the extent that the gross revenue as defined by agreement exceeds $22,000,000, we are obligated to pay a royalty of 35% of such excess.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2015, we acquired 100% of International Development Group Limited (“IDG”), a holding company including its two subsidiaries: fliCharge International Ltd. (“Fli Charge”) and Group Mobile International LLC (“Group Mobile”). IDG owned 70% of Fli Charge and 100% of Group Mobile. The purchase was a stock purchase whereby we acquired the entire interest in IDG in exchange for shares in Vringo. The total value of the consideration was $5,571,000. On December 28, 2015, we acquired the remaining 30% of Fli Charge from third party shareholders in exchange for 110,000 shares in Vringo.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2013, we operated a global platform for the distribution of mobile social applications and services. On February 18, 2014, we sold our mobile social application business to InfoMedia Services Limited (“InfoMedia”), receiving an 8.25% ownership interest in InfoMedia as consideration and a seat on the board of directors of InfoMedia. As part of the transaction, we have the opportunity to license certain intellectual property assets and work with InfoMedia to identify and protect new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three operating segments: Intellectual Property, Fli Charge and Group Mobile.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Strategy and Outlook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strategy for our Intellectual Property operating segment is to continue to monetize our existing portfolio of intellectual property through licensing and strategic partnerships. In addition, we plan to continue to enhance our intellectual property rights around our Fli Charge technology and products. </w:t>
      </w:r>
      <w:r>
        <w:rPr>
          <w:rFonts w:ascii="Times New Roman" w:cs="Times New Roman" w:eastAsia="Times New Roman" w:hAnsi="Times New Roman"/>
          <w:sz w:val="18"/>
          <w:szCs w:val="18"/>
          <w:color w:val="181818"/>
        </w:rPr>
        <w:t>Fli Charge</w:t>
      </w:r>
      <w:r>
        <w:rPr>
          <w:rFonts w:ascii="Times New Roman" w:cs="Times New Roman" w:eastAsia="Times New Roman" w:hAnsi="Times New Roman"/>
          <w:sz w:val="18"/>
          <w:szCs w:val="18"/>
          <w:color w:val="auto"/>
        </w:rPr>
        <w:t xml:space="preserve"> plans to strengthen and develop partnerships in numerous markets including automotive, education, office, healthcare, power tools and vaporizers. </w:t>
      </w:r>
      <w:r>
        <w:rPr>
          <w:rFonts w:ascii="Times New Roman" w:cs="Times New Roman" w:eastAsia="Times New Roman" w:hAnsi="Times New Roman"/>
          <w:sz w:val="18"/>
          <w:szCs w:val="18"/>
          <w:color w:val="181818"/>
        </w:rPr>
        <w:t>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Mobile is a supplier of built-to-order rugged computers, mobile devices and accessories. We plan to increase Group Mobile’s revenue, which we believe can be achieved by adding new products, exploring new distribution verticals, such as military and government, and increasing the sales team’s geographic coverage.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181818"/>
        </w:rPr>
        <w:t>Intellectual Property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Intellectual Property operating segment is engaged in the innovation, development and monetization of intellectual property. Our portfolio consists of over 600 patents and patent applications covering telecom infrastructure, internet search, ad-insertion and mobile technologies.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focused on monetizing our technology portfolio through a variety of value enhancing initiatives, including, but not limited to licensing, litigation and strategic partnerships. For further information regarding our intellectual property enforcement activities, refer to Part II, Item 1, Legal Proceedings,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81818"/>
        </w:rPr>
        <w:t>Fli Charge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Fli Charge is a wire-free power company dedicated to making it easier for people to power and charge the multitude of mobile electronic devices they use on a daily basis. By eliminating the need to search and compete for outlets and charging cables, we are improving the powering and charging experience for all battery and DC powered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Fli Charge designs, develops, licenses, manufactures and markets wire-free conductive power and charging solutions. Fli Charge is currently working with partners in several verticals to bring products to market. These verticals include education, office, hospitality, automotive and consumer electronics among others. To date, we have not yet generated any substantial revenue from our products. We believe that Fli Charge’s patented technology is the only wire-free power solution that is fully interoperable between different mobile devices ranging from smartphones to power tools, and many more. Fli Charge’s wire-free power solution can simultaneously power multiple devices on the same pad no matter their power requirements or positions on the pad.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Fli Charge ecosystem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several competing wire-free charging technologies on the market or under development today. The most popular competing technology is inductive wireless charging, in which magnetic induction uses a magnetic coil to create resonance, which can transmit energy over a relatively short distance. The amount of power delivered is a function of the size of the coils, and the coils must be aligned and paired within a typical distance of less than one inch. Products utilizing magnetic induction have been available for 10+ years in products such as rechargeable electronic toothbrushes and pace makers. The leading inductive technologies deliver a maximum of 10-15 watts. Other competing technologies include magnetic resonance, RF harvesting, laser and ultrasound.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spacing w:after="0" w:line="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compared to each of the competing wire-free technologies above, we believe that our conductive technology exhibits many competitive advantages including:</w:t>
      </w:r>
    </w:p>
    <w:p>
      <w:pPr>
        <w:spacing w:after="0" w:line="162" w:lineRule="exact"/>
        <w:rPr>
          <w:sz w:val="20"/>
          <w:szCs w:val="20"/>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rates/efficiency – Fli Charge pads charge devices nearly as fast as plugging them into a wall outlet;</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devices – Fli Charge pads can charge or power multiple devices at the same time without reducing the charging speed;</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 Fli Charge’s technology is as safe as plugging devices into a wall outlet;</w:t>
      </w:r>
    </w:p>
    <w:p>
      <w:pPr>
        <w:spacing w:after="0" w:line="225" w:lineRule="exact"/>
        <w:rPr>
          <w:rFonts w:ascii="Times New Roman" w:cs="Times New Roman" w:eastAsia="Times New Roman" w:hAnsi="Times New Roman"/>
          <w:sz w:val="18"/>
          <w:szCs w:val="18"/>
          <w:color w:val="auto"/>
        </w:rPr>
      </w:pPr>
    </w:p>
    <w:p>
      <w:pPr>
        <w:ind w:left="700" w:hanging="341"/>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power – Fli Charge pads can supply as much as 150 watts of power, which is enough to charge or power devices with relatively high power requirements such as power tool batteries and flat screen monitors;</w:t>
      </w:r>
    </w:p>
    <w:p>
      <w:pPr>
        <w:spacing w:after="0" w:line="161" w:lineRule="exact"/>
        <w:rPr>
          <w:rFonts w:ascii="Times New Roman" w:cs="Times New Roman" w:eastAsia="Times New Roman" w:hAnsi="Times New Roman"/>
          <w:sz w:val="18"/>
          <w:szCs w:val="18"/>
          <w:color w:val="auto"/>
        </w:rPr>
      </w:pPr>
    </w:p>
    <w:p>
      <w:pPr>
        <w:ind w:left="700" w:right="20" w:hanging="341"/>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freedom – Fli Charge’s technology allows for devices to be placed in any orientation, anywhere on the pad, without sacrificing any charging speed; and</w:t>
      </w:r>
    </w:p>
    <w:p>
      <w:pPr>
        <w:spacing w:after="0" w:line="161"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 all Fli Charge enabled electronic devices are compatible with all Fli Charge pads.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Mobile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Group Mobile is a provider of rugged, mobile and field-use computing products, serving customers worldwide. Group Mobile provides total hardware solutions, carrying rugged laptops, tablets, and handheld computers. Group Mobile also markets rugged mobile printers, vehicle computer docking and mounting gear, power accessories, wireless communication products, antennas, carrying cases, and all the peripherals, accessories, and add-ons needed to maximize productivity in a mobile- or field-computing environment. Group Mobile operates a full-service e-commerce website with live chat, up-to-date product information, and computer system configuration capabilities.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Group Mobile purchases rugged mobile computing equipment and complementary products from its primary distribution and manufacturing partners and sells them to enterprise, reseller, and retail customers. Our primary customers range from corporations to local governments, emergency first responders and healthcare organizations. We believe that Group Mobile’s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costs represent the single largest expense and product inventory is one of the largest working capital investments for Group Mobile. Group Mobile’s primary suppliers include Synnex Corporation, Ingram Micro Inc., Xplore Technologies Corporation, Flextronics International Ltd. and Trimble Navigation Ltd., which combined represent approximately 80% of Group Mobile’s inventory purchases. We have reseller agreements with most of our OEM and distribution partners. These agreements usually provide for nonexclusive resale and distribution rights. The agreements are generally short-term, subject to periodic renewal, and often contain provisions permitting termination by either our supplier or us without cause upon relatively short notice. Furthermore, product procurement from the OEM suppliers is a highly complex process and as such, efficient and effective purchasing operations are critical to Group Mobile’s success.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181818"/>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9, 2016, we entered into an exchange note agreement (the “Exchange Note Agreement”) with the holders (the “Investors”) of our $12,500,000 Senior Convertible Notes (the “Notes”), which we originally issued in a registered direct offering on May 4, 2015. Pursuant to the Exchange Note Agreement, we issued to the Investors an aggregate of 703,644 shares of our common stock, par value $0.01 per share, in exchange for the reduction of $1,267,000 of the outstanding aggregate principal amount of the Notes and $49,000 of accrued interest. As a result, the outstanding aggregate principal amount under the Notes was reduced from $3,016,000 to $1,749,000 as of March 9, 2016.</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March 9, 2016, with the consent of each of the Investors, we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our common stock and will be payable by us on the Maturity Date (as defined below) in cash only, (ii) the Maturity Date of the Amended Notes will extend to June 30, 2017 (the “Maturity Date”), (iii) we will discontinue the payment of principal prior to the Maturity Date (subject to certain exceptions), (iv) the interest rate increased from 8% to 10% per annum and will accrue on the outstanding aggregate principal amount of the Amended Notes, payable monthly, and (v) we will pay to the Investors on the Maturity Date 102% of the outstanding aggregate principal amount of the Amended Notes. We also agreed to maintain a cash balance (including cash equivalents) of not less than $2,900,000.</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agreed to reduce the exercise price of the warrants to purchase an aggregate of 537,500 shares of our common stock granted as part of the initial agreement (the “May 2015 Warrants”) from $10.00 to $3.00 per share and the parties also agreed to remove from the May 2015 Warrants certain anti-dilution features. Other terms of the May 2015 Warrants remained the same. Furthermore, in connection with the Amended Notes, we paid a restructuring fee of $50,000 to the Investors.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818"/>
        </w:rPr>
        <w:t>Shareholder Rights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2016, we announced that our Board of Directors adopted a shareholder rights plan in the form of a Section 382 Rights Agreement designed to preserve our tax assets. As a part of the plan, our Board of Directors declared a dividend of one preferred-share-purchase right for each share of our common stock outstanding as of March 29, 2016. Effective on March 18, 2016, if any group or person acquires 4.99% or more of our outstanding shares of common stock, or if a group or person that already owns 4.99% or more of our common stock acquires additional shares representing 0.5% or more of our common</w:t>
      </w:r>
    </w:p>
    <w:p>
      <w:pPr>
        <w:sectPr>
          <w:pgSz w:w="11900" w:h="16915" w:orient="portrait"/>
          <w:cols w:equalWidth="0" w:num="1">
            <w:col w:w="11420"/>
          </w:cols>
          <w:pgMar w:left="240" w:top="904" w:right="239" w:bottom="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stock, then, subject to certain exceptions, there would be a triggering event under the plan. The rights would then separate from our common stock and would be adjusted to become exercisable to purchase shares of our common stock having a market value equal to twice the purchase price of $9.50, resulting in significant dilution in the ownership interest of the acquiring person or group. Our Board of Directors has the discretion to exempt any acquisition of our common stock from the provisions of the plan and has the ability to terminate the plan prior to a triggering event. In connection with this plan, we filed a Certificate of Designation of Series C Junior Preferred Stock with the Secretary of State of the State of Delaware on March 18,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181818"/>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27, 2015, we implemented a one-for-ten reverse split of our issued and outstanding shares of common stock (the "Reverse Stock Split"), as authorized at a special meeting of our stockholders held on November 16, 2015. The Reverse Stock Split became effective at the opening of trading on NASDAQ on November 27, 2015. As of November 27, 2015, every 10 shares of our issued and outstanding common stock were combined into one share of our common stock, except to the extent that the Reverse Stock Split resulted in any of our stockholders owning a fractional share, which was rounded up to the next highest whole share. In connection with the Reverse Stock Split, there was no change in the nominal par value per share of $0.01.</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to number of shares of common stock, price per share and weighted average shares of common stock have been adjusted to reflect the Reverse Stock Split on a retroactive basis for all periods presented,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patent licensing and enforcement is recognized if collectability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revenue arrangements related to intellectual property provide for the payment of contractually-determined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revenue from the product sales of Fli Charge and Group Mobile when title and risk of loss are passed to the customer, there is persuasive evidence of an arrangement for sale, delivery has occurred, the sales price is fixed or determinable, and collectability is reasonably assured. Our shipping terms typically specify F.O.B. destination, at which time title and risk of loss have passed to the customer. At the time of sale of hardware products, we record an estimate for sales returns and allowances based on historical experience. Hardware products sold by us are warranted by the vendor.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Group Mobile uses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Group Mobile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Freight billed to customers is recognized as net product revenue and the related freight costs as a cost of goods sold.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includes payments received from customers in advance of providing the product.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legal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us for reimbursements of legal fees in connection with our litigation campaigns are recorded in operating legal costs as an offset to legal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our acquired patent portfolios and other intangible assets is recognized on a straight-line basis over the remaining useful life of the intangible assets (i.e., through the expiration date of the patent).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management and administrative personnel, public and investor relations, overhead/office costs and various professional fees, as well as insurance, non-operational depreciation and amortization.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(expenses) includes transaction gains (losses) from foreign exchange rate differences, interest on the Notes, deposits, bank charges, as well as fair value adjustments related to our derivative warrant liabilities and conversion feature. The value of such derivative liabilities is highly influenced by assumptions used in its valuation, as well as by our stock price at the period end (revaluation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2016, deferred tax assets generated from our U.S. activities were offset by a valuation allowance because realization depends on generating future taxable income, which, in our estimation, is not more likely than not to be generated before such net operating loss carryforwards expire.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material unrecognized tax benefits as of March 31, 2016. We do not expect to record any additional material provisions for unrecognized tax benefits within the next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regularly evaluated by the enterprise’s chief operating decision maker ("CODM"), or decision making group, in deciding how to allocate resources and in assessing performance. We conduct our business through three operating segments, which are also our reportable segments: Intellectual Property, Fli Charge and Group Mobile.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Organizing our business through three operating segments allows us to align our resources and manage the operations. We determine our operating segments based on a number of factors our management uses to evaluate and run our business operations, including similarities of customers, products and technology. Our Chief Executive Officer is our CODM, who regularly reviews operating segment revenue and operating income (loss) when assessing financial results of operating segments and allocating resources.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the performance of our operating segments based upon operating segment revenue and operating income (loss). Operating segment operating income (loss) includes revenue and expenses incurred directly by the operating segment, including material legal costs, cost of goods sold, selling, marketing, and administrative expenses. All corporate overhead expenses have been allocated into the Intellectual Property operating segment. No revenue from transactions between our operating segments was recorded.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 period ended March 31, 2016 compared to the three month period ended March 31,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generate revenue through our three operating segments: Intellectual Property, </w:t>
      </w:r>
      <w:r>
        <w:rPr>
          <w:rFonts w:ascii="Times New Roman" w:cs="Times New Roman" w:eastAsia="Times New Roman" w:hAnsi="Times New Roman"/>
          <w:sz w:val="18"/>
          <w:szCs w:val="18"/>
          <w:color w:val="181818"/>
        </w:rPr>
        <w:t>Fli Charge and Group Mobile</w:t>
      </w:r>
      <w:r>
        <w:rPr>
          <w:rFonts w:ascii="Times New Roman" w:cs="Times New Roman" w:eastAsia="Times New Roman" w:hAnsi="Times New Roman"/>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Fli Charge</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17,000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1,277,000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1,277,000</w:t>
            </w:r>
          </w:p>
        </w:tc>
        <w:tc>
          <w:tcPr>
            <w:tcW w:w="100" w:type="dxa"/>
            <w:vAlign w:val="bottom"/>
            <w:shd w:val="clear" w:color="auto" w:fill="CCEEFF"/>
          </w:tcPr>
          <w:p>
            <w:pPr>
              <w:spacing w:after="0"/>
              <w:rPr>
                <w:sz w:val="19"/>
                <w:szCs w:val="19"/>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2,044,000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1,894,000</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 period ended March 31, 2016, we recorded total revenue of $2,044,000, which represents an increase of $1,894,000 (or 1,262.7%) compared to the three month period ended March 31, 2015. The increase was attributable to each of our operating segments. Our Intellectual Property operating segment experienced a $600,000 increase for the amount received in connection with an executed confidential license agreement for a total of $750,000 and our Fli Charge and Group Mobile operating segments combined for total product revenue of $1,294,000. We did not recognize any revenue from Fli Charge or Group Mobile prior to their acquisition on October 15, 2015. During the three month period ended March 31, 2015, we recorded total licensing revenue of $150,000 for our Intellectual Property segment, which was due to a one-time payment in connection with a settlement and license agreement for certain of our owned intellectual property.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intend to continue to monetize our existing portfolio of intellectual property through licensing and strategic partnerships. In addition, we plan to enhance our intellectual property rights around our Fli Charge technology and products. </w:t>
      </w:r>
      <w:r>
        <w:rPr>
          <w:rFonts w:ascii="Times New Roman" w:cs="Times New Roman" w:eastAsia="Times New Roman" w:hAnsi="Times New Roman"/>
          <w:sz w:val="18"/>
          <w:szCs w:val="18"/>
          <w:color w:val="181818"/>
        </w:rPr>
        <w:t>Fli Charge</w:t>
      </w:r>
      <w:r>
        <w:rPr>
          <w:rFonts w:ascii="Times New Roman" w:cs="Times New Roman" w:eastAsia="Times New Roman" w:hAnsi="Times New Roman"/>
          <w:sz w:val="18"/>
          <w:szCs w:val="18"/>
          <w:color w:val="auto"/>
        </w:rPr>
        <w:t xml:space="preserve"> plans to strengthen and develop partnerships in numerous markets including automotive, education, office, healthcare, power tools and vaporizers. </w:t>
      </w:r>
      <w:r>
        <w:rPr>
          <w:rFonts w:ascii="Times New Roman" w:cs="Times New Roman" w:eastAsia="Times New Roman" w:hAnsi="Times New Roman"/>
          <w:sz w:val="18"/>
          <w:szCs w:val="18"/>
          <w:color w:val="181818"/>
        </w:rPr>
        <w:t>We also believe that growth in Group Mobile’s revenue can be achieved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adding new products, exploring new distribution verticals, such as military and government, and increasing the sales team’s geographic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incur cost of goods sold through two of our operating segments: </w:t>
      </w:r>
      <w:r>
        <w:rPr>
          <w:rFonts w:ascii="Times New Roman" w:cs="Times New Roman" w:eastAsia="Times New Roman" w:hAnsi="Times New Roman"/>
          <w:sz w:val="18"/>
          <w:szCs w:val="18"/>
          <w:color w:val="181818"/>
        </w:rPr>
        <w:t>Fli Charge and Group Mobile</w:t>
      </w:r>
      <w:r>
        <w:rPr>
          <w:rFonts w:ascii="Times New Roman" w:cs="Times New Roman" w:eastAsia="Times New Roman" w:hAnsi="Times New Roman"/>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Fli Charge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Group Mobile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1,124,000</w:t>
            </w:r>
          </w:p>
        </w:tc>
        <w:tc>
          <w:tcPr>
            <w:tcW w:w="20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1,124,000</w:t>
            </w:r>
          </w:p>
        </w:tc>
        <w:tc>
          <w:tcPr>
            <w:tcW w:w="100" w:type="dxa"/>
            <w:vAlign w:val="bottom"/>
          </w:tcPr>
          <w:p>
            <w:pPr>
              <w:spacing w:after="0"/>
              <w:rPr>
                <w:sz w:val="19"/>
                <w:szCs w:val="19"/>
                <w:color w:val="auto"/>
              </w:rPr>
            </w:pPr>
          </w:p>
        </w:tc>
      </w:tr>
      <w:tr>
        <w:trPr>
          <w:trHeight w:val="223"/>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 period ended March 31, 2016, we recorded total cost of goods sold of $1,127,000, which represents the costs of products sold by Fli Charge and Group Mobile for the period. We did not recognize any cost of goods sold for Fli Charge or Group Mobile prior to their acquisition on October 15, 2015. We expect the cost of goods sold to increase over time as we incur the full results of operations of both </w:t>
      </w:r>
      <w:r>
        <w:rPr>
          <w:rFonts w:ascii="Times New Roman" w:cs="Times New Roman" w:eastAsia="Times New Roman" w:hAnsi="Times New Roman"/>
          <w:sz w:val="18"/>
          <w:szCs w:val="18"/>
          <w:color w:val="181818"/>
        </w:rPr>
        <w:t>Fli Charge and Group Mobile</w:t>
      </w:r>
      <w:r>
        <w:rPr>
          <w:rFonts w:ascii="Times New Roman" w:cs="Times New Roman" w:eastAsia="Times New Roman" w:hAnsi="Times New Roman"/>
          <w:sz w:val="18"/>
          <w:szCs w:val="18"/>
          <w:color w:val="auto"/>
        </w:rPr>
        <w:t xml:space="preserve"> in the periods subsequent to the acquisition. We expect our cost of goods sold to increase as our product revenue increases.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legal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operating legal costs through our Intellectual Property operating segment only.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legal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3,101,000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 ended March 31, 2016, our operating legal costs were $720,000, which represents a decrease of $2,381,000 (or 76.8%) from operating legal costs recorded for the three month period ended March 31, 2015. This decrease was primarily due to the timing and nature of consulting and patent litigation costs related to legal proceedings against ZTE and ASUS, especially as costs pertaining to our ZTE campaign declined significantly following the execution of the confidential settlement and license agreement in December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legal costs will continue to significantly decrease over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ended March 31, 2016, amortization expense related to our intangible assets totaled $851,000, which represents an increase of $47,000 (or 5.8%), compared to amortization expense recorded during the three month period ended March 31, 2015. The increase in amortization expense was due to the addition of the amortization of newly acquired intangible assets identified in our acquisition of IDG on October 15,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2,998,000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 period ended March 31, 2016, general and administrative expenses decreased by $46,000 (or 1.5%), to $2,952,000, compared to $2,998,000 that was recorded during the three month period ended March 31, 2015. The overall decrease was primarily due to a decrease in stock-based compensation expense of approximately $1,159,000, which was a result of many of the equity awards granted in 2012 and 2013 becoming fully vested during the latter half of 2015. The decrease in stock-based compensation expense was offset by increases in other general and administrative expenses, which were a direct result of our acquisition of IDG on October 15, 2015, such as increases in salaries and benefits due to our expanded workforce, advertising and marketing for our Fli Charge and Group Mobile operating segments, and product development as we continue to develop and improve Fli Charge’s product line.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2016, we recorded total non-operating expense, net, in the amount of $349,000 compared to total non-operating expense, net, in the amount of $223,000 recorded during the three month period ended March 31, 2015.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 period ended March 31, 2016, we recorded interest expense of $476,000 for the interest recorded related to the Notes, which includes amortization of the debt discount, amortization of debt issuance costs, and coupon interest calculated using the effective interest method. In addition, we elected to repay principal installments for January and February 2016 in shares of our common stock, which were issued at a discount of 15% to market prices. This resulted in $210,000 recorded as a loss on the extinguishment of debt.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non-operating expenses reported during the three month period ended March 31, 2016 were reduced by a gain of $270,000 on the revaluation of the derivative warrant liabilities and conversion feature related to the Notes. Also reducing the current period expense were foreign exchange gains in connection with our deposits with courts.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non-operating expense, net, of $223,000 for the three month period ended March 31, 2015 was primarily related to foreign exchange losses in connection with our deposits with courts.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2016, we had a cash balance of $20,560,000, which represents a decrease of $4,391,000 compared to our cash balance as of December 31, 2015. Of the decrease in liquidity, 45% was due to payments made to litigation vendors for costs incurred during 2015, 5% was due to payments made to general and administrative vendors for services provided during 2015, and approximately 50% was due to cash used in each of our three operating segments, Intellectual Property, Fli Charge, and Group Mobile, during the three month period ended March 31, 2016. We anticipate that our need for capital will continue to decline as litigation costs continue to decline and project-based activities related to the improvement of systems and digital marketing attributed to Group Mobile near completion. Cash expenditures during the three month period ended March 31, 2016 were offset by cash received for refunds of court fees and our deposits with the court in Germany, as well as cash received by Group Mobile during the normal course of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average monthly net cash spent in operations for the three month periods ended March 31, 2016 and 2015 was approximately $1,838,000 and $1,167,000, respectively. Cash spent in operations for the three month period ended March 31, 2016 included payments of $3,000,000 for litigation activities that have since been withdrawn or dismissed.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we expect to have sufficient funds for at least the next 12 months and beyond. In addition, we may choose to raise additional funds in connection with potential acquisitions of operating assets, patent portfolios or other businesses that we may pursue. There can be no assurance, however, that any such opportunities will materialize.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made deposits with courts during 2015 and 2014 related to our proceedings in Germany, Brazil, Romania and Malaysia. Deposits with courts paid in local currency are remeasured on the balance sheet date based on the related foreign exchange rate on that date. Following the execution of the confidential settlement and license agreement with ZTE on December 7, 2015, we began the process of working to receive refunds from the foreign courts. As of March 31, 2016, our remaining deposits with courts in Romania and Brazil totaled $831,000. As of May 5, 2016 all bonds posted with the courts in connection with our litigation with ZTE have been returned.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operating plans for our Intellectual Property operating segment include further monetization of our existing portfolio of intellectual property through licensing and strategic partnerships. In addition, we plan to continue to enhance our intellectual property rights around our Fli Charge technology and products. </w:t>
      </w:r>
      <w:r>
        <w:rPr>
          <w:rFonts w:ascii="Times New Roman" w:cs="Times New Roman" w:eastAsia="Times New Roman" w:hAnsi="Times New Roman"/>
          <w:sz w:val="18"/>
          <w:szCs w:val="18"/>
          <w:color w:val="181818"/>
        </w:rPr>
        <w:t>Fli Charge</w:t>
      </w:r>
      <w:r>
        <w:rPr>
          <w:rFonts w:ascii="Times New Roman" w:cs="Times New Roman" w:eastAsia="Times New Roman" w:hAnsi="Times New Roman"/>
          <w:sz w:val="18"/>
          <w:szCs w:val="18"/>
          <w:color w:val="auto"/>
        </w:rPr>
        <w:t xml:space="preserve"> plans to strengthen and develop partnerships in numerous markets including automotive, education, office, healthcare, power tools and vaporizers. </w:t>
      </w:r>
      <w:r>
        <w:rPr>
          <w:rFonts w:ascii="Times New Roman" w:cs="Times New Roman" w:eastAsia="Times New Roman" w:hAnsi="Times New Roman"/>
          <w:sz w:val="18"/>
          <w:szCs w:val="18"/>
          <w:color w:val="181818"/>
        </w:rPr>
        <w:t>We believe that growth in Group Mobile’s revenue can be achieved by adding new products, exploring new distribution verticals, such as military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818"/>
        </w:rPr>
        <w:t>and government, and increasing the sales team’s geographic coverage.</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9, 2016, pursuant to the Exchange Note Agreement, we issued to the Investors an aggregate of 703,644 shares of our common stock, par value $0.01 per share, in exchange for the reduction of $1,267,000 of the outstanding principal amount of the Notes and $49,000 of accrued interest. As a result, the outstanding aggregate principal amount under the Notes was reduced from $3,016,000 to $1,749,000 as of March 9, 2016.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Exchange Note Agreement, the Amended Notes are no longer convertible into shares of our common stock and we will pay the outstanding aggregate principal amount on the Maturity Date, which was extended to June 30, 2017, in cash only and at rate of 102%, which is equal to $1,784,000. The interest rate was increased from 8% to 10% per annum and is payable monthly beginning on April 1, 2016. In addition, we agreed to reduce the exercise price of the May 2015 Warrants from $10.00 to $3.00 per share and the parties also agreed to certain anti-dilution features. Other terms of the May 2015 Warrants remained the same. Furthermore, in connection with the Exchange Note Agreement, we paid a restructuring fee of $50,000 to the Investors.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4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8"/>
          </w:tcPr>
          <w:p>
            <w:pPr>
              <w:jc w:val="right"/>
              <w:ind w:right="8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40" w:type="dxa"/>
            <w:vAlign w:val="bottom"/>
          </w:tcPr>
          <w:p>
            <w:pPr>
              <w:spacing w:after="0"/>
              <w:rPr>
                <w:sz w:val="24"/>
                <w:szCs w:val="24"/>
                <w:color w:val="auto"/>
              </w:rPr>
            </w:pPr>
          </w:p>
        </w:tc>
      </w:tr>
      <w:tr>
        <w:trPr>
          <w:trHeight w:val="210"/>
        </w:trPr>
        <w:tc>
          <w:tcPr>
            <w:tcW w:w="46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(1,927,000)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(278,000)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tcPr>
          <w:p>
            <w:pPr>
              <w:spacing w:after="0"/>
              <w:rPr>
                <w:sz w:val="18"/>
                <w:szCs w:val="18"/>
                <w:color w:val="auto"/>
              </w:rPr>
            </w:pPr>
          </w:p>
        </w:tc>
      </w:tr>
      <w:tr>
        <w:trPr>
          <w:trHeight w:val="648"/>
        </w:trPr>
        <w:tc>
          <w:tcPr>
            <w:tcW w:w="4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 ended March 31, 2016, net cash used in operating activities totaled $5,429,000 compared to net cash used in operating activities of $3,502,000 during the three month period ended March 31, 2015. The increase of $1,927,000 was mainly due to payments made to vendors, which led to both a significant decrease in accounts payable and accrued liabilities and an increase in other current assets in the current period as compared to the prior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 There is no guarantee that we will generate sufficient revenue to offset future operating expenses and our ability to raise additional capital may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 ended March 31, 2016, we received net proceeds of $1,173,000 from the refund of our deposits with the German court. These proceeds were offset by $86,000 net cash used to acquire software related to Group Mobile’s website. During the three month period ended March 31, 2015, net cash used in investing activities totaled $278,000 and represents the deposit we made to a Romanian court to enforce an injunction against ZTE in Romania.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ended March 31, 2016, net cash used in financing activities totaled $50,000, which is the amount paid to the Investors related to their expenses incurred as a result of the debt modification. During the three month period ended March 31, 2015, there was no cash provided by or used in financing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any of our issued and outstanding warrants were “in the money,” it could be used as a source of additional funding if the warrant holders choose to exercise their warrants for cash.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choose to raise additional funds in connection with any acquisitions of patent portfolios or other assets, patent portfolios or other businesses that we may pursue. There can be no assurance, however, that any such opportunity will materialize. Moreover, any such financing would likely be dilutive to our current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audited consolidated financial statements included in our Annual Report on Form 10-K filed with the SEC on March 10, 2016,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2016,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15, 2015, we acquired International Development Group Limited (“IDG”). During the three month period ended March 31, 2016, IDG's processes and systems did not significantly impact internal control over financial reporting at our other subsidiaries. Our management performed due diligence procedures associated with the acquisition of IDG.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ectPr>
          <w:pgSz w:w="11900" w:h="16933" w:orient="portrait"/>
          <w:cols w:equalWidth="0" w:num="1">
            <w:col w:w="11420"/>
          </w:cols>
          <w:pgMar w:left="240" w:top="900" w:right="239" w:bottom="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2" w:name="page33"/>
    <w:bookmarkEnd w:id="32"/>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Patents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7, 2015, we entered into the Settlement Agreement with ZTE, pursuant to which: (i) ZTE paid us a total of $21,500,000, net of all withholding, value added or other taxes; (ii) the parties withdrew all pending litigations and proceedings against each other including the litigations related to ZTE’s breach of its non-disclosure agreement with Vringo; and (iii) we granted ZTE certain rights with respect to our patents including a non-exclusive, non-transferable, worldwide perpetual license to certain of our owned patents and patent applications.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Settlement Agreement, the parties have taken steps to withdraw all pending litigations and proceedings against one another. To date, proceedings in Romania have yet to be formally closed, though the parties are currently working together to cause those proceedings to be formally closed.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several jurisdictions, though ZTE requested that government organizations close proceedings against Vringo, those organizations make such determinations on their own volition. In China, ZTE requested that the National Developmental and Reform Commission (“NDRC”) conclude its investigation against Vringo; however, the NDRC has not yet closed its investigation. In addition, ZTE requested that the European Commission close its file on Vringo following ZTE’s withdrawal of its complaint against Vringo. On February 1, 2016, the European Commission confirmed that it would close its file on ZTE’s complaint against Vringo.</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China and the Netherlands, Vringo continues to appeal patent invalidity rulings issued in connection with proceedings originally brought by ZTE. In each instance, ZTE has indicated that it will not oppose Vringo’s appeals, though Vringo must still plead its case before the respective adjudicatory body in each jurisdiction. In addition, the European Patent Office has not yet dismissed an opposition action filed on one of Vringo’s recently issued European patents, and has requested that Vringo defend this action even though ZTE has indicated that it would not continue to pursue the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Vringo had filed patent infringement lawsuits against ASUSTeK Computer Inc. and its subsidiaries (collectively, “ASUS”) in Germany, India, and Spain. In March 2016, the parties settled their disputes and ended all litigations between them.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Germany, on January 22, 2015, the Düsseldorf Regional Court found that ASUS does not infringe either of the patents-in-suit. Vringo filed notices of appeal for each patent. ASUS filed nullity suits with respect to those patents-in-suit in the Federal Patents Court in Munich, Germany, during the second quarter of 2014. On January 28, 2016, the Court found one of the patents-in-suit invalid. In March 2016, the parties have withdrawn all cases rendering the nullity rulings without legal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Vringo’s suit against ASUS has been settled and a formal dismissal is pending before the High Court of Delhi, New Delhi.</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Spain, Vringo awaits the ruling of the Commercial Court of Barcelona in Vringo’s lawsuit against ASUS, alleging infringement of one of same patents-in-suit in Vringo’s litigation against ASUS in Germany. On February 4, 2016, the Court held its hearing in ASUS’ lawsuit seeking to invalidate that same patent and on March 1, 2016, the Court found the patent invalid and later in March Vringo appealed the ruling. Both Vringo and ASUS withdrew all claims in Spain and ASUS will not be contesting Vringo’s appeal of the nullity finding.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we purchased a portfolio of patents invented by Tayo Akadiri relating to content distribution. The portfolio includes seven patents as well as several pending patent applications. As one of the means of realizing the value of these patents, on October 20, 2015, we filed suit against DirecTV in the United States District Court for the Southern District of New York.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discussed in Item 1A. Risk Factors in our Annual Report on Form 10-K for the year ended December 31, 2015, except as follows: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provisions in our charter and bylaws and our stockholder rights plan could delay, discourage or make more difficult a third-party acquisition of control of us.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 Delaware corporation and, as such, certain provisions of Delaware law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(the “DGCL”), which prohibits certain “business combination” transactions (as defined in Section</w:t>
      </w:r>
    </w:p>
    <w:p>
      <w:pPr>
        <w:spacing w:after="0" w:line="2" w:lineRule="exact"/>
        <w:rPr>
          <w:sz w:val="20"/>
          <w:szCs w:val="20"/>
          <w:color w:val="auto"/>
        </w:rPr>
      </w:pPr>
    </w:p>
    <w:p>
      <w:pPr>
        <w:jc w:val="both"/>
        <w:ind w:firstLine="8"/>
        <w:spacing w:after="0" w:line="252" w:lineRule="auto"/>
        <w:tabs>
          <w:tab w:leader="none" w:pos="3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 2/3 percent vote of our stockholders other than the “interested stockholder,” each as specifically provided in Section 203. We have also adopted a shareholder rights plan in the form of a Section 382 Rights Agreement (the “NOL rights plan”), designed to help protect and preserve our substantial tax attributes primarily associated with our NOLs and research tax credits under Sections 382 and 383 of the Internal Revenue Code and related U.S. Treasury regulations. Although this is not the purpose of the NOL rights plan, it could have the effect of making it uneconomical for a third party to acquire us on a hostile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of the DGCL, our certificate of incorporation and bylaws, and the NOL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ectPr>
          <w:pgSz w:w="11900" w:h="16919" w:orient="portrait"/>
          <w:cols w:equalWidth="0" w:num="1">
            <w:col w:w="11420"/>
          </w:cols>
          <w:pgMar w:left="240" w:top="900" w:right="2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NASDAQ’s continued listing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16, 2016, we received a letter from NASDAQ advising that we are no longer in compliance with NASDAQ Listing Rule 5605(c)(2), which requires listed companies to have at least three audit committee members. NASDAQ has provided us with 45 calendar days, during which time we are required to submit a plan to regain compliance. Once the plan is accepted, NASDAQ can grant us an extension of up to 180 days from March 16, 2016 to regain compliance. If we are unsuccessful in maintaining our NASDAQ listing, then trading in our common stock after a delisting would likely be conducted in the over-the-counter markets and could also be subject to additional restrictions. There can be no assurance that we will meet the continued listing requirements for the NASDAQ Capital Market, or that we will not be delisted from the NASDAQ Capital Market in the future. The delisting of our common stock could have a material adverse effect on the trading price, liquidity, value and marketability of our common stock. We intend to regain compliance with the NASDAQ Listing Rule in the near term and retain two additional qualified independent directors to the audit committee.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2016, we submitted to NASDAQ a plan detailing our strategy to regain compliance with their audit committee requirements for listed companies. As of May 5, 2016, we have yet to receive a response from NASDAQ as to whether or not our plan has been accepted.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10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Form of Exchange Note Agreement (incorporated by reference to Exhibit 10.1 to our Current Report on Form 8-K filed with the SEC on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9, 2016)</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Amended and Restated Senior Secured Notes (incorporated by reference to Exhibit 10.2 to our Current Report on Form 8-K filed</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the SEC on March 9, 2016)</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Second Supplemental Indenture (incorporated by reference to Exhibit 10.3 to our Current Report on Form 8-K filed with the SEC</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March 9, 2016)</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Exchange Act, Rules 13a - 14(a) and 15d - 14(a), as adopted pursuant to Section 302</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the Sarbanes-Oxley Act of 2002.</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Exchange Act Rules 13a - 14(a) and 15d - 14(a), as adopted pursuant to Section 302</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the Sarbanes-Oxley Act of 2002.</w:t>
            </w: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Pursuant to 18 U.S.C. Section 1350, as adopted pursuant to</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1260" w:hanging="1252"/>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260" w:hanging="1252"/>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herein.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5th day of May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VRINGO, INC.</w:t>
            </w:r>
          </w:p>
        </w:tc>
        <w:tc>
          <w:tcPr>
            <w:tcW w:w="8540" w:type="dxa"/>
            <w:vAlign w:val="bottom"/>
          </w:tcPr>
          <w:p>
            <w:pPr>
              <w:spacing w:after="0"/>
              <w:rPr>
                <w:sz w:val="20"/>
                <w:szCs w:val="20"/>
                <w:color w:val="auto"/>
              </w:rPr>
            </w:pPr>
          </w:p>
        </w:tc>
      </w:tr>
      <w:tr>
        <w:trPr>
          <w:trHeight w:val="432"/>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854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8"/>
              </w:rPr>
              <w:t>/s/ ANASTASIA NYRKOVSKAYA</w:t>
            </w:r>
          </w:p>
        </w:tc>
      </w:tr>
      <w:tr>
        <w:trPr>
          <w:trHeight w:val="187"/>
        </w:trPr>
        <w:tc>
          <w:tcPr>
            <w:tcW w:w="116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8540" w:type="dxa"/>
            <w:vAlign w:val="bottom"/>
            <w:tcBorders>
              <w:top w:val="single" w:sz="8" w:color="auto"/>
            </w:tcBorders>
          </w:tcPr>
          <w:p>
            <w:pPr>
              <w:jc w:val="center"/>
              <w:ind w:right="1630"/>
              <w:spacing w:after="0" w:line="188" w:lineRule="exact"/>
              <w:rPr>
                <w:sz w:val="20"/>
                <w:szCs w:val="20"/>
                <w:color w:val="auto"/>
              </w:rPr>
            </w:pPr>
            <w:r>
              <w:rPr>
                <w:rFonts w:ascii="Times New Roman" w:cs="Times New Roman" w:eastAsia="Times New Roman" w:hAnsi="Times New Roman"/>
                <w:sz w:val="18"/>
                <w:szCs w:val="18"/>
                <w:b w:val="1"/>
                <w:bCs w:val="1"/>
                <w:color w:val="auto"/>
              </w:rPr>
              <w:t>Anastasia Nyrkovskaya</w:t>
            </w: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54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54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r>
        <w:trPr>
          <w:trHeight w:val="648"/>
        </w:trPr>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420"/>
          </w:cols>
          <w:pgMar w:left="240" w:top="900"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Vringo,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2016</w:t>
      </w:r>
    </w:p>
    <w:p>
      <w:pPr>
        <w:spacing w:after="0" w:line="225" w:lineRule="exact"/>
        <w:rPr>
          <w:sz w:val="20"/>
          <w:szCs w:val="20"/>
          <w:color w:val="auto"/>
        </w:rPr>
      </w:pPr>
    </w:p>
    <w:p>
      <w:pPr>
        <w:ind w:left="4580"/>
        <w:spacing w:after="0"/>
        <w:tabs>
          <w:tab w:leader="none" w:pos="4900" w:val="left"/>
        </w:tabs>
        <w:rPr>
          <w:sz w:val="20"/>
          <w:szCs w:val="20"/>
          <w:color w:val="auto"/>
        </w:rPr>
      </w:pPr>
      <w:r>
        <w:rPr>
          <w:rFonts w:ascii="Times New Roman" w:cs="Times New Roman" w:eastAsia="Times New Roman" w:hAnsi="Times New Roman"/>
          <w:sz w:val="18"/>
          <w:szCs w:val="18"/>
          <w:color w:val="auto"/>
        </w:rPr>
        <w:t>/s/</w:t>
        <w:tab/>
        <w:t>ANDREW D. PERLMAN</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Vringo,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2016</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ANASTASIA NYRKOVSKAYA</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PERSUANT SECTION 906 OF THE SARBANES-OXLEY ACT OF 2002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2016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2016</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ANDREW D. PERLMAN</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2016</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ANASTASIA NYRKOVSKAYA</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203"/>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2019-12-29T11:40:36Z</dcterms:created>
  <dcterms:modified xsi:type="dcterms:W3CDTF">2019-12-29T11:40:36Z</dcterms:modified>
</cp:coreProperties>
</file>