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207" w:lineRule="exact"/>
        <w:rPr>
          <w:sz w:val="24"/>
          <w:szCs w:val="24"/>
          <w:color w:val="auto"/>
        </w:rPr>
      </w:pPr>
    </w:p>
    <w:p>
      <w:pPr>
        <w:ind w:right="1640" w:firstLine="8"/>
        <w:spacing w:after="0" w:line="261" w:lineRule="auto"/>
        <w:tabs>
          <w:tab w:leader="none" w:pos="796"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(Mark One)</w:t>
      </w:r>
    </w:p>
    <w:p>
      <w:pPr>
        <w:jc w:val="center"/>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3980" w:right="1280" w:hanging="3972"/>
        <w:spacing w:after="0" w:line="282" w:lineRule="auto"/>
        <w:tabs>
          <w:tab w:leader="none" w:pos="80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___to _____</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001-34785</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XPRESSPA 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Delaware</w:t>
            </w:r>
          </w:p>
        </w:tc>
        <w:tc>
          <w:tcPr>
            <w:tcW w:w="344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20-4988129</w:t>
            </w:r>
          </w:p>
        </w:tc>
        <w:tc>
          <w:tcPr>
            <w:tcW w:w="1940" w:type="dxa"/>
            <w:vAlign w:val="bottom"/>
          </w:tcPr>
          <w:p>
            <w:pPr>
              <w:spacing w:after="0"/>
              <w:rPr>
                <w:sz w:val="19"/>
                <w:szCs w:val="19"/>
                <w:color w:val="auto"/>
              </w:rPr>
            </w:pPr>
          </w:p>
        </w:tc>
      </w:tr>
      <w:tr>
        <w:trPr>
          <w:trHeight w:val="216"/>
        </w:trPr>
        <w:tc>
          <w:tcPr>
            <w:tcW w:w="58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(State or other jurisdiction of incorporation or</w:t>
            </w:r>
          </w:p>
        </w:tc>
        <w:tc>
          <w:tcPr>
            <w:tcW w:w="5380" w:type="dxa"/>
            <w:vAlign w:val="bottom"/>
            <w:gridSpan w:val="3"/>
          </w:tcPr>
          <w:p>
            <w:pPr>
              <w:jc w:val="center"/>
              <w:ind w:right="1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58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organization)</w:t>
            </w:r>
          </w:p>
        </w:tc>
        <w:tc>
          <w:tcPr>
            <w:tcW w:w="2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54"/>
        </w:trPr>
        <w:tc>
          <w:tcPr>
            <w:tcW w:w="5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254 West 31 Street 11</w:t>
            </w:r>
            <w:r>
              <w:rPr>
                <w:rFonts w:ascii="Arial" w:cs="Arial" w:eastAsia="Arial" w:hAnsi="Arial"/>
                <w:sz w:val="29"/>
                <w:szCs w:val="29"/>
                <w:b w:val="1"/>
                <w:bCs w:val="1"/>
                <w:color w:val="auto"/>
                <w:w w:val="88"/>
                <w:vertAlign w:val="superscript"/>
              </w:rPr>
              <w:t>th</w:t>
            </w:r>
            <w:r>
              <w:rPr>
                <w:rFonts w:ascii="Arial" w:cs="Arial" w:eastAsia="Arial" w:hAnsi="Arial"/>
                <w:sz w:val="18"/>
                <w:szCs w:val="18"/>
                <w:b w:val="1"/>
                <w:bCs w:val="1"/>
                <w:color w:val="auto"/>
                <w:w w:val="88"/>
              </w:rPr>
              <w:t xml:space="preserve"> Floor</w:t>
            </w:r>
          </w:p>
        </w:tc>
        <w:tc>
          <w:tcPr>
            <w:tcW w:w="2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20"/>
        </w:trPr>
        <w:tc>
          <w:tcPr>
            <w:tcW w:w="5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New York, NY</w:t>
            </w:r>
          </w:p>
        </w:tc>
        <w:tc>
          <w:tcPr>
            <w:tcW w:w="344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10001</w:t>
            </w:r>
          </w:p>
        </w:tc>
        <w:tc>
          <w:tcPr>
            <w:tcW w:w="1940" w:type="dxa"/>
            <w:vAlign w:val="bottom"/>
          </w:tcPr>
          <w:p>
            <w:pPr>
              <w:spacing w:after="0"/>
              <w:rPr>
                <w:sz w:val="19"/>
                <w:szCs w:val="19"/>
                <w:color w:val="auto"/>
              </w:rPr>
            </w:pPr>
          </w:p>
        </w:tc>
      </w:tr>
      <w:tr>
        <w:trPr>
          <w:trHeight w:val="230"/>
        </w:trPr>
        <w:tc>
          <w:tcPr>
            <w:tcW w:w="58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(Address of principal executive offices)</w:t>
            </w:r>
          </w:p>
        </w:tc>
        <w:tc>
          <w:tcPr>
            <w:tcW w:w="3440" w:type="dxa"/>
            <w:vAlign w:val="bottom"/>
            <w:gridSpan w:val="2"/>
          </w:tcPr>
          <w:p>
            <w:pPr>
              <w:jc w:val="center"/>
              <w:ind w:left="1610"/>
              <w:spacing w:after="0"/>
              <w:rPr>
                <w:sz w:val="20"/>
                <w:szCs w:val="20"/>
                <w:color w:val="auto"/>
              </w:rPr>
            </w:pPr>
            <w:r>
              <w:rPr>
                <w:rFonts w:ascii="Arial" w:cs="Arial" w:eastAsia="Arial" w:hAnsi="Arial"/>
                <w:sz w:val="18"/>
                <w:szCs w:val="18"/>
                <w:color w:val="auto"/>
                <w:w w:val="91"/>
              </w:rPr>
              <w:t>(Zip Code)</w:t>
            </w:r>
          </w:p>
        </w:tc>
        <w:tc>
          <w:tcPr>
            <w:tcW w:w="1940" w:type="dxa"/>
            <w:vAlign w:val="bottom"/>
          </w:tcPr>
          <w:p>
            <w:pPr>
              <w:spacing w:after="0"/>
              <w:rPr>
                <w:sz w:val="20"/>
                <w:szCs w:val="20"/>
                <w:color w:val="auto"/>
              </w:rPr>
            </w:pPr>
          </w:p>
        </w:tc>
      </w:tr>
      <w:tr>
        <w:trPr>
          <w:trHeight w:val="432"/>
        </w:trPr>
        <w:tc>
          <w:tcPr>
            <w:tcW w:w="8620" w:type="dxa"/>
            <w:vAlign w:val="bottom"/>
            <w:gridSpan w:val="3"/>
          </w:tcPr>
          <w:p>
            <w:pPr>
              <w:jc w:val="center"/>
              <w:ind w:left="249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(212) 309-7549</w:t>
            </w:r>
          </w:p>
        </w:tc>
        <w:tc>
          <w:tcPr>
            <w:tcW w:w="6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432"/>
        </w:trPr>
        <w:tc>
          <w:tcPr>
            <w:tcW w:w="8620" w:type="dxa"/>
            <w:vAlign w:val="bottom"/>
            <w:gridSpan w:val="3"/>
          </w:tcPr>
          <w:p>
            <w:pPr>
              <w:jc w:val="center"/>
              <w:ind w:left="253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6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432"/>
        </w:trPr>
        <w:tc>
          <w:tcPr>
            <w:tcW w:w="5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5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5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20" w:type="dxa"/>
            <w:vAlign w:val="bottom"/>
          </w:tcPr>
          <w:p>
            <w:pPr>
              <w:spacing w:after="0"/>
              <w:rPr>
                <w:sz w:val="19"/>
                <w:szCs w:val="19"/>
                <w:color w:val="auto"/>
              </w:rPr>
            </w:pPr>
          </w:p>
        </w:tc>
        <w:tc>
          <w:tcPr>
            <w:tcW w:w="53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418"/>
        </w:trPr>
        <w:tc>
          <w:tcPr>
            <w:tcW w:w="8620" w:type="dxa"/>
            <w:vAlign w:val="bottom"/>
            <w:gridSpan w:val="3"/>
          </w:tcPr>
          <w:p>
            <w:pPr>
              <w:ind w:left="3200"/>
              <w:spacing w:after="0"/>
              <w:rPr>
                <w:sz w:val="20"/>
                <w:szCs w:val="20"/>
                <w:color w:val="auto"/>
              </w:rPr>
            </w:pPr>
            <w:r>
              <w:rPr>
                <w:rFonts w:ascii="Arial" w:cs="Arial" w:eastAsia="Arial" w:hAnsi="Arial"/>
                <w:sz w:val="18"/>
                <w:szCs w:val="18"/>
                <w:b w:val="1"/>
                <w:bCs w:val="1"/>
                <w:color w:val="auto"/>
                <w:w w:val="99"/>
              </w:rPr>
              <w:t>Securities registered pursuant to Section 12(g) of the Act: None</w:t>
            </w:r>
          </w:p>
        </w:tc>
        <w:tc>
          <w:tcPr>
            <w:tcW w:w="6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452"/>
        </w:trPr>
        <w:tc>
          <w:tcPr>
            <w:tcW w:w="8620" w:type="dxa"/>
            <w:vAlign w:val="bottom"/>
            <w:gridSpan w:val="3"/>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8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94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8620" w:type="dxa"/>
            <w:vAlign w:val="bottom"/>
            <w:gridSpan w:val="3"/>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1940" w:type="dxa"/>
            <w:vAlign w:val="bottom"/>
          </w:tcPr>
          <w:p>
            <w:pPr>
              <w:ind w:left="1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14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29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14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540" w:type="dxa"/>
            <w:vAlign w:val="bottom"/>
          </w:tcPr>
          <w:p>
            <w:pPr>
              <w:ind w:left="214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7580" w:val="left"/>
          <w:tab w:leader="none" w:pos="82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The aggregate market value of the registrant's common stock held by non-affiliates of the registrant (without admitting that any person whose shares are not included in such calculation is an affiliate), as of June 28, 2019, the last business day of the registrant’s most recently completed second quarter, was $5,398,950 computed by reference to the closing sale price of $1.94 per share on the Nasdaq Stock Market LLC on June 28, 2019.</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As of June 11, 2020, 48,859,213 shares of the registrant's common stock were outstanding.</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02" w:right="339" w:bottom="339"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8300" w:type="dxa"/>
            <w:vAlign w:val="bottom"/>
          </w:tcPr>
          <w:p>
            <w:pPr>
              <w:ind w:left="3180"/>
              <w:spacing w:after="0"/>
              <w:rPr>
                <w:sz w:val="20"/>
                <w:szCs w:val="20"/>
                <w:color w:val="auto"/>
              </w:rPr>
            </w:pPr>
            <w:r>
              <w:rPr>
                <w:rFonts w:ascii="Arial" w:cs="Arial" w:eastAsia="Arial" w:hAnsi="Arial"/>
                <w:sz w:val="18"/>
                <w:szCs w:val="18"/>
                <w:b w:val="1"/>
                <w:bCs w:val="1"/>
                <w:color w:val="auto"/>
              </w:rPr>
              <w:t>TABLE OF CONTENTS</w:t>
            </w:r>
          </w:p>
        </w:tc>
        <w:tc>
          <w:tcPr>
            <w:tcW w:w="1460" w:type="dxa"/>
            <w:vAlign w:val="bottom"/>
          </w:tcPr>
          <w:p>
            <w:pPr>
              <w:spacing w:after="0"/>
              <w:rPr>
                <w:sz w:val="20"/>
                <w:szCs w:val="20"/>
                <w:color w:val="auto"/>
              </w:rPr>
            </w:pPr>
          </w:p>
        </w:tc>
      </w:tr>
      <w:tr>
        <w:trPr>
          <w:trHeight w:val="216"/>
        </w:trPr>
        <w:tc>
          <w:tcPr>
            <w:tcW w:w="148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Explanatory Note</w:t>
              </w:r>
            </w:hyperlink>
          </w:p>
        </w:tc>
        <w:tc>
          <w:tcPr>
            <w:tcW w:w="83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left="250"/>
              <w:spacing w:after="0"/>
              <w:rPr>
                <w:rFonts w:ascii="Arial" w:cs="Arial" w:eastAsia="Arial" w:hAnsi="Arial"/>
                <w:sz w:val="18"/>
                <w:szCs w:val="18"/>
                <w:u w:val="single" w:color="auto"/>
                <w:color w:val="0000EE"/>
                <w:w w:val="79"/>
              </w:rPr>
            </w:pPr>
            <w:hyperlink w:anchor="page4">
              <w:r>
                <w:rPr>
                  <w:rFonts w:ascii="Arial" w:cs="Arial" w:eastAsia="Arial" w:hAnsi="Arial"/>
                  <w:sz w:val="18"/>
                  <w:szCs w:val="18"/>
                  <w:u w:val="single" w:color="auto"/>
                  <w:color w:val="0000EE"/>
                  <w:w w:val="79"/>
                </w:rPr>
                <w:t>2</w:t>
              </w:r>
            </w:hyperlink>
          </w:p>
        </w:tc>
      </w:tr>
      <w:tr>
        <w:trPr>
          <w:trHeight w:val="216"/>
        </w:trPr>
        <w:tc>
          <w:tcPr>
            <w:tcW w:w="978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9780" w:type="dxa"/>
            <w:vAlign w:val="bottom"/>
            <w:gridSpan w:val="2"/>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Forward-Looking Statements</w:t>
              </w:r>
            </w:hyperlink>
          </w:p>
        </w:tc>
        <w:tc>
          <w:tcPr>
            <w:tcW w:w="1460" w:type="dxa"/>
            <w:vAlign w:val="bottom"/>
            <w:shd w:val="clear" w:color="auto" w:fill="CCEEFF"/>
          </w:tcPr>
          <w:p>
            <w:pPr>
              <w:jc w:val="center"/>
              <w:ind w:left="250"/>
              <w:spacing w:after="0"/>
              <w:rPr>
                <w:rFonts w:ascii="Arial" w:cs="Arial" w:eastAsia="Arial" w:hAnsi="Arial"/>
                <w:sz w:val="18"/>
                <w:szCs w:val="18"/>
                <w:u w:val="single" w:color="auto"/>
                <w:color w:val="0000EE"/>
                <w:w w:val="79"/>
              </w:rPr>
            </w:pPr>
            <w:hyperlink w:anchor="page5">
              <w:r>
                <w:rPr>
                  <w:rFonts w:ascii="Arial" w:cs="Arial" w:eastAsia="Arial" w:hAnsi="Arial"/>
                  <w:sz w:val="18"/>
                  <w:szCs w:val="18"/>
                  <w:u w:val="single" w:color="auto"/>
                  <w:color w:val="0000EE"/>
                  <w:w w:val="79"/>
                </w:rPr>
                <w:t>3</w:t>
              </w:r>
            </w:hyperlink>
          </w:p>
        </w:tc>
      </w:tr>
      <w:tr>
        <w:trPr>
          <w:trHeight w:val="216"/>
        </w:trPr>
        <w:tc>
          <w:tcPr>
            <w:tcW w:w="148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PART III</w:t>
              </w:r>
            </w:hyperlink>
          </w:p>
        </w:tc>
        <w:tc>
          <w:tcPr>
            <w:tcW w:w="8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1480" w:type="dxa"/>
            <w:vAlign w:val="bottom"/>
          </w:tcPr>
          <w:p>
            <w:pPr>
              <w:ind w:left="5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10:</w:t>
              </w:r>
            </w:hyperlink>
          </w:p>
        </w:tc>
        <w:tc>
          <w:tcPr>
            <w:tcW w:w="8300" w:type="dxa"/>
            <w:vAlign w:val="bottom"/>
          </w:tcPr>
          <w:p>
            <w:pPr>
              <w:ind w:left="2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Directors, Executive Officers and Corporate Governance</w:t>
              </w:r>
            </w:hyperlink>
          </w:p>
        </w:tc>
        <w:tc>
          <w:tcPr>
            <w:tcW w:w="1460" w:type="dxa"/>
            <w:vAlign w:val="bottom"/>
          </w:tcPr>
          <w:p>
            <w:pPr>
              <w:jc w:val="center"/>
              <w:ind w:left="250"/>
              <w:spacing w:after="0"/>
              <w:rPr>
                <w:rFonts w:ascii="Arial" w:cs="Arial" w:eastAsia="Arial" w:hAnsi="Arial"/>
                <w:sz w:val="18"/>
                <w:szCs w:val="18"/>
                <w:u w:val="single" w:color="auto"/>
                <w:color w:val="0000EE"/>
                <w:w w:val="79"/>
              </w:rPr>
            </w:pPr>
            <w:hyperlink w:anchor="page6">
              <w:r>
                <w:rPr>
                  <w:rFonts w:ascii="Arial" w:cs="Arial" w:eastAsia="Arial" w:hAnsi="Arial"/>
                  <w:sz w:val="18"/>
                  <w:szCs w:val="18"/>
                  <w:u w:val="single" w:color="auto"/>
                  <w:color w:val="0000EE"/>
                  <w:w w:val="79"/>
                </w:rPr>
                <w:t>4</w:t>
              </w:r>
            </w:hyperlink>
          </w:p>
        </w:tc>
      </w:tr>
      <w:tr>
        <w:trPr>
          <w:trHeight w:val="216"/>
        </w:trPr>
        <w:tc>
          <w:tcPr>
            <w:tcW w:w="1480" w:type="dxa"/>
            <w:vAlign w:val="bottom"/>
            <w:shd w:val="clear" w:color="auto" w:fill="CCEEFF"/>
          </w:tcPr>
          <w:p>
            <w:pPr>
              <w:ind w:left="58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Item 11:</w:t>
              </w:r>
            </w:hyperlink>
          </w:p>
        </w:tc>
        <w:tc>
          <w:tcPr>
            <w:tcW w:w="8300" w:type="dxa"/>
            <w:vAlign w:val="bottom"/>
            <w:shd w:val="clear" w:color="auto" w:fill="CCEEFF"/>
          </w:tcPr>
          <w:p>
            <w:pPr>
              <w:ind w:left="2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Executive Compensation</w:t>
              </w:r>
            </w:hyperlink>
          </w:p>
        </w:tc>
        <w:tc>
          <w:tcPr>
            <w:tcW w:w="1460" w:type="dxa"/>
            <w:vAlign w:val="bottom"/>
            <w:shd w:val="clear" w:color="auto" w:fill="CCEEFF"/>
          </w:tcPr>
          <w:p>
            <w:pPr>
              <w:jc w:val="center"/>
              <w:ind w:left="250"/>
              <w:spacing w:after="0"/>
              <w:rPr>
                <w:rFonts w:ascii="Arial" w:cs="Arial" w:eastAsia="Arial" w:hAnsi="Arial"/>
                <w:sz w:val="18"/>
                <w:szCs w:val="18"/>
                <w:u w:val="single" w:color="auto"/>
                <w:color w:val="0000EE"/>
                <w:w w:val="79"/>
              </w:rPr>
            </w:pPr>
            <w:hyperlink w:anchor="page10">
              <w:r>
                <w:rPr>
                  <w:rFonts w:ascii="Arial" w:cs="Arial" w:eastAsia="Arial" w:hAnsi="Arial"/>
                  <w:sz w:val="18"/>
                  <w:szCs w:val="18"/>
                  <w:u w:val="single" w:color="auto"/>
                  <w:color w:val="0000EE"/>
                  <w:w w:val="79"/>
                </w:rPr>
                <w:t>8</w:t>
              </w:r>
            </w:hyperlink>
          </w:p>
        </w:tc>
      </w:tr>
      <w:tr>
        <w:trPr>
          <w:trHeight w:val="216"/>
        </w:trPr>
        <w:tc>
          <w:tcPr>
            <w:tcW w:w="1480" w:type="dxa"/>
            <w:vAlign w:val="bottom"/>
          </w:tcPr>
          <w:p>
            <w:pPr>
              <w:ind w:left="58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Item 12:</w:t>
              </w:r>
            </w:hyperlink>
          </w:p>
        </w:tc>
        <w:tc>
          <w:tcPr>
            <w:tcW w:w="8300" w:type="dxa"/>
            <w:vAlign w:val="bottom"/>
          </w:tcPr>
          <w:p>
            <w:pPr>
              <w:ind w:left="22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Security Ownership of Certain Beneficial Owners and Management and Related Stockholder Matters</w:t>
              </w:r>
            </w:hyperlink>
          </w:p>
        </w:tc>
        <w:tc>
          <w:tcPr>
            <w:tcW w:w="1460" w:type="dxa"/>
            <w:vAlign w:val="bottom"/>
          </w:tcPr>
          <w:p>
            <w:pPr>
              <w:jc w:val="center"/>
              <w:ind w:left="250"/>
              <w:spacing w:after="0"/>
              <w:rPr>
                <w:rFonts w:ascii="Arial" w:cs="Arial" w:eastAsia="Arial" w:hAnsi="Arial"/>
                <w:sz w:val="18"/>
                <w:szCs w:val="18"/>
                <w:u w:val="single" w:color="auto"/>
                <w:color w:val="0000EE"/>
                <w:w w:val="79"/>
              </w:rPr>
            </w:pPr>
            <w:hyperlink w:anchor="page13">
              <w:r>
                <w:rPr>
                  <w:rFonts w:ascii="Arial" w:cs="Arial" w:eastAsia="Arial" w:hAnsi="Arial"/>
                  <w:sz w:val="18"/>
                  <w:szCs w:val="18"/>
                  <w:u w:val="single" w:color="auto"/>
                  <w:color w:val="0000EE"/>
                  <w:w w:val="79"/>
                </w:rPr>
                <w:t>11</w:t>
              </w:r>
            </w:hyperlink>
          </w:p>
        </w:tc>
      </w:tr>
      <w:tr>
        <w:trPr>
          <w:trHeight w:val="216"/>
        </w:trPr>
        <w:tc>
          <w:tcPr>
            <w:tcW w:w="1480" w:type="dxa"/>
            <w:vAlign w:val="bottom"/>
            <w:shd w:val="clear" w:color="auto" w:fill="CCEEFF"/>
          </w:tcPr>
          <w:p>
            <w:pPr>
              <w:ind w:left="58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Item 13:</w:t>
              </w:r>
            </w:hyperlink>
          </w:p>
        </w:tc>
        <w:tc>
          <w:tcPr>
            <w:tcW w:w="8300" w:type="dxa"/>
            <w:vAlign w:val="bottom"/>
            <w:shd w:val="clear" w:color="auto" w:fill="CCEEFF"/>
          </w:tcPr>
          <w:p>
            <w:pPr>
              <w:ind w:left="2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Certain Relationships and Related Transactions, and Director Independence</w:t>
              </w:r>
            </w:hyperlink>
          </w:p>
        </w:tc>
        <w:tc>
          <w:tcPr>
            <w:tcW w:w="1460" w:type="dxa"/>
            <w:vAlign w:val="bottom"/>
            <w:shd w:val="clear" w:color="auto" w:fill="CCEEFF"/>
          </w:tcPr>
          <w:p>
            <w:pPr>
              <w:jc w:val="center"/>
              <w:ind w:left="230"/>
              <w:spacing w:after="0"/>
              <w:rPr>
                <w:rFonts w:ascii="Arial" w:cs="Arial" w:eastAsia="Arial" w:hAnsi="Arial"/>
                <w:sz w:val="18"/>
                <w:szCs w:val="18"/>
                <w:u w:val="single" w:color="auto"/>
                <w:color w:val="0000EE"/>
                <w:w w:val="89"/>
              </w:rPr>
            </w:pPr>
            <w:hyperlink w:anchor="page15">
              <w:r>
                <w:rPr>
                  <w:rFonts w:ascii="Arial" w:cs="Arial" w:eastAsia="Arial" w:hAnsi="Arial"/>
                  <w:sz w:val="18"/>
                  <w:szCs w:val="18"/>
                  <w:u w:val="single" w:color="auto"/>
                  <w:color w:val="0000EE"/>
                  <w:w w:val="89"/>
                </w:rPr>
                <w:t>13</w:t>
              </w:r>
            </w:hyperlink>
          </w:p>
        </w:tc>
      </w:tr>
      <w:tr>
        <w:trPr>
          <w:trHeight w:val="216"/>
        </w:trPr>
        <w:tc>
          <w:tcPr>
            <w:tcW w:w="1480" w:type="dxa"/>
            <w:vAlign w:val="bottom"/>
          </w:tcPr>
          <w:p>
            <w:pPr>
              <w:ind w:left="58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Item 14:</w:t>
              </w:r>
            </w:hyperlink>
          </w:p>
        </w:tc>
        <w:tc>
          <w:tcPr>
            <w:tcW w:w="8300" w:type="dxa"/>
            <w:vAlign w:val="bottom"/>
          </w:tcPr>
          <w:p>
            <w:pPr>
              <w:ind w:left="2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Principal Accounting Fees and Services</w:t>
              </w:r>
            </w:hyperlink>
          </w:p>
        </w:tc>
        <w:tc>
          <w:tcPr>
            <w:tcW w:w="1460" w:type="dxa"/>
            <w:vAlign w:val="bottom"/>
          </w:tcPr>
          <w:p>
            <w:pPr>
              <w:jc w:val="center"/>
              <w:ind w:left="230"/>
              <w:spacing w:after="0"/>
              <w:rPr>
                <w:rFonts w:ascii="Arial" w:cs="Arial" w:eastAsia="Arial" w:hAnsi="Arial"/>
                <w:sz w:val="18"/>
                <w:szCs w:val="18"/>
                <w:u w:val="single" w:color="auto"/>
                <w:color w:val="0000EE"/>
                <w:w w:val="89"/>
              </w:rPr>
            </w:pPr>
            <w:hyperlink w:anchor="page15">
              <w:r>
                <w:rPr>
                  <w:rFonts w:ascii="Arial" w:cs="Arial" w:eastAsia="Arial" w:hAnsi="Arial"/>
                  <w:sz w:val="18"/>
                  <w:szCs w:val="18"/>
                  <w:u w:val="single" w:color="auto"/>
                  <w:color w:val="0000EE"/>
                  <w:w w:val="89"/>
                </w:rPr>
                <w:t>13</w:t>
              </w:r>
            </w:hyperlink>
          </w:p>
        </w:tc>
      </w:tr>
      <w:tr>
        <w:trPr>
          <w:trHeight w:val="216"/>
        </w:trPr>
        <w:tc>
          <w:tcPr>
            <w:tcW w:w="14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PART IV</w:t>
              </w:r>
            </w:hyperlink>
          </w:p>
        </w:tc>
        <w:tc>
          <w:tcPr>
            <w:tcW w:w="83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480" w:type="dxa"/>
            <w:vAlign w:val="bottom"/>
            <w:shd w:val="clear" w:color="auto" w:fill="CCEEFF"/>
          </w:tcPr>
          <w:p>
            <w:pPr>
              <w:ind w:left="58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Item 15:</w:t>
              </w:r>
            </w:hyperlink>
          </w:p>
        </w:tc>
        <w:tc>
          <w:tcPr>
            <w:tcW w:w="8300" w:type="dxa"/>
            <w:vAlign w:val="bottom"/>
            <w:shd w:val="clear" w:color="auto" w:fill="CCEEFF"/>
          </w:tcPr>
          <w:p>
            <w:pPr>
              <w:ind w:left="22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Exhibits, Financial Statement Schedules</w:t>
              </w:r>
            </w:hyperlink>
          </w:p>
        </w:tc>
        <w:tc>
          <w:tcPr>
            <w:tcW w:w="1460" w:type="dxa"/>
            <w:vAlign w:val="bottom"/>
            <w:shd w:val="clear" w:color="auto" w:fill="CCEEFF"/>
          </w:tcPr>
          <w:p>
            <w:pPr>
              <w:jc w:val="center"/>
              <w:ind w:left="230"/>
              <w:spacing w:after="0"/>
              <w:rPr>
                <w:rFonts w:ascii="Arial" w:cs="Arial" w:eastAsia="Arial" w:hAnsi="Arial"/>
                <w:sz w:val="18"/>
                <w:szCs w:val="18"/>
                <w:u w:val="single" w:color="auto"/>
                <w:color w:val="0000EE"/>
                <w:w w:val="89"/>
              </w:rPr>
            </w:pPr>
            <w:hyperlink w:anchor="page16">
              <w:r>
                <w:rPr>
                  <w:rFonts w:ascii="Arial" w:cs="Arial" w:eastAsia="Arial" w:hAnsi="Arial"/>
                  <w:sz w:val="18"/>
                  <w:szCs w:val="18"/>
                  <w:u w:val="single" w:color="auto"/>
                  <w:color w:val="0000EE"/>
                  <w:w w:val="89"/>
                </w:rPr>
                <w:t>14</w:t>
              </w:r>
            </w:hyperlink>
          </w:p>
        </w:tc>
      </w:tr>
      <w:tr>
        <w:trPr>
          <w:trHeight w:val="216"/>
        </w:trPr>
        <w:tc>
          <w:tcPr>
            <w:tcW w:w="148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Signature Page</w:t>
              </w:r>
            </w:hyperlink>
          </w:p>
        </w:tc>
        <w:tc>
          <w:tcPr>
            <w:tcW w:w="83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left="230"/>
              <w:spacing w:after="0"/>
              <w:rPr>
                <w:rFonts w:ascii="Arial" w:cs="Arial" w:eastAsia="Arial" w:hAnsi="Arial"/>
                <w:sz w:val="18"/>
                <w:szCs w:val="18"/>
                <w:u w:val="single" w:color="auto"/>
                <w:color w:val="0000EE"/>
                <w:w w:val="89"/>
              </w:rPr>
            </w:pPr>
            <w:hyperlink w:anchor="page17">
              <w:r>
                <w:rPr>
                  <w:rFonts w:ascii="Arial" w:cs="Arial" w:eastAsia="Arial" w:hAnsi="Arial"/>
                  <w:sz w:val="18"/>
                  <w:szCs w:val="18"/>
                  <w:u w:val="single" w:color="auto"/>
                  <w:color w:val="0000EE"/>
                  <w:w w:val="89"/>
                </w:rPr>
                <w:t>15</w:t>
              </w:r>
            </w:hyperlink>
          </w:p>
        </w:tc>
      </w:tr>
      <w:tr>
        <w:trPr>
          <w:trHeight w:val="648"/>
        </w:trPr>
        <w:tc>
          <w:tcPr>
            <w:tcW w:w="148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ind w:left="4100"/>
              <w:spacing w:after="0"/>
              <w:rPr>
                <w:sz w:val="20"/>
                <w:szCs w:val="20"/>
                <w:color w:val="auto"/>
              </w:rPr>
            </w:pPr>
            <w:r>
              <w:rPr>
                <w:rFonts w:ascii="Arial" w:cs="Arial" w:eastAsia="Arial" w:hAnsi="Arial"/>
                <w:sz w:val="18"/>
                <w:szCs w:val="18"/>
                <w:color w:val="auto"/>
              </w:rPr>
              <w:t>1</w:t>
            </w: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Amendment No. 2 on Form 10-K/A (this “Form 10-K/A”) amends the Annual Report on Form 10-K of XpresSpa Group, Inc. (“XpresSpa Group” or the “Company”) for the fiscal year ended December 31, 2019, as originally filed with the Securities and Exchange Commission (the “SEC”) on April 20, 2020 (the “Original Filing”) and as further amended on May 19, 2020. This Form 10-K/A amends the Original Filing to include the information required by Part III of the Original Filing because the Company has not and will not file a definitive proxy statement within 120 days after the end of its 2019 fiscal year. In addition, this Form 10-K/A amends Item 15 of Part IV of the Original Filing to include new certifications by our principal executive officer and principal financial officer under Section 302 of the Sarbanes-Oxley Act of 2002, as required by Rule 12b-15 under the Securities Exchange Act of 1934, as amended (the “Exchange Act”).</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filing this Form 10-K/A in reliance on the 45-day extension provided by an order issued by the SEC on March 25, 2020 pursuant to Section 36 of the Exchange Act (Release No. 34-88465) (the “Order”) regarding exemptions granted to certain public companies. On April 28, 2020, the Company filed a Current Report on Form 8-K (the “Form 8-K”) to indicate its intention to rely on the Order for such extension. Consistent with the Company’s statements made in the Form 8-K, the Company was unable to file it’s Part III Information (the “Part III Information”) by April 30, 2020 because of the coronavirus disease 2019 (“COVID-19”) pandemic and related events which resulted in the Company’s management devoting significant time and attention to assessing the potential impact of COVID-19 and those events on the Company’s operations and financial position and developing operational and financial plans to address those matters. This diverted management resources from completing all of the tasks necessary to file the Part III Information by the original April 30, 2020 deadline.</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Except for the foregoing, we have not modified or updated disclosures presented in the Original Filing in this Form 10-K/A. Accordingly, this Form 10-K/A does not modify or update the disclosures in the Original Filing to reflect subsequent events, results or developments or facts that have become known to us after the date of the Original Filing. Information not affected by this amendment remains unchanged and reflects the disclosures made at the time the Original Filing was filed. Therefore, this Form 10-K/A should be read in conjunction with any documents incorporated by reference therein and our filings made with the SEC subsequent to the Original Filing.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Form 10-K/A contains “forward-looking statements” within the meaning of the Private Securities Litigation Reform Act of 1995. Such statements are based on management’s expectations and are subject to certain factors, risks and uncertainties that may cause actual results, outcome of events, timing and performance to differ materially from those expressed or implied by such forward-looking statements. Forward-looking statements should be evaluated together with the many uncertainties that affect our business, particularly those mentioned in the Risk Factors in Item 1A of our Original Filing and in our periodic reports on Form 10-Q and Form 8-K.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references in this Form 10-K/A to “we,” “us” and “our” refer to XpresSpa Group, Inc., a Delaware corporation, and its consolidated subsidiaries unless the context requires otherwise.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currently consists of five (5) members. Prior to each annual meeting of stockholders, the Board of Directors considers the recommendations of the Nominating and Corporate Governance Committee and votes to nominate individuals for election or re-election for a term of one year or until their successors are duly elected and qualify or until their earlier death, resignation, or removal. Election takes place at our annual meeting of stockholders.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Set forth below are the names of our directors and executive officers, their ages (as of the filing date of this Form 10-K/A), their position(s) with the Company, if any, their principal occupations or employment for at least the past five years, the length of their tenure as directors and the names of other public companies in which such persons hold or have held directorships during the past five years. Our executive officers are appointed by, and serve at the discretion of, our Board of Directors. There are no family relationships among any of the directors or executive officers. Additionally, information about the specific experience, qualifications, attributes or skills that led to our Board of Directors’ conclusion that each person listed below should serve as a director is set forth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800" w:type="dxa"/>
            <w:vAlign w:val="bottom"/>
            <w:gridSpan w:val="2"/>
          </w:tcPr>
          <w:p>
            <w:pPr>
              <w:jc w:val="right"/>
              <w:ind w:right="1860"/>
              <w:spacing w:after="0"/>
              <w:rPr>
                <w:sz w:val="20"/>
                <w:szCs w:val="20"/>
                <w:color w:val="auto"/>
              </w:rPr>
            </w:pPr>
            <w:r>
              <w:rPr>
                <w:rFonts w:ascii="Arial" w:cs="Arial" w:eastAsia="Arial" w:hAnsi="Arial"/>
                <w:sz w:val="18"/>
                <w:szCs w:val="18"/>
                <w:b w:val="1"/>
                <w:bCs w:val="1"/>
                <w:color w:val="auto"/>
              </w:rPr>
              <w:t>Age</w:t>
            </w:r>
          </w:p>
        </w:tc>
        <w:tc>
          <w:tcPr>
            <w:tcW w:w="3600" w:type="dxa"/>
            <w:vAlign w:val="bottom"/>
          </w:tcPr>
          <w:p>
            <w:pPr>
              <w:ind w:left="660"/>
              <w:spacing w:after="0"/>
              <w:rPr>
                <w:sz w:val="20"/>
                <w:szCs w:val="20"/>
                <w:color w:val="auto"/>
              </w:rPr>
            </w:pPr>
            <w:r>
              <w:rPr>
                <w:rFonts w:ascii="Arial" w:cs="Arial" w:eastAsia="Arial" w:hAnsi="Arial"/>
                <w:sz w:val="18"/>
                <w:szCs w:val="18"/>
                <w:b w:val="1"/>
                <w:bCs w:val="1"/>
                <w:color w:val="auto"/>
              </w:rPr>
              <w:t>Position(s) with the Company</w:t>
            </w:r>
          </w:p>
        </w:tc>
      </w:tr>
      <w:tr>
        <w:trPr>
          <w:trHeight w:val="209"/>
        </w:trPr>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Douglas Satzman</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570"/>
              <w:spacing w:after="0"/>
              <w:rPr>
                <w:sz w:val="20"/>
                <w:szCs w:val="20"/>
                <w:color w:val="auto"/>
              </w:rPr>
            </w:pPr>
            <w:r>
              <w:rPr>
                <w:rFonts w:ascii="Arial" w:cs="Arial" w:eastAsia="Arial" w:hAnsi="Arial"/>
                <w:sz w:val="18"/>
                <w:szCs w:val="18"/>
                <w:color w:val="auto"/>
              </w:rPr>
              <w:t>46</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57"/>
        </w:trPr>
        <w:tc>
          <w:tcPr>
            <w:tcW w:w="3840" w:type="dxa"/>
            <w:vAlign w:val="bottom"/>
            <w:gridSpan w:val="2"/>
          </w:tcPr>
          <w:p>
            <w:pPr>
              <w:spacing w:after="0" w:line="256" w:lineRule="exact"/>
              <w:rPr>
                <w:sz w:val="20"/>
                <w:szCs w:val="20"/>
                <w:color w:val="auto"/>
              </w:rPr>
            </w:pPr>
            <w:r>
              <w:rPr>
                <w:rFonts w:ascii="Arial" w:cs="Arial" w:eastAsia="Arial" w:hAnsi="Arial"/>
                <w:sz w:val="18"/>
                <w:szCs w:val="18"/>
                <w:color w:val="auto"/>
              </w:rPr>
              <w:t>Bruce T. Bernstein*</w:t>
            </w:r>
            <w:r>
              <w:rPr>
                <w:rFonts w:ascii="Arial" w:cs="Arial" w:eastAsia="Arial" w:hAnsi="Arial"/>
                <w:sz w:val="29"/>
                <w:szCs w:val="29"/>
                <w:color w:val="auto"/>
                <w:vertAlign w:val="superscript"/>
              </w:rPr>
              <w:t>(1)(2)(3)</w:t>
            </w:r>
          </w:p>
        </w:tc>
        <w:tc>
          <w:tcPr>
            <w:tcW w:w="3600" w:type="dxa"/>
            <w:vAlign w:val="bottom"/>
          </w:tcPr>
          <w:p>
            <w:pPr>
              <w:jc w:val="right"/>
              <w:ind w:right="1570"/>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2"/>
                <w:szCs w:val="22"/>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57"/>
        </w:trPr>
        <w:tc>
          <w:tcPr>
            <w:tcW w:w="38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Robert Weinstein*</w:t>
            </w:r>
            <w:r>
              <w:rPr>
                <w:rFonts w:ascii="Arial" w:cs="Arial" w:eastAsia="Arial" w:hAnsi="Arial"/>
                <w:sz w:val="29"/>
                <w:szCs w:val="29"/>
                <w:color w:val="auto"/>
                <w:vertAlign w:val="superscript"/>
              </w:rPr>
              <w:t>(2)</w:t>
            </w:r>
          </w:p>
        </w:tc>
        <w:tc>
          <w:tcPr>
            <w:tcW w:w="3600" w:type="dxa"/>
            <w:vAlign w:val="bottom"/>
            <w:shd w:val="clear" w:color="auto" w:fill="CCEEFF"/>
          </w:tcPr>
          <w:p>
            <w:pPr>
              <w:jc w:val="right"/>
              <w:ind w:right="1570"/>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22"/>
                <w:szCs w:val="22"/>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56"/>
        </w:trPr>
        <w:tc>
          <w:tcPr>
            <w:tcW w:w="3840" w:type="dxa"/>
            <w:vAlign w:val="bottom"/>
            <w:gridSpan w:val="2"/>
          </w:tcPr>
          <w:p>
            <w:pPr>
              <w:spacing w:after="0" w:line="256"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(1)(2)(3)</w:t>
            </w:r>
          </w:p>
        </w:tc>
        <w:tc>
          <w:tcPr>
            <w:tcW w:w="3600" w:type="dxa"/>
            <w:vAlign w:val="bottom"/>
          </w:tcPr>
          <w:p>
            <w:pPr>
              <w:jc w:val="right"/>
              <w:ind w:right="157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2"/>
                <w:szCs w:val="22"/>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Lebowitz*</w:t>
            </w:r>
          </w:p>
        </w:tc>
        <w:tc>
          <w:tcPr>
            <w:tcW w:w="3600" w:type="dxa"/>
            <w:vAlign w:val="bottom"/>
            <w:shd w:val="clear" w:color="auto" w:fill="CCEEFF"/>
          </w:tcPr>
          <w:p>
            <w:pPr>
              <w:jc w:val="right"/>
              <w:ind w:right="157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Independent director under the rules of The Nasdaq Stock Market</w:t>
      </w:r>
    </w:p>
    <w:p>
      <w:pPr>
        <w:spacing w:after="0" w:line="2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 Current member of Compensation Committee</w:t>
      </w:r>
    </w:p>
    <w:p>
      <w:pPr>
        <w:spacing w:after="0" w:line="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(2) Current member of Audit Committee</w:t>
      </w:r>
    </w:p>
    <w:p>
      <w:pPr>
        <w:spacing w:after="0" w:line="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(3) Current member of Nominating and Corporate Governance Committee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has reviewed the materiality of any relationship that each of our directors has with us, either directly or indirectly. Based upon this review, our Board of Directors has determined that the following members of our Board of Directors are “independent directors” as defined by The Nasdaq Stock Market</w:t>
      </w:r>
      <w:r>
        <w:rPr>
          <w:rFonts w:ascii="Arial" w:cs="Arial" w:eastAsia="Arial" w:hAnsi="Arial"/>
          <w:sz w:val="18"/>
          <w:szCs w:val="18"/>
          <w:b w:val="1"/>
          <w:bCs w:val="1"/>
          <w:color w:val="auto"/>
        </w:rPr>
        <w:t>:</w:t>
      </w:r>
      <w:r>
        <w:rPr>
          <w:rFonts w:ascii="Arial" w:cs="Arial" w:eastAsia="Arial" w:hAnsi="Arial"/>
          <w:sz w:val="18"/>
          <w:szCs w:val="18"/>
          <w:color w:val="auto"/>
        </w:rPr>
        <w:t xml:space="preserve"> Bruce T. Bernstein, Donald E. Stout, Robert Weinstein, and Michael Lebowitz.</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Douglas Satzman </w:t>
      </w:r>
      <w:r>
        <w:rPr>
          <w:rFonts w:ascii="Arial" w:cs="Arial" w:eastAsia="Arial" w:hAnsi="Arial"/>
          <w:sz w:val="16"/>
          <w:szCs w:val="16"/>
          <w:color w:val="auto"/>
        </w:rPr>
        <w:t>has served as our Chief Executive Officer and as a member of our Board of Directors since February 11, 2019. Mr. Satzman most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recently served as CEO of Joe Coffee Company, a premium Specialty Coffee chain serving craft roasted coffee and artisanal food items with over 20 company owned cafes in New York City and Philadelphia. During his tenure, he created a multi-channel national growth plan, created infrastructure and assembled a leadership team after the first private equity investment in the 15 year-old family business. Previously, Mr. Satzman was Chief Executive Officer, U.S. of Le Pain Quotidien, a premium Bakery &amp; Full Service Restaurant chain serving artisanal breads/pastries, organic products &amp; wholesome cuisine in over 90 company-owned restaurants across the U.S. where he developed a long-term growth strategy focused on building organic sales, opening new stores and markets, creating multi-channel growth platforms and leveraging technology. He also re-organized the corporate and field teams which resulted in improved customer service, improved store level support and reduced costs. Prior to that, Mr. Satzman spent 14 years at Starbucks Coffee Company where he held roles of increasing responsibility across the U.S. and Europe, culminating in being named Senior Vice-President, EMEA Business Development &amp; Channel Operations. In that role, he led and delivered a high growth strategy across Europe, Russia, Middle East and Africa as well as non-company owned retail operations across more than 35 countries. During his assignments in the U.S. and EMEA, Mr. Satzman’s direct responsibilities included leading the travel vertical, including operations and business development across all airports resulting in significant revenue, profit and growth.</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We believe Mr. Saltzman’s extensive experience in the retail industry qualifies him to serve on our Board Directors.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Bruce T. Bernstein </w:t>
      </w:r>
      <w:r>
        <w:rPr>
          <w:rFonts w:ascii="Arial" w:cs="Arial" w:eastAsia="Arial" w:hAnsi="Arial"/>
          <w:sz w:val="16"/>
          <w:szCs w:val="16"/>
          <w:color w:val="auto"/>
        </w:rPr>
        <w:t>joined our Board of Directors in February 2016 and has served as the Chairman of our Board of Directors since February 2018.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Bernstein has over thirty years of experience in the securities industry, primarily as senior portfolio manager for two alternative finance funds as well as in trading and structuring of arbitrage strategies. Mr. Bernstein served as President of Rockmore Capital, LLC from 2006 until February 2017,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was with Fortis Investments Inc., where he was Senior Vice President in the bank’s Global Securities Arbitrage business unit, specializing in equity structured products and equity arbitrage and then President in charge of the bank’s proprietary investment business in the United States. Prior to Fortis, Mr. Bernstein was Director in the Equity Derivatives Group at Nomura Securities International specializing in cross-border tax arbitrage, domestic equity arbitrage and structured equity swaps. Mr. Bernstein started his career at Kidder Peabody, where he rose to the level of Assistant Treasurer. Mr. Bernstein also serves as a member of the Board of Directors of Neurotrope, Inc. Mr. Bernstein is also a member of the board of Summit Digital Health, a laser-based blood glucose monitor distributor, based in New Jersey. Mr. Bernstein holds a B.B.A. from City University of New York (Baruch).</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We believe Mr. Bernstein’s extensive experience in the securities industry qualifies him to serve on our Board of Directors.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Robert Weinstein </w:t>
      </w:r>
      <w:r>
        <w:rPr>
          <w:rFonts w:ascii="Arial" w:cs="Arial" w:eastAsia="Arial" w:hAnsi="Arial"/>
          <w:sz w:val="16"/>
          <w:szCs w:val="16"/>
          <w:color w:val="auto"/>
        </w:rPr>
        <w:t>joined our Board of Directors in February 2020. Mr. Weinstein has extensive accounting and finance experience, spanning more than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thirty years, as a public accountant, investment banker, healthcare private equity fund principal and chief financial officer. Since October 2013, Mr. Weinstein has been the Chief Financial Officer of Neurotrope, Inc., a publicly-traded biotechnology company. From September 2011 to September 2013, Mr. Weinstein was an independent consultant for several healthcare companies in the pharmaceutical and biotechnology industries. From March 2010 to August 2011, Mr. Weinstein was the Chief Financial Officer of Green Energy Management Services Holdings, Inc., a publicly-traded energy consulting company. From August 2007 to February 2010, Mr. Weinstein served as Chief Financial Officer of Xcorporeal, Inc., a publicly-traded, development-stage medical device company which was sold in March 2010 to Fresenius Medical USA, the largest provider of dialysis equipment and services worldwide. Mr. Weinstein received his MBA degree in finance and international business from the University of Chicago Graduate School of Business, is a Certified Public Accountant (inactive), and received his B.S. in accounting from the State University of New York at Albany.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Mr. Weinstein’s extensive financial expertise and healthcare experience qualifies him to serve on our Board of Directors and as a member and the chairperson of the audit committee of our Board of Directors.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Donald E. Stout </w:t>
      </w:r>
      <w:r>
        <w:rPr>
          <w:rFonts w:ascii="Arial" w:cs="Arial" w:eastAsia="Arial" w:hAnsi="Arial"/>
          <w:sz w:val="17"/>
          <w:szCs w:val="17"/>
          <w:color w:val="auto"/>
        </w:rPr>
        <w:t>has been our director since July 2012, and was a director of Innovate/Protect, Inc. from November 2011 through the consummation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merger with us. In a career spanning over forty years, Mr. Stout has been involved in virtually all facets of intellectual property law. Mr. Stout is a partner at a law firm Fitch, Even, Tabin &amp; Flannery LLP since 2015 and he had been a senior partner at the law firm of Antonelli, Terry, Stout &amp; Kraus, LLP from 1982 to 2015. As an attorney in private practice, Mr. Stout has focused on litigation, licensing and representation of clients before the United States Patent and Trademark Office (“USPTO”) in diverse technological areas. From 1971 to 1972, Mr. Stout worked as a law clerk for two members of the USPTO Board of Appeals and, from 1968 to 1972. Mr. Stout was an assistant examiner at the USPTO, where he focused on patent applications covering radio and television technologies. Mr. Stout has written and prosecuted hundreds of patent applications in diverse technologies, rendered opinions on patent infringement and validity, and has testified as an expert witness regarding obtaining and prosecuting patents. Mr. Stout is also the co-founder of NTP Inc., which licensed Research in Motion (RIM), the maker of the Blackberry handheld devices, for $612.5 million to settle a patent infringement action. Mr. Stout also previously served on the Board of Directors of Tessera Technologies, Inc. (TSRA). Mr. Stout is a member of the bars of the District of Columbia and Virginia, and is admitted to practice before the Supreme Court of the United States, the Court of Appeals for the Federal Circuit and the USPTO. Mr. Stout holds a Bachelor’s degree in Electrical Engineering, with distinction, from Pennsylvania State University, and a J.D., with honors, from The George Washington University.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t>We believe Mr. Stout’s historical knowledge of the Company and intellectual property experience qualifies him to serve on our Board of Directors.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Michael Lebowitz </w:t>
      </w:r>
      <w:r>
        <w:rPr>
          <w:rFonts w:ascii="Arial" w:cs="Arial" w:eastAsia="Arial" w:hAnsi="Arial"/>
          <w:sz w:val="18"/>
          <w:szCs w:val="18"/>
          <w:color w:val="auto"/>
        </w:rPr>
        <w:t>joined our Board of Directors in April 2020. An expert in customer experience strategy and innovation, Mr. Lebowitz has a twenty-five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track record in defining creative strategy and vision for some of the world’s most recognizable brands. Mr. Lebowitz founded Big Spaceship, a globally-recognized creative consultancy, in 2000 and has served as Chief Executive Officer of Big Spaceship since its founding. Mr. Lebowitz received his Bachelor’s degree in Film from Vassar College.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believe Mr. Lebowitz’s extensive experience in the area of creative brand strategy qualifies him to serve on our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 and Meetings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Meeting Attendance</w:t>
      </w:r>
      <w:r>
        <w:rPr>
          <w:rFonts w:ascii="Arial" w:cs="Arial" w:eastAsia="Arial" w:hAnsi="Arial"/>
          <w:sz w:val="18"/>
          <w:szCs w:val="18"/>
          <w:color w:val="auto"/>
        </w:rPr>
        <w:t>. During the fiscal year ended December 31, 2019 there were sixteen (16) meetings of our Board of Directors as well as six (6)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unanimous consents. The various committees of the Board of Directors met a total of five (5) times. Donald E. Stout director attended fewer than 75% of the total number of meetings of the Board of Directors and of committees of the Board of Directors on which he served during fiscal 2019. The Board of Directors has adopted a policy under which each member of the Board of Directors is strongly encouraged, but not required, to attend each annual meeting of our stockholders.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Audit Committee</w:t>
      </w:r>
      <w:r>
        <w:rPr>
          <w:rFonts w:ascii="Arial" w:cs="Arial" w:eastAsia="Arial" w:hAnsi="Arial"/>
          <w:sz w:val="17"/>
          <w:szCs w:val="17"/>
          <w:color w:val="auto"/>
        </w:rPr>
        <w:t>. Our Audit Committee met five (5) times during fiscal 2019. This committee currently has three (3) members, Robert Weinstein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(Chairman), Bruce T. Bernstein and Donald E. Stout. Our Audit Committee’s role and responsibilities are set forth in the Audit Committee’s written charter and include the authority to retain and terminate the services of our independent registered public accounting firm. In addition, the Audit Committee reviews our annual and quarterly financial statements, considers matters relating to accounting policy and internal controls and reviews the scope of annual audits. All members of the Audit Committee satisfy the current independence standards promulgated by the SEC and The Nasdaq Stock Market (“Nasdaq”), as such standards apply specifically to members of audit committees. The Board of Directors has determined that both Messrs. Weinstein and Bernstein are “audit committee financial experts,” as defined by the SEC in Item 407 of Regulation S-K.</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 copy of the Audit Committee’s written charter is publicly available through the “Investors — Corporate Governance” section of our website at </w:t>
      </w:r>
      <w:r>
        <w:rPr>
          <w:rFonts w:ascii="Arial" w:cs="Arial" w:eastAsia="Arial" w:hAnsi="Arial"/>
          <w:sz w:val="18"/>
          <w:szCs w:val="18"/>
          <w:i w:val="1"/>
          <w:iCs w:val="1"/>
          <w:color w:val="auto"/>
        </w:rPr>
        <w:t>www.xpresspagroup.com/corp_governance</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r>
        <w:rPr>
          <w:rFonts w:ascii="Arial" w:cs="Arial" w:eastAsia="Arial" w:hAnsi="Arial"/>
          <w:sz w:val="17"/>
          <w:szCs w:val="17"/>
          <w:color w:val="auto"/>
        </w:rPr>
        <w:t>. Our Compensation Committee did not meet during fiscal 2019. This committee currently has two (2) members, Bruce 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Bernstein (Chairman) and Donald E. Stout.</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the Board of Directors are carried out and that such policies, practices and procedures contribute to our success. Our Compensation Committee also administers our 2012 Employee, Director and Consultant Equity Incentive Plan (the “2012 Plan”). The Compensation Committee is responsible for the determination of the compensation of our Chief Executive Officer, and shall conduct its decision-making process with respect to that issue without the Chief Executive Officer present, and establishment and reviewing general compensation policies with the objective of attracting and retaining superior talent, rewarding individual performance and achieving our financial goals. The Compensation Committee has the authority to directly retain the services of independent consultants and other experts to assist in fulfilling its responsibilities. During fiscal year 2019, based on the recommendation of management, the Compensation Committee did not engage third party compensation consultants.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Both members of the Compensation Committee qualify as independent under the definition promulgated by Nasdaq. A copy of the Compensation Committee’s written charter is publicly available through the “Investors — Corporate Governance” section of our website at </w:t>
      </w:r>
      <w:r>
        <w:rPr>
          <w:rFonts w:ascii="Arial" w:cs="Arial" w:eastAsia="Arial" w:hAnsi="Arial"/>
          <w:sz w:val="18"/>
          <w:szCs w:val="18"/>
          <w:i w:val="1"/>
          <w:iCs w:val="1"/>
          <w:color w:val="auto"/>
        </w:rPr>
        <w:t>www.xpresspagroup.com/corp_governance</w:t>
      </w:r>
      <w:r>
        <w:rPr>
          <w:rFonts w:ascii="Arial" w:cs="Arial" w:eastAsia="Arial" w:hAnsi="Arial"/>
          <w:sz w:val="18"/>
          <w:szCs w:val="18"/>
          <w:color w:val="auto"/>
        </w:rPr>
        <w: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18"/>
          <w:szCs w:val="18"/>
          <w:b w:val="1"/>
          <w:bCs w:val="1"/>
          <w:i w:val="1"/>
          <w:iCs w:val="1"/>
          <w:color w:val="auto"/>
        </w:rPr>
        <w:t>Nominating and Corporate Governance Committee</w:t>
      </w:r>
      <w:r>
        <w:rPr>
          <w:rFonts w:ascii="Arial" w:cs="Arial" w:eastAsia="Arial" w:hAnsi="Arial"/>
          <w:sz w:val="18"/>
          <w:szCs w:val="18"/>
          <w:color w:val="auto"/>
        </w:rPr>
        <w:t>. Our Nominating and Corporate Governance Committee did not meet during fiscal 2019 and currently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two (2) members, Bruce T. Bernstein and Donald E. Stout. The Nominating and Corporate Governance Committee’s role and responsibilities are set forth in the Nominating and Corporate Governance Committee’s written charter and is authorized to:</w:t>
      </w:r>
    </w:p>
    <w:p>
      <w:pPr>
        <w:spacing w:after="0" w:line="18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and nominate members of the Board of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 and recommend corporate governance guidelines to the Board of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evaluate the performance of the members of the Board of Directors;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make recommendations to the Board of Directors as to the structure, composition and functioning of the Board of Directors and its committees.</w:t>
      </w:r>
    </w:p>
    <w:p>
      <w:pPr>
        <w:spacing w:after="0" w:line="24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no formal policy regarding board diversity. 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Both members of the Nominating and Corporate Governance Committee qualify as independent under the definition promulgated by Nasdaq. 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of Directors, and concern for the long-term interests of the stockholders. In general, persons recommended by stockholders will be considered on the same basis as candidates from other sources.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 copy of the Nominating and Governance Committee’s written charter is publicly available through the “Investors — Corporate Governance” section of our website at </w:t>
      </w:r>
      <w:r>
        <w:rPr>
          <w:rFonts w:ascii="Arial" w:cs="Arial" w:eastAsia="Arial" w:hAnsi="Arial"/>
          <w:sz w:val="18"/>
          <w:szCs w:val="18"/>
          <w:i w:val="1"/>
          <w:iCs w:val="1"/>
          <w:color w:val="auto"/>
        </w:rPr>
        <w:t>www.xpresspagroup.com/corp_governance</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Effective February 5, 2018, the Board appointed Bruce T. Bernstein as the non-executive Chairman of the Board of Directors.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leadership structure of the Board currently consists of a Chairman of the Board who oversees the Board meetings. We separate the roles of Chairman of the Board and Chief Executive Officer in recognition of the differences between the two roles. Our Board believes this division of responsibility is an effective approach for addressing the risks we face. All of our Board committees are comprised of only independent directors. All Board committees are chaired by independent directors who report to the full Board whenever necessary. We believe this leadership structure helps facilitate efficient decision-making and communication among our directors and fosters efficient Board functioning at meetings.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is primarily responsible for managing the risks we face in the ordinary course of operating our business. The Board oversees potential risks and our risk management activities by receiving operational and strategic presentations from management which include discussions of key risks to our business. The Board also periodically discusses with management important compliance and quality issues. In addition, the Board has delegated risk oversight to each of its key committees within their areas of responsibility. For example, the Audit Committee assists the Board in fulfilling its oversight of the quality and integrity of our financial statements and our compliance with legal and regulatory requirements relating to our financial statements and related disclosures. The Compensation Committee assists the Board in its risk oversight function by overseeing strategies with respect to our incentive compensation programs and key employee retention issues. We believe our Board leadership structure facilitates the division of risk management oversight responsibilities among the Board committees and enhances the Board’s efficiency in fulfilling its oversight function with respect to difference areas of our business risks and our risk mitigation practices.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records reflect that all reports which were required to be filed pursuant to Section 16(a) of the Securities Exchange Act of 1934, as amended, were filed on a timely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Ethics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have adopted a code of ethics that applies to all of our employees. The text of the code of conduct and ethics is posted on the “Investors — Corporate Governance” section of our website at </w:t>
      </w:r>
      <w:r>
        <w:rPr>
          <w:rFonts w:ascii="Arial" w:cs="Arial" w:eastAsia="Arial" w:hAnsi="Arial"/>
          <w:sz w:val="16"/>
          <w:szCs w:val="16"/>
          <w:i w:val="1"/>
          <w:iCs w:val="1"/>
          <w:color w:val="auto"/>
        </w:rPr>
        <w:t>www.xpresspagroup.com/corp_governance</w:t>
      </w:r>
      <w:r>
        <w:rPr>
          <w:rFonts w:ascii="Arial" w:cs="Arial" w:eastAsia="Arial" w:hAnsi="Arial"/>
          <w:sz w:val="16"/>
          <w:szCs w:val="16"/>
          <w:color w:val="auto"/>
        </w:rPr>
        <w:t>, and will be made available to stockholders without charge, upon</w:t>
      </w:r>
    </w:p>
    <w:p>
      <w:pPr>
        <w:jc w:val="both"/>
        <w:spacing w:after="0" w:line="227" w:lineRule="auto"/>
        <w:rPr>
          <w:sz w:val="20"/>
          <w:szCs w:val="20"/>
          <w:color w:val="auto"/>
        </w:rPr>
      </w:pPr>
      <w:r>
        <w:rPr>
          <w:rFonts w:ascii="Arial" w:cs="Arial" w:eastAsia="Arial" w:hAnsi="Arial"/>
          <w:sz w:val="18"/>
          <w:szCs w:val="18"/>
          <w:color w:val="auto"/>
        </w:rPr>
        <w:t>request, in writing to the Corporate Secretary at 254 West 31 Street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10001. 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Nasdaq rules.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summarizes the total compensation awarded or incurred by us during the fiscal years ended December 31, 2019 and 2018 to (i) all individuals that served as our principal executive officers at any time during the fiscal year ended December 31, 2019, which includes Douglas Satzman and Edward Jankowski; (ii) the most highly compensated executive officer other than the principal executive officer who was serving as executive officer at December 31, 2019 of which there are none; and (iii) up to two additional individuals for whom disclosure would have been required pursuant to clause</w:t>
      </w:r>
    </w:p>
    <w:p>
      <w:pPr>
        <w:spacing w:after="0" w:line="1" w:lineRule="exact"/>
        <w:rPr>
          <w:sz w:val="20"/>
          <w:szCs w:val="20"/>
          <w:color w:val="auto"/>
        </w:rPr>
      </w:pPr>
    </w:p>
    <w:p>
      <w:pPr>
        <w:ind w:firstLine="8"/>
        <w:spacing w:after="0" w:line="260" w:lineRule="auto"/>
        <w:tabs>
          <w:tab w:leader="none" w:pos="27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above but for the fact that the individual was not serving as an executive officer at December 31, 2019, which includes Janine Canale (collectively, the “named executive officers”).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Incentive</w:t>
            </w: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Equity</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ind w:left="380"/>
              <w:spacing w:after="0"/>
              <w:rPr>
                <w:sz w:val="20"/>
                <w:szCs w:val="20"/>
                <w:color w:val="auto"/>
              </w:rPr>
            </w:pPr>
            <w:r>
              <w:rPr>
                <w:rFonts w:ascii="Arial" w:cs="Arial" w:eastAsia="Arial" w:hAnsi="Arial"/>
                <w:sz w:val="18"/>
                <w:szCs w:val="18"/>
                <w:b w:val="1"/>
                <w:bCs w:val="1"/>
                <w:color w:val="auto"/>
              </w:rPr>
              <w:t>Salary</w:t>
            </w: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Pay</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Awards</w:t>
            </w:r>
          </w:p>
        </w:tc>
        <w:tc>
          <w:tcPr>
            <w:tcW w:w="134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w:t>
            </w:r>
          </w:p>
        </w:tc>
      </w:tr>
      <w:tr>
        <w:trPr>
          <w:trHeight w:val="270"/>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and principal position</w:t>
            </w:r>
          </w:p>
        </w:tc>
        <w:tc>
          <w:tcPr>
            <w:tcW w:w="24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Year</w:t>
            </w:r>
          </w:p>
        </w:tc>
        <w:tc>
          <w:tcPr>
            <w:tcW w:w="36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b w:val="1"/>
                <w:bCs w:val="1"/>
                <w:color w:val="auto"/>
                <w:w w:val="83"/>
                <w:vertAlign w:val="superscript"/>
              </w:rPr>
              <w:t>(1)</w:t>
            </w:r>
          </w:p>
        </w:tc>
        <w:tc>
          <w:tcPr>
            <w:tcW w:w="3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3"/>
                <w:szCs w:val="23"/>
                <w:color w:val="auto"/>
              </w:rPr>
            </w:pPr>
          </w:p>
        </w:tc>
      </w:tr>
      <w:tr>
        <w:trPr>
          <w:trHeight w:val="250"/>
        </w:trPr>
        <w:tc>
          <w:tcPr>
            <w:tcW w:w="338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 xml:space="preserve">Douglas Satzman </w:t>
            </w:r>
            <w:r>
              <w:rPr>
                <w:rFonts w:ascii="Arial" w:cs="Arial" w:eastAsia="Arial" w:hAnsi="Arial"/>
                <w:sz w:val="28"/>
                <w:szCs w:val="28"/>
                <w:b w:val="1"/>
                <w:bCs w:val="1"/>
                <w:color w:val="auto"/>
                <w:vertAlign w:val="superscript"/>
              </w:rPr>
              <w:t>(2)</w:t>
            </w:r>
          </w:p>
        </w:tc>
        <w:tc>
          <w:tcPr>
            <w:tcW w:w="14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2019</w:t>
            </w:r>
          </w:p>
        </w:tc>
        <w:tc>
          <w:tcPr>
            <w:tcW w:w="36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344,833</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315,000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659,833</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33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Edward Jankowski</w:t>
            </w:r>
            <w:r>
              <w:rPr>
                <w:rFonts w:ascii="Arial" w:cs="Arial" w:eastAsia="Arial" w:hAnsi="Arial"/>
                <w:sz w:val="29"/>
                <w:szCs w:val="29"/>
                <w:b w:val="1"/>
                <w:bCs w:val="1"/>
                <w:color w:val="auto"/>
                <w:vertAlign w:val="superscript"/>
              </w:rPr>
              <w:t>(3)</w:t>
            </w:r>
          </w:p>
        </w:tc>
        <w:tc>
          <w:tcPr>
            <w:tcW w:w="14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2019</w:t>
            </w:r>
          </w:p>
        </w:tc>
        <w:tc>
          <w:tcPr>
            <w:tcW w:w="3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375,000</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375,000</w:t>
            </w:r>
          </w:p>
        </w:tc>
      </w:tr>
      <w:tr>
        <w:trPr>
          <w:trHeight w:val="216"/>
        </w:trPr>
        <w:tc>
          <w:tcPr>
            <w:tcW w:w="3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2018</w:t>
            </w: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33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Janine Canale</w:t>
            </w:r>
            <w:r>
              <w:rPr>
                <w:rFonts w:ascii="Arial" w:cs="Arial" w:eastAsia="Arial" w:hAnsi="Arial"/>
                <w:sz w:val="29"/>
                <w:szCs w:val="29"/>
                <w:b w:val="1"/>
                <w:bCs w:val="1"/>
                <w:color w:val="auto"/>
                <w:vertAlign w:val="superscript"/>
              </w:rPr>
              <w:t>(4)</w:t>
            </w:r>
          </w:p>
        </w:tc>
        <w:tc>
          <w:tcPr>
            <w:tcW w:w="14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2019</w:t>
            </w:r>
          </w:p>
        </w:tc>
        <w:tc>
          <w:tcPr>
            <w:tcW w:w="3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57,750</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77,750</w:t>
            </w:r>
          </w:p>
        </w:tc>
      </w:tr>
      <w:tr>
        <w:trPr>
          <w:trHeight w:val="216"/>
        </w:trPr>
        <w:tc>
          <w:tcPr>
            <w:tcW w:w="3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2018</w:t>
            </w: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147,500</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167,500</w:t>
            </w:r>
          </w:p>
        </w:tc>
      </w:tr>
    </w:tbl>
    <w:p>
      <w:pPr>
        <w:spacing w:after="0" w:line="202" w:lineRule="exact"/>
        <w:rPr>
          <w:sz w:val="20"/>
          <w:szCs w:val="20"/>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Amounts represent the aggregate grant date fair value in accordance with FASB ASC </w:t>
      </w:r>
      <w:r>
        <w:rPr>
          <w:rFonts w:ascii="Arial" w:cs="Arial" w:eastAsia="Arial" w:hAnsi="Arial"/>
          <w:sz w:val="18"/>
          <w:szCs w:val="18"/>
          <w:i w:val="1"/>
          <w:iCs w:val="1"/>
          <w:color w:val="auto"/>
        </w:rPr>
        <w:t>Topic 718</w:t>
      </w:r>
      <w:r>
        <w:rPr>
          <w:rFonts w:ascii="Arial" w:cs="Arial" w:eastAsia="Arial" w:hAnsi="Arial"/>
          <w:sz w:val="18"/>
          <w:szCs w:val="18"/>
          <w:color w:val="auto"/>
        </w:rPr>
        <w:t>. For the assumptions made in the valuation of our equity awards see Notes 2 and 13 to our consolidated financial statements included in the Original Filing.</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Satzman has served as our Chief Executive Officer since February 11, 2019. Compensation in 2019 includes equity awards of stock options and restricted stock.</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Jankowski served as our Chief Executive Officer until February 8, 2019. Compensation in 2019 represents severance payments. Compensation for 2018 represents salary payments only.</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Ms. Canale served as our Corporate Controller and Principal Financial &amp; Accounting Officer until April 12, 2019. Compensation for 2019 and 2018 include salary and bonus payments.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Douglas Satzman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11, 2019, we entered into an employment agreement with Mr. Satzman, which had a term of three years provided that the employment agreement shall extend in two month increments for up to one (1) year thereafter for each month that the negotiations for an extension to the Employment Agreement are not concluded prior to sixth months before the end of the term. Under the terms of the employment agreement, Mr. Satzman received an annual base salary of $400,000 and was eligible to participate in any annual bonus or other incentive compensation program that we may have adopted from time to time for our executive officers. If Mr. Satzman earned any bonus or non-equity based incentive compensation which remained unpaid upon termination of employment for any reason, whether by Mr. Satzman or us other than for cause, then Mr. Satzman would be entitled to receive a pro- rata portion of such incentive compensation at the time it is paid.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Edward Jankowski</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January 20, 2017, we entered into an employment agreement with Mr. Jankowski, which had a term of three years. Under the terms of the employment agreement, Mr. Jankowski received an annual base salary of $375,000 and was eligible to participate in any annual bonus or other incentive compensation program that we may have adopted from time to time for our executive officers. If Mr. Jankowski earned any bonus or non-equity based incentive compensation which remained unpaid upon termination of employment for any reason, whether by Mr. Jankowski or us other than for cause, then Mr. Jankowski would be entitled to receive a pro- rata portion of such incentive compensation at the time it is paid.</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8, 2019, Mr. Jankowski resigned from his positions as Chief Executive Officer and director and his employment with us terminated effective as of February 13, 2019. On March 14, 2019, we entered into a separation agreement and a non-disclosure and non-solicitation agreement with Mr. Jankowski. The separation agreement includes a release by Mr. Jankowski of claims against us and certain related parties. In consideration of the foregoing release, we agreed to pay Mr. Jankowski $375,000, payable in substantially equal installments in cash commencing on the next regular payroll date following the effective date of the Separation Agreement. Additionally, in consideration of the foregoing release, we agreed to pay in full Mr. Jankowski’s COBRA continuation coverage for up to a maximum of twelve months following the separation date so long as Mr. Jankowski has not become covered by the medical plan of a subsequent employer during such period and is otherwise entitled to COBRA continuation coverage.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Janine Canale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Ms. Canale joined the Company in March 2017 as a Corporate Controller. On October 15, 2018, Ms. Canale became our Principal Financial and Accounting Officer. Ms. Canale did not have an employment agreement with the Company. On March 28, 2019, Ms. Canale resigned, effective April 12, 2019, to commence another career opportunity.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2019 Fiscal Year End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information regarding grants of stock options and unvested stock awards outstanding on the last day of the fiscal year ended December 31, 2019, to each of our named executive officers.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00" w:type="dxa"/>
            <w:vAlign w:val="bottom"/>
            <w:gridSpan w:val="4"/>
          </w:tcPr>
          <w:p>
            <w:pPr>
              <w:ind w:left="660"/>
              <w:spacing w:after="0"/>
              <w:rPr>
                <w:sz w:val="20"/>
                <w:szCs w:val="20"/>
                <w:color w:val="auto"/>
              </w:rPr>
            </w:pPr>
            <w:r>
              <w:rPr>
                <w:rFonts w:ascii="Arial" w:cs="Arial" w:eastAsia="Arial" w:hAnsi="Arial"/>
                <w:sz w:val="18"/>
                <w:szCs w:val="18"/>
                <w:b w:val="1"/>
                <w:bCs w:val="1"/>
                <w:color w:val="auto"/>
              </w:rPr>
              <w:t>Options Awards</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rPr>
              <w:t>Stock Awards</w:t>
            </w:r>
          </w:p>
        </w:tc>
      </w:tr>
      <w:tr>
        <w:trPr>
          <w:trHeight w:val="191"/>
        </w:trPr>
        <w:tc>
          <w:tcPr>
            <w:tcW w:w="1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4"/>
              </w:rPr>
              <w:t>Number</w:t>
            </w:r>
          </w:p>
        </w:tc>
        <w:tc>
          <w:tcPr>
            <w:tcW w:w="11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216"/>
        </w:trPr>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of securities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Number</w:t>
            </w: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underlying</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Number</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Market value</w:t>
            </w:r>
          </w:p>
        </w:tc>
      </w:tr>
      <w:tr>
        <w:trPr>
          <w:trHeight w:val="216"/>
        </w:trPr>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of securities</w:t>
            </w: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unexercised</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of shares of</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of shares of</w:t>
            </w:r>
          </w:p>
        </w:tc>
      </w:tr>
      <w:tr>
        <w:trPr>
          <w:trHeight w:val="216"/>
        </w:trPr>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underlying</w:t>
            </w: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options</w:t>
            </w: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Option</w:t>
            </w: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units of stock</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units of stock</w:t>
            </w:r>
          </w:p>
        </w:tc>
      </w:tr>
      <w:tr>
        <w:trPr>
          <w:trHeight w:val="216"/>
        </w:trPr>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unexercised options</w:t>
            </w: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 un-</w:t>
            </w: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exercise</w:t>
            </w:r>
          </w:p>
        </w:tc>
        <w:tc>
          <w:tcPr>
            <w:tcW w:w="17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Option expiration</w:t>
            </w:r>
          </w:p>
        </w:tc>
        <w:tc>
          <w:tcPr>
            <w:tcW w:w="15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that have not</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that have not</w:t>
            </w:r>
          </w:p>
        </w:tc>
      </w:tr>
      <w:tr>
        <w:trPr>
          <w:trHeight w:val="234"/>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 exercisable</w:t>
            </w:r>
          </w:p>
        </w:tc>
        <w:tc>
          <w:tcPr>
            <w:tcW w:w="3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exercisable</w:t>
            </w:r>
          </w:p>
        </w:tc>
        <w:tc>
          <w:tcPr>
            <w:tcW w:w="3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price ($)</w:t>
            </w:r>
          </w:p>
        </w:tc>
        <w:tc>
          <w:tcPr>
            <w:tcW w:w="2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date</w:t>
            </w:r>
          </w:p>
        </w:tc>
        <w:tc>
          <w:tcPr>
            <w:tcW w:w="3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vested (#)</w:t>
            </w:r>
          </w:p>
        </w:tc>
        <w:tc>
          <w:tcPr>
            <w:tcW w:w="4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vested (#)</w:t>
            </w:r>
          </w:p>
        </w:tc>
        <w:tc>
          <w:tcPr>
            <w:tcW w:w="220" w:type="dxa"/>
            <w:vAlign w:val="bottom"/>
            <w:tcBorders>
              <w:bottom w:val="single" w:sz="8" w:color="CCEEFF"/>
            </w:tcBorders>
          </w:tcPr>
          <w:p>
            <w:pPr>
              <w:spacing w:after="0"/>
              <w:rPr>
                <w:sz w:val="20"/>
                <w:szCs w:val="20"/>
                <w:color w:val="auto"/>
              </w:rPr>
            </w:pPr>
          </w:p>
        </w:tc>
      </w:tr>
      <w:tr>
        <w:trPr>
          <w:trHeight w:val="209"/>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Doug Satzman (1)</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February 11, 2023</w:t>
            </w: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12,500(2)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25,125(3)</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Edward Jankowski</w:t>
            </w:r>
          </w:p>
        </w:tc>
        <w:tc>
          <w:tcPr>
            <w:tcW w:w="178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Janine Canale</w:t>
            </w:r>
          </w:p>
        </w:tc>
        <w:tc>
          <w:tcPr>
            <w:tcW w:w="178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Options vest in four equal annual increments over each of the first four anniversaries of the date of grant (February 11,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Vested February 10, 2020.</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 value is determined by multiplying the number of shares by $2.01, the closing price of our common stock on Nasdaq on December 31, 2019, the last day of our fiscal year. All option awards information is adjusted to reflect the impact of the 1:3 reverse stock split that became effective on June 11,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qualified or nonqualified defined benefit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nonqualified defined contribution plans or other deferred compensation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summarizes the payments and potential payments to each of our named executive officers as of December 31, 2019 upon termination or change-in-control. The discussion assumes that such event occurred on December 31, 2019, the last business day of our fiscal year, at which time the closing price of our common stock as listed on Nasdaq was $2.01 per share (adjusted for the 1-for-3 reverse stock split). For a further discussion of these provisions see the “Narrative Disclosure to Summary Compensation Table and Grants of Plan-Based Awards Table”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Doug Satzman</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the event Mr. Satzman’s employment had been terminated for (i) Good Reason by Mr. Satzman, or (ii) by us without Cause, Mr. Satzman would have received severance in the amount of one-half times his then current base salary, and COBRA payments totaling approximately $36,000.</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Mr. Satzman’s employment had been terminated by us without Cause as a result of a change of control, Mr. Satzman would have received severance in the amount of one times his then current base salary. A change of control means means (A) an acquisition or series of acquisitions by a person(s) or entity(ies) (unrelated to the Company) of more than fifty percent (50%) of the outstanding shares or securities entitled to vote for the election of directors or similar managing authority of the Company, (B) a sale or disposition of all or substantially all of Company’s assets to an unrelated third party, or (C) the Company is merged or consolidated with another entity in which more than fifty percent (50%) of the outstanding shares or securities entitled to vote for the election of directors or similar managing authority of the surviving entity is owned by a person(s) or entity(ies) unrelated to the Company.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Edward Jankowski</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February 8, 2019, Mr. Jankowski resigned from his positions with us. See “Narrative Disclosure to Summary Compensation Table – Edward Jankowski” for a description of the amounts paid to Mr. Jankowski in connection with his separation.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Janine Canale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Ms. Canale was not entitled to any payments upon termination or change-in-control.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compensation of persons who served as non-employee members of our Board of Directors during the fiscal year ended December 31, 2019. Directors who are employed by us are not compensated for their service on our Board of Directors.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Fees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Earned or</w:t>
            </w: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20"/>
              <w:spacing w:after="0" w:line="181" w:lineRule="exact"/>
              <w:rPr>
                <w:sz w:val="20"/>
                <w:szCs w:val="20"/>
                <w:color w:val="auto"/>
              </w:rPr>
            </w:pPr>
            <w:r>
              <w:rPr>
                <w:rFonts w:ascii="Arial" w:cs="Arial" w:eastAsia="Arial" w:hAnsi="Arial"/>
                <w:sz w:val="18"/>
                <w:szCs w:val="18"/>
                <w:b w:val="1"/>
                <w:bCs w:val="1"/>
                <w:color w:val="auto"/>
                <w:w w:val="91"/>
              </w:rPr>
              <w:t>Paid in</w:t>
            </w:r>
          </w:p>
        </w:tc>
        <w:tc>
          <w:tcPr>
            <w:tcW w:w="1440" w:type="dxa"/>
            <w:vAlign w:val="bottom"/>
            <w:gridSpan w:val="2"/>
            <w:vMerge w:val="continue"/>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Cash</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34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24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b w:val="1"/>
                <w:bCs w:val="1"/>
                <w:color w:val="auto"/>
                <w:w w:val="83"/>
                <w:vertAlign w:val="superscript"/>
              </w:rPr>
              <w:t>(1)</w:t>
            </w:r>
          </w:p>
        </w:tc>
        <w:tc>
          <w:tcPr>
            <w:tcW w:w="2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98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Bruce T. Bernstein</w:t>
            </w:r>
            <w:r>
              <w:rPr>
                <w:rFonts w:ascii="Arial" w:cs="Arial" w:eastAsia="Arial" w:hAnsi="Arial"/>
                <w:sz w:val="28"/>
                <w:szCs w:val="28"/>
                <w:color w:val="auto"/>
                <w:vertAlign w:val="superscript"/>
              </w:rPr>
              <w:t>(2)</w:t>
            </w: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45,000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80,700</w:t>
            </w:r>
          </w:p>
        </w:tc>
        <w:tc>
          <w:tcPr>
            <w:tcW w:w="0" w:type="dxa"/>
            <w:vAlign w:val="bottom"/>
          </w:tcPr>
          <w:p>
            <w:pPr>
              <w:spacing w:after="0"/>
              <w:rPr>
                <w:sz w:val="1"/>
                <w:szCs w:val="1"/>
                <w:color w:val="auto"/>
              </w:rPr>
            </w:pPr>
          </w:p>
        </w:tc>
      </w:tr>
      <w:tr>
        <w:trPr>
          <w:trHeight w:val="257"/>
        </w:trPr>
        <w:tc>
          <w:tcPr>
            <w:tcW w:w="6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(3)</w:t>
            </w: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45,000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78,600</w:t>
            </w:r>
          </w:p>
        </w:tc>
        <w:tc>
          <w:tcPr>
            <w:tcW w:w="0" w:type="dxa"/>
            <w:vAlign w:val="bottom"/>
          </w:tcPr>
          <w:p>
            <w:pPr>
              <w:spacing w:after="0"/>
              <w:rPr>
                <w:sz w:val="1"/>
                <w:szCs w:val="1"/>
                <w:color w:val="auto"/>
              </w:rPr>
            </w:pPr>
          </w:p>
        </w:tc>
      </w:tr>
      <w:tr>
        <w:trPr>
          <w:trHeight w:val="257"/>
        </w:trPr>
        <w:tc>
          <w:tcPr>
            <w:tcW w:w="6980" w:type="dxa"/>
            <w:vAlign w:val="bottom"/>
          </w:tcPr>
          <w:p>
            <w:pPr>
              <w:spacing w:after="0" w:line="256" w:lineRule="exact"/>
              <w:rPr>
                <w:sz w:val="20"/>
                <w:szCs w:val="20"/>
                <w:color w:val="auto"/>
              </w:rPr>
            </w:pPr>
            <w:r>
              <w:rPr>
                <w:rFonts w:ascii="Arial" w:cs="Arial" w:eastAsia="Arial" w:hAnsi="Arial"/>
                <w:sz w:val="18"/>
                <w:szCs w:val="18"/>
                <w:color w:val="auto"/>
              </w:rPr>
              <w:t>Salvatore Giardina</w:t>
            </w:r>
            <w:r>
              <w:rPr>
                <w:rFonts w:ascii="Arial" w:cs="Arial" w:eastAsia="Arial" w:hAnsi="Arial"/>
                <w:sz w:val="29"/>
                <w:szCs w:val="29"/>
                <w:color w:val="auto"/>
                <w:vertAlign w:val="superscript"/>
              </w:rPr>
              <w:t>(4)</w:t>
            </w: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50,000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35,700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85,700</w:t>
            </w:r>
          </w:p>
        </w:tc>
        <w:tc>
          <w:tcPr>
            <w:tcW w:w="0" w:type="dxa"/>
            <w:vAlign w:val="bottom"/>
          </w:tcPr>
          <w:p>
            <w:pPr>
              <w:spacing w:after="0"/>
              <w:rPr>
                <w:sz w:val="1"/>
                <w:szCs w:val="1"/>
                <w:color w:val="auto"/>
              </w:rPr>
            </w:pPr>
          </w:p>
        </w:tc>
      </w:tr>
      <w:tr>
        <w:trPr>
          <w:trHeight w:val="257"/>
        </w:trPr>
        <w:tc>
          <w:tcPr>
            <w:tcW w:w="6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Andrew R. Heyer </w:t>
            </w:r>
            <w:r>
              <w:rPr>
                <w:rFonts w:ascii="Arial" w:cs="Arial" w:eastAsia="Arial" w:hAnsi="Arial"/>
                <w:sz w:val="29"/>
                <w:szCs w:val="29"/>
                <w:color w:val="auto"/>
                <w:vertAlign w:val="superscript"/>
              </w:rPr>
              <w:t>(5)</w:t>
            </w: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45,000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Amounts represent the aggregate grant date fair value in accordance with FASB ASC </w:t>
      </w:r>
      <w:r>
        <w:rPr>
          <w:rFonts w:ascii="Arial" w:cs="Arial" w:eastAsia="Arial" w:hAnsi="Arial"/>
          <w:sz w:val="18"/>
          <w:szCs w:val="18"/>
          <w:i w:val="1"/>
          <w:iCs w:val="1"/>
          <w:color w:val="auto"/>
        </w:rPr>
        <w:t>Topic 718</w:t>
      </w:r>
      <w:r>
        <w:rPr>
          <w:rFonts w:ascii="Arial" w:cs="Arial" w:eastAsia="Arial" w:hAnsi="Arial"/>
          <w:sz w:val="18"/>
          <w:szCs w:val="18"/>
          <w:color w:val="auto"/>
        </w:rPr>
        <w:t>. See Notes 2 and 13 of the consolidated financial statements disclosed in the Original Filing for the assumptions made in the valuation of the equity awards.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December 31, 2019, Mr. Bernstein held 5,250 fully vested options.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December 31, 2019, Mr. Stout held 5,541 fully vested options.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December 31, 2019, Mr. Giardina held 5,250 fully vested options. Mr. Giardina resigned as a director on February 3,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December 31, 2019, Mr. Heyer held 3,750 fully vested options. Mr. Heyer resigned as a director on April 1, 2020.</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reimburse each member of our Board of Directors for reasonable travel and other out-of-pocket expenses in connection with attending meetings of the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compensate each of our non-employee directors an annual cash stipend of $40,000.</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certain aggregate information, as of December 31, 2019 with respect to all of our equity compensation plans then in effect:</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No. of securities</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available for</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No. of securities</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future issuance</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to be issued upon</w:t>
            </w:r>
          </w:p>
        </w:tc>
        <w:tc>
          <w:tcPr>
            <w:tcW w:w="160" w:type="dxa"/>
            <w:vAlign w:val="bottom"/>
          </w:tcPr>
          <w:p>
            <w:pPr>
              <w:spacing w:after="0"/>
              <w:rPr>
                <w:sz w:val="18"/>
                <w:szCs w:val="18"/>
                <w:color w:val="auto"/>
              </w:rPr>
            </w:pPr>
          </w:p>
        </w:tc>
        <w:tc>
          <w:tcPr>
            <w:tcW w:w="18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under equity</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exercise of</w:t>
            </w:r>
          </w:p>
        </w:tc>
        <w:tc>
          <w:tcPr>
            <w:tcW w:w="160" w:type="dxa"/>
            <w:vAlign w:val="bottom"/>
          </w:tcPr>
          <w:p>
            <w:pPr>
              <w:spacing w:after="0"/>
              <w:rPr>
                <w:sz w:val="18"/>
                <w:szCs w:val="18"/>
                <w:color w:val="auto"/>
              </w:rPr>
            </w:pPr>
          </w:p>
        </w:tc>
        <w:tc>
          <w:tcPr>
            <w:tcW w:w="18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average exercise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compensation</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outstanding</w:t>
            </w:r>
          </w:p>
        </w:tc>
        <w:tc>
          <w:tcPr>
            <w:tcW w:w="160" w:type="dxa"/>
            <w:vAlign w:val="bottom"/>
          </w:tcPr>
          <w:p>
            <w:pPr>
              <w:spacing w:after="0"/>
              <w:rPr>
                <w:sz w:val="18"/>
                <w:szCs w:val="18"/>
                <w:color w:val="auto"/>
              </w:rPr>
            </w:pPr>
          </w:p>
        </w:tc>
        <w:tc>
          <w:tcPr>
            <w:tcW w:w="18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price of</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plans (excluding</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options,</w:t>
            </w:r>
          </w:p>
        </w:tc>
        <w:tc>
          <w:tcPr>
            <w:tcW w:w="160" w:type="dxa"/>
            <w:vAlign w:val="bottom"/>
          </w:tcPr>
          <w:p>
            <w:pPr>
              <w:spacing w:after="0"/>
              <w:rPr>
                <w:sz w:val="18"/>
                <w:szCs w:val="18"/>
                <w:color w:val="auto"/>
              </w:rPr>
            </w:pPr>
          </w:p>
        </w:tc>
        <w:tc>
          <w:tcPr>
            <w:tcW w:w="18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outstanding</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warrants and</w:t>
            </w:r>
          </w:p>
        </w:tc>
        <w:tc>
          <w:tcPr>
            <w:tcW w:w="160" w:type="dxa"/>
            <w:vAlign w:val="bottom"/>
          </w:tcPr>
          <w:p>
            <w:pPr>
              <w:spacing w:after="0"/>
              <w:rPr>
                <w:sz w:val="18"/>
                <w:szCs w:val="18"/>
                <w:color w:val="auto"/>
              </w:rPr>
            </w:pPr>
          </w:p>
        </w:tc>
        <w:tc>
          <w:tcPr>
            <w:tcW w:w="18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options, warrants</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reflected in</w:t>
            </w:r>
          </w:p>
        </w:tc>
      </w:tr>
      <w:tr>
        <w:trPr>
          <w:trHeight w:val="234"/>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rights</w:t>
            </w:r>
          </w:p>
        </w:tc>
        <w:tc>
          <w:tcPr>
            <w:tcW w:w="160" w:type="dxa"/>
            <w:vAlign w:val="bottom"/>
          </w:tcPr>
          <w:p>
            <w:pPr>
              <w:spacing w:after="0"/>
              <w:rPr>
                <w:sz w:val="20"/>
                <w:szCs w:val="20"/>
                <w:color w:val="auto"/>
              </w:rPr>
            </w:pPr>
          </w:p>
        </w:tc>
        <w:tc>
          <w:tcPr>
            <w:tcW w:w="18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and rights ($)</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the first column)</w:t>
            </w:r>
          </w:p>
        </w:tc>
      </w:tr>
      <w:tr>
        <w:trPr>
          <w:trHeight w:val="199"/>
        </w:trPr>
        <w:tc>
          <w:tcPr>
            <w:tcW w:w="5400" w:type="dxa"/>
            <w:vAlign w:val="bottom"/>
            <w:tcBorders>
              <w:top w:val="single" w:sz="8" w:color="auto"/>
            </w:tcBorders>
            <w:shd w:val="clear" w:color="auto" w:fill="CCEEFF"/>
          </w:tcPr>
          <w:p>
            <w:pPr>
              <w:spacing w:after="0" w:line="199" w:lineRule="exact"/>
              <w:rPr>
                <w:sz w:val="20"/>
                <w:szCs w:val="20"/>
                <w:color w:val="auto"/>
              </w:rPr>
            </w:pPr>
            <w:r>
              <w:rPr>
                <w:rFonts w:ascii="Arial" w:cs="Arial" w:eastAsia="Arial" w:hAnsi="Arial"/>
                <w:sz w:val="18"/>
                <w:szCs w:val="18"/>
                <w:color w:val="auto"/>
              </w:rPr>
              <w:t>Total equity compensation plans approved by</w:t>
            </w:r>
          </w:p>
        </w:tc>
        <w:tc>
          <w:tcPr>
            <w:tcW w:w="12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67"/>
        </w:trPr>
        <w:tc>
          <w:tcPr>
            <w:tcW w:w="5520" w:type="dxa"/>
            <w:vAlign w:val="bottom"/>
            <w:gridSpan w:val="2"/>
            <w:shd w:val="clear" w:color="auto" w:fill="CCEEFF"/>
          </w:tcPr>
          <w:p>
            <w:pPr>
              <w:ind w:left="200"/>
              <w:spacing w:after="0" w:line="267" w:lineRule="exact"/>
              <w:rPr>
                <w:sz w:val="20"/>
                <w:szCs w:val="20"/>
                <w:color w:val="auto"/>
              </w:rPr>
            </w:pPr>
            <w:r>
              <w:rPr>
                <w:rFonts w:ascii="Arial" w:cs="Arial" w:eastAsia="Arial" w:hAnsi="Arial"/>
                <w:sz w:val="18"/>
                <w:szCs w:val="18"/>
                <w:color w:val="auto"/>
              </w:rPr>
              <w:t xml:space="preserve">security holders </w:t>
            </w:r>
            <w:r>
              <w:rPr>
                <w:rFonts w:ascii="Arial" w:cs="Arial" w:eastAsia="Arial" w:hAnsi="Arial"/>
                <w:sz w:val="29"/>
                <w:szCs w:val="29"/>
                <w:color w:val="auto"/>
                <w:vertAlign w:val="superscript"/>
              </w:rPr>
              <w:t>(1)(2)</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45,964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827.37</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762,052</w:t>
            </w:r>
          </w:p>
        </w:tc>
      </w:tr>
    </w:tbl>
    <w:p>
      <w:pPr>
        <w:spacing w:after="0" w:line="200" w:lineRule="exact"/>
        <w:rPr>
          <w:sz w:val="20"/>
          <w:szCs w:val="20"/>
          <w:color w:val="auto"/>
        </w:rPr>
      </w:pPr>
    </w:p>
    <w:p>
      <w:pPr>
        <w:spacing w:after="0" w:line="218" w:lineRule="exact"/>
        <w:rPr>
          <w:sz w:val="20"/>
          <w:szCs w:val="20"/>
          <w:color w:val="auto"/>
        </w:rPr>
      </w:pPr>
    </w:p>
    <w:p>
      <w:pPr>
        <w:ind w:left="66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plans consist solely of the 2012 Plan, as amended on November 23, 2016 and on October 2, 2019. Under the amended 2012 Plan, a maximum of 840,000 shares of common stock may be awarded.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information reflects the Company’s 1-for-3 reverse stock split that was effected on June 11,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following table sets forth certain information with respect to the beneficial ownership of Common Stock as of June 11, 2020 for (a) each stockholder known by us to own beneficially more than 5% of Common Stock, (b) each of our named executive officers, (c) each of our directors and director nominees, and (d) all of our current directors and executive officers as a group. Beneficial ownership is determined in accordance with the rules of the SEC and includes voting or investment power with respect to the securities. We deem shares of Common Stock that may be acquired by an individual or group within 60 days of June 11, 2020, pursuant to the exercise of options or warrants or the vesting of restricted stock units, as applicable, to be outstanding for the purpose of computing the percentage ownership of such individual or group, but not for the purpose of computing the percentage ownership of any other person shown in the table. 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48,859,213 shares of Common Stock as of June 11, 2020. All beneficial ownership information reflects the Company’s 1-for-3 reverse stock split that was effected on June 11, 2020.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Number of</w:t>
            </w: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 of</w:t>
            </w:r>
          </w:p>
        </w:tc>
      </w:tr>
      <w:tr>
        <w:trPr>
          <w:trHeight w:val="216"/>
        </w:trPr>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Shares of</w:t>
            </w:r>
          </w:p>
        </w:tc>
        <w:tc>
          <w:tcPr>
            <w:tcW w:w="1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Shares of</w:t>
            </w:r>
          </w:p>
        </w:tc>
      </w:tr>
      <w:tr>
        <w:trPr>
          <w:trHeight w:val="216"/>
        </w:trPr>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Common</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Common</w:t>
            </w: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Name and Address</w:t>
            </w: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Stock</w:t>
            </w:r>
          </w:p>
        </w:tc>
        <w:tc>
          <w:tcPr>
            <w:tcW w:w="1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Stock</w:t>
            </w: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of Beneficial</w:t>
            </w: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Beneficially</w:t>
            </w:r>
          </w:p>
        </w:tc>
        <w:tc>
          <w:tcPr>
            <w:tcW w:w="1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Beneficially</w:t>
            </w:r>
          </w:p>
        </w:tc>
      </w:tr>
      <w:tr>
        <w:trPr>
          <w:trHeight w:val="234"/>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Owner(1)</w:t>
            </w: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Owned</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Owned</w:t>
            </w:r>
          </w:p>
        </w:tc>
      </w:tr>
      <w:tr>
        <w:trPr>
          <w:trHeight w:val="210"/>
        </w:trPr>
        <w:tc>
          <w:tcPr>
            <w:tcW w:w="6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Satzman (2)</w:t>
            </w:r>
          </w:p>
        </w:tc>
        <w:tc>
          <w:tcPr>
            <w:tcW w:w="2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79,166</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Edward Jankowski</w:t>
            </w:r>
          </w:p>
        </w:tc>
        <w:tc>
          <w:tcPr>
            <w:tcW w:w="2140" w:type="dxa"/>
            <w:vAlign w:val="bottom"/>
            <w:gridSpan w:val="2"/>
          </w:tcPr>
          <w:p>
            <w:pPr>
              <w:jc w:val="right"/>
              <w:ind w:right="320"/>
              <w:spacing w:after="0"/>
              <w:rPr>
                <w:sz w:val="20"/>
                <w:szCs w:val="20"/>
                <w:color w:val="auto"/>
              </w:rPr>
            </w:pPr>
            <w:r>
              <w:rPr>
                <w:rFonts w:ascii="Arial" w:cs="Arial" w:eastAsia="Arial" w:hAnsi="Arial"/>
                <w:sz w:val="18"/>
                <w:szCs w:val="18"/>
                <w:color w:val="auto"/>
              </w:rPr>
              <w:t>5,425</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T. Bernstein(3)</w:t>
            </w:r>
          </w:p>
        </w:tc>
        <w:tc>
          <w:tcPr>
            <w:tcW w:w="2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39,819</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Donald E. Stout(4)</w:t>
            </w:r>
          </w:p>
        </w:tc>
        <w:tc>
          <w:tcPr>
            <w:tcW w:w="2140" w:type="dxa"/>
            <w:vAlign w:val="bottom"/>
            <w:gridSpan w:val="2"/>
          </w:tcPr>
          <w:p>
            <w:pPr>
              <w:jc w:val="right"/>
              <w:ind w:right="320"/>
              <w:spacing w:after="0"/>
              <w:rPr>
                <w:sz w:val="20"/>
                <w:szCs w:val="20"/>
                <w:color w:val="auto"/>
              </w:rPr>
            </w:pPr>
            <w:r>
              <w:rPr>
                <w:rFonts w:ascii="Arial" w:cs="Arial" w:eastAsia="Arial" w:hAnsi="Arial"/>
                <w:sz w:val="18"/>
                <w:szCs w:val="18"/>
                <w:color w:val="auto"/>
              </w:rPr>
              <w:t>34,708</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Weinstein(5)</w:t>
            </w:r>
          </w:p>
        </w:tc>
        <w:tc>
          <w:tcPr>
            <w:tcW w:w="2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30,833</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Michael Lebowitz(6)</w:t>
            </w:r>
          </w:p>
        </w:tc>
        <w:tc>
          <w:tcPr>
            <w:tcW w:w="2140" w:type="dxa"/>
            <w:vAlign w:val="bottom"/>
            <w:gridSpan w:val="2"/>
          </w:tcPr>
          <w:p>
            <w:pPr>
              <w:jc w:val="right"/>
              <w:ind w:right="320"/>
              <w:spacing w:after="0"/>
              <w:rPr>
                <w:sz w:val="20"/>
                <w:szCs w:val="20"/>
                <w:color w:val="auto"/>
              </w:rPr>
            </w:pPr>
            <w:r>
              <w:rPr>
                <w:rFonts w:ascii="Arial" w:cs="Arial" w:eastAsia="Arial" w:hAnsi="Arial"/>
                <w:sz w:val="18"/>
                <w:szCs w:val="18"/>
                <w:color w:val="auto"/>
              </w:rPr>
              <w:t>25,000</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directors and officers as a group (5 individuals)(7):</w:t>
            </w:r>
          </w:p>
        </w:tc>
        <w:tc>
          <w:tcPr>
            <w:tcW w:w="2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209,526</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tab/>
        <w:t>Less than 1%</w:t>
      </w:r>
    </w:p>
    <w:p>
      <w:pPr>
        <w:spacing w:after="0" w:line="225"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the individuals is c/o XpresSpa Group, Inc., 254 West 31st Street, 11th Floor, New York, NY 10001.</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12,500 shares of Common Stock and options to purchase 66,666 shares of Common Stock, which are exercisable within 60 days of June 11, 2020.</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1,236 shares of Common Stock and options to purchase 38,583 shares of Common Stock, which are exercisable within 60 days of June 11, 2020.</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options to purchase 34,708 shares of Common Stock, which are exercisable within 60 days of June 11, 2020.</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options to purchase 30,833 shares of Common Stock, which are exercisable within 60 days of June 11, 2020.</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options to purchase 25,000 shares of Common Stock, which are exercisable within 60 days of June 11, 2020.</w:t>
      </w:r>
    </w:p>
    <w:p>
      <w:pPr>
        <w:spacing w:after="0" w:line="170" w:lineRule="exact"/>
        <w:rPr>
          <w:rFonts w:ascii="Arial" w:cs="Arial" w:eastAsia="Arial" w:hAnsi="Arial"/>
          <w:sz w:val="18"/>
          <w:szCs w:val="18"/>
          <w:color w:val="auto"/>
        </w:rPr>
      </w:pPr>
    </w:p>
    <w:p>
      <w:pPr>
        <w:ind w:left="700" w:hanging="368"/>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footnotes (2) through (6).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 Approval Policy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related party transactions must be approved by our Audit Committee or a majority of our independent directors who do not have an interest in the transaction and who will have access, at our expense, to our independent legal counsel.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and Committee Qualifications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Board of Directors has reviewed the materiality of any relationship that each of our directors has with us, either directly or indirectly. Based upon this review, we believe that Messrs. Weinstein, Stout, and Lebowitz qualify as independent directors in accordance with the standards set by Nasdaq, as well as Rule 10A-3 promulgated under the Exchange Act. Accordingly, our Board of Directors is comprised of a majority of independent directors as required by Nasdaq rules. Our Board of Directors has also determined that each member of the Audit Committee, the Compensation Committee and the Nominating and Corporate Governance Committee meets the independence requirements applicable to each such committee member prescribed by Nasdaq and the SEC. Our Board of Directors has further determined that Messrs. Bernstein and Weinstein are “audit committee financial experts” as defined in the rules of the SEC.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CohnReznick LLP (“CohnReznick”) was selected by our Audit Committee as our independent registered public accounting firm for the fiscal year ended December 31, 2019. This selection was ratified by our stockholders at the 2019 annual meeting held on October 2, 2019. In deciding to select CohnReznick, the Audit Committee carefully considered the qualifications of CohnReznick, including its reputation for integrity, quality, and competence in the fields of accounting and auditing. Further, the Audit Committee reviewed auditor independence issues and existing commercial relationships with CohnReznick. The Audit Committee concluded that independence of CohnReznick was not impaired for the fiscal years ended December 31, 2019 and 2018. For the fiscal years ended December 31, 2019 and 2018, we incurred the following fees for the services of CohnReznick:</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Borders>
              <w:bottom w:val="single" w:sz="8" w:color="CCEEFF"/>
            </w:tcBorders>
          </w:tcPr>
          <w:p>
            <w:pPr>
              <w:spacing w:after="0"/>
              <w:rPr>
                <w:sz w:val="20"/>
                <w:szCs w:val="20"/>
                <w:color w:val="auto"/>
              </w:rPr>
            </w:pPr>
          </w:p>
        </w:tc>
        <w:tc>
          <w:tcPr>
            <w:tcW w:w="5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36"/>
        </w:trPr>
        <w:tc>
          <w:tcPr>
            <w:tcW w:w="350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Audit fees</w:t>
            </w:r>
            <w:r>
              <w:rPr>
                <w:rFonts w:ascii="Arial" w:cs="Arial" w:eastAsia="Arial" w:hAnsi="Arial"/>
                <w:sz w:val="27"/>
                <w:szCs w:val="27"/>
                <w:color w:val="auto"/>
                <w:vertAlign w:val="superscript"/>
              </w:rPr>
              <w:t>(1)</w:t>
            </w:r>
          </w:p>
        </w:tc>
        <w:tc>
          <w:tcPr>
            <w:tcW w:w="54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382,750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346,250</w:t>
            </w:r>
          </w:p>
        </w:tc>
      </w:tr>
      <w:tr>
        <w:trPr>
          <w:trHeight w:val="270"/>
        </w:trPr>
        <w:tc>
          <w:tcPr>
            <w:tcW w:w="3500" w:type="dxa"/>
            <w:vAlign w:val="bottom"/>
          </w:tcPr>
          <w:p>
            <w:pPr>
              <w:spacing w:after="0" w:line="270" w:lineRule="exact"/>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w:t>
            </w:r>
          </w:p>
        </w:tc>
        <w:tc>
          <w:tcPr>
            <w:tcW w:w="5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138,500</w:t>
            </w:r>
          </w:p>
        </w:tc>
        <w:tc>
          <w:tcPr>
            <w:tcW w:w="24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103,800</w:t>
            </w: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6"/>
              </w:rPr>
              <w:t>521,250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450,050</w:t>
            </w:r>
          </w:p>
        </w:tc>
        <w:tc>
          <w:tcPr>
            <w:tcW w:w="100" w:type="dxa"/>
            <w:vAlign w:val="bottom"/>
            <w:tcBorders>
              <w:top w:val="single" w:sz="8" w:color="CCEEFF"/>
            </w:tcBorders>
            <w:shd w:val="clear" w:color="auto" w:fill="CCEEFF"/>
          </w:tcPr>
          <w:p>
            <w:pPr>
              <w:spacing w:after="0"/>
              <w:rPr>
                <w:sz w:val="18"/>
                <w:szCs w:val="18"/>
                <w:color w:val="auto"/>
              </w:rPr>
            </w:pPr>
          </w:p>
        </w:tc>
      </w:tr>
      <w:tr>
        <w:trPr>
          <w:trHeight w:val="648"/>
        </w:trPr>
        <w:tc>
          <w:tcPr>
            <w:tcW w:w="350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jc w:val="right"/>
              <w:ind w:right="2870"/>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5" w:name="page16"/>
    <w:bookmarkEnd w:id="15"/>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Audit fees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Audit-related fees includes fees for benefit plan audits and lease compliance audits.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May 4, 2020, we dismissed CohnReznick and approved the engagement of Friedman LLP as our independent registered public accounting firm.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Audit and Non-Audit Services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Consistent with SEC policies and guidelines regarding audit independence, our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has pre-approved all of the services provided by our independent registered public accounting firms in 2019 and 2018.</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statements, financial statement schedules and exhibits listed in the exhibit index of the Original Filing and the exhibits listed in the exhibit index of this Form 10-K/A are filed with, or incorporated by reference in, this Form 10-K/A.</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Pursuant to the requirements of Section 13 or 15(d) of the Securities Act of 1934, the registrant has duly caused this Amendment No. 2 to Annual Report on Form 10-K/A to be signed on its behalf by the undersigned, thereunto duly authorized, in the City of New York of New York on the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June, 2020.</w:t>
      </w:r>
    </w:p>
    <w:p>
      <w:pPr>
        <w:spacing w:after="0" w:line="200"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586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Douglas Satzman</w:t>
      </w:r>
    </w:p>
    <w:p>
      <w:pPr>
        <w:spacing w:after="0" w:line="23" w:lineRule="exact"/>
        <w:rPr>
          <w:sz w:val="20"/>
          <w:szCs w:val="20"/>
          <w:color w:val="auto"/>
        </w:rPr>
      </w:pPr>
    </w:p>
    <w:p>
      <w:pPr>
        <w:ind w:left="5860"/>
        <w:spacing w:after="0"/>
        <w:tabs>
          <w:tab w:leader="none" w:pos="6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Securities Exchange Act of 1934, this Amendment No. 2 to Annual Report on Form 10-K has been signed below by the following persons on behalf of the registrant and in the capacities indicated below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5280" w:type="dxa"/>
            <w:vAlign w:val="bottom"/>
            <w:tcBorders>
              <w:bottom w:val="single" w:sz="8" w:color="auto"/>
            </w:tcBorders>
          </w:tcPr>
          <w:p>
            <w:pPr>
              <w:ind w:left="246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24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Date</w:t>
            </w:r>
          </w:p>
        </w:tc>
      </w:tr>
      <w:tr>
        <w:trPr>
          <w:trHeight w:val="426"/>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Satzman</w:t>
            </w:r>
          </w:p>
        </w:tc>
        <w:tc>
          <w:tcPr>
            <w:tcW w:w="550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 (Principal</w:t>
            </w:r>
          </w:p>
        </w:tc>
        <w:tc>
          <w:tcPr>
            <w:tcW w:w="2240" w:type="dxa"/>
            <w:vAlign w:val="bottom"/>
          </w:tcPr>
          <w:p>
            <w:pPr>
              <w:spacing w:after="0"/>
              <w:rPr>
                <w:sz w:val="20"/>
                <w:szCs w:val="20"/>
                <w:color w:val="auto"/>
              </w:rPr>
            </w:pPr>
            <w:r>
              <w:rPr>
                <w:rFonts w:ascii="Arial" w:cs="Arial" w:eastAsia="Arial" w:hAnsi="Arial"/>
                <w:sz w:val="18"/>
                <w:szCs w:val="18"/>
                <w:color w:val="auto"/>
              </w:rPr>
              <w:t>June 12, 2020</w:t>
            </w:r>
          </w:p>
        </w:tc>
      </w:tr>
      <w:tr>
        <w:trPr>
          <w:trHeight w:val="182"/>
        </w:trPr>
        <w:tc>
          <w:tcPr>
            <w:tcW w:w="3500" w:type="dxa"/>
            <w:vAlign w:val="bottom"/>
          </w:tcPr>
          <w:p>
            <w:pPr>
              <w:spacing w:after="0" w:line="182" w:lineRule="exact"/>
              <w:rPr>
                <w:sz w:val="20"/>
                <w:szCs w:val="20"/>
                <w:color w:val="auto"/>
              </w:rPr>
            </w:pPr>
            <w:r>
              <w:rPr>
                <w:rFonts w:ascii="Arial" w:cs="Arial" w:eastAsia="Arial" w:hAnsi="Arial"/>
                <w:sz w:val="18"/>
                <w:szCs w:val="18"/>
                <w:color w:val="auto"/>
              </w:rPr>
              <w:t>Douglas Satzman</w:t>
            </w:r>
          </w:p>
        </w:tc>
        <w:tc>
          <w:tcPr>
            <w:tcW w:w="5500" w:type="dxa"/>
            <w:vAlign w:val="bottom"/>
            <w:gridSpan w:val="3"/>
          </w:tcPr>
          <w:p>
            <w:pPr>
              <w:ind w:left="120"/>
              <w:spacing w:after="0" w:line="182" w:lineRule="exact"/>
              <w:rPr>
                <w:sz w:val="20"/>
                <w:szCs w:val="20"/>
                <w:color w:val="auto"/>
              </w:rPr>
            </w:pPr>
            <w:r>
              <w:rPr>
                <w:rFonts w:ascii="Arial" w:cs="Arial" w:eastAsia="Arial" w:hAnsi="Arial"/>
                <w:sz w:val="18"/>
                <w:szCs w:val="18"/>
                <w:color w:val="auto"/>
                <w:w w:val="96"/>
              </w:rPr>
              <w:t>Executive Officer, Principal Financial Officer and Principal Accounting</w:t>
            </w:r>
          </w:p>
        </w:tc>
        <w:tc>
          <w:tcPr>
            <w:tcW w:w="2240" w:type="dxa"/>
            <w:vAlign w:val="bottom"/>
          </w:tcPr>
          <w:p>
            <w:pPr>
              <w:spacing w:after="0"/>
              <w:rPr>
                <w:sz w:val="15"/>
                <w:szCs w:val="15"/>
                <w:color w:val="auto"/>
              </w:rPr>
            </w:pPr>
          </w:p>
        </w:tc>
      </w:tr>
      <w:tr>
        <w:trPr>
          <w:trHeight w:val="230"/>
        </w:trPr>
        <w:tc>
          <w:tcPr>
            <w:tcW w:w="3500" w:type="dxa"/>
            <w:vAlign w:val="bottom"/>
          </w:tcPr>
          <w:p>
            <w:pPr>
              <w:spacing w:after="0"/>
              <w:rPr>
                <w:sz w:val="20"/>
                <w:szCs w:val="20"/>
                <w:color w:val="auto"/>
              </w:rPr>
            </w:pPr>
          </w:p>
        </w:tc>
        <w:tc>
          <w:tcPr>
            <w:tcW w:w="5500" w:type="dxa"/>
            <w:vAlign w:val="bottom"/>
            <w:gridSpan w:val="3"/>
          </w:tcPr>
          <w:p>
            <w:pPr>
              <w:ind w:left="120"/>
              <w:spacing w:after="0"/>
              <w:rPr>
                <w:sz w:val="20"/>
                <w:szCs w:val="20"/>
                <w:color w:val="auto"/>
              </w:rPr>
            </w:pPr>
            <w:r>
              <w:rPr>
                <w:rFonts w:ascii="Arial" w:cs="Arial" w:eastAsia="Arial" w:hAnsi="Arial"/>
                <w:sz w:val="18"/>
                <w:szCs w:val="18"/>
                <w:color w:val="auto"/>
              </w:rPr>
              <w:t>Officer)</w:t>
            </w:r>
          </w:p>
        </w:tc>
        <w:tc>
          <w:tcPr>
            <w:tcW w:w="2240" w:type="dxa"/>
            <w:vAlign w:val="bottom"/>
          </w:tcPr>
          <w:p>
            <w:pPr>
              <w:spacing w:after="0"/>
              <w:rPr>
                <w:sz w:val="20"/>
                <w:szCs w:val="20"/>
                <w:color w:val="auto"/>
              </w:rPr>
            </w:pPr>
          </w:p>
        </w:tc>
      </w:tr>
      <w:tr>
        <w:trPr>
          <w:trHeight w:val="432"/>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T. Bernstein</w:t>
            </w:r>
          </w:p>
        </w:tc>
        <w:tc>
          <w:tcPr>
            <w:tcW w:w="5500" w:type="dxa"/>
            <w:vAlign w:val="bottom"/>
            <w:gridSpan w:val="3"/>
          </w:tcPr>
          <w:p>
            <w:pPr>
              <w:ind w:left="120"/>
              <w:spacing w:after="0"/>
              <w:rPr>
                <w:sz w:val="20"/>
                <w:szCs w:val="20"/>
                <w:color w:val="auto"/>
              </w:rPr>
            </w:pPr>
            <w:r>
              <w:rPr>
                <w:rFonts w:ascii="Arial" w:cs="Arial" w:eastAsia="Arial" w:hAnsi="Arial"/>
                <w:sz w:val="18"/>
                <w:szCs w:val="18"/>
                <w:color w:val="auto"/>
              </w:rPr>
              <w:t>Director, Chairman of Board of Directors</w:t>
            </w:r>
          </w:p>
        </w:tc>
        <w:tc>
          <w:tcPr>
            <w:tcW w:w="2240" w:type="dxa"/>
            <w:vAlign w:val="bottom"/>
          </w:tcPr>
          <w:p>
            <w:pPr>
              <w:spacing w:after="0"/>
              <w:rPr>
                <w:sz w:val="20"/>
                <w:szCs w:val="20"/>
                <w:color w:val="auto"/>
              </w:rPr>
            </w:pPr>
            <w:r>
              <w:rPr>
                <w:rFonts w:ascii="Arial" w:cs="Arial" w:eastAsia="Arial" w:hAnsi="Arial"/>
                <w:sz w:val="18"/>
                <w:szCs w:val="18"/>
                <w:color w:val="auto"/>
              </w:rPr>
              <w:t>June 12, 2020</w:t>
            </w: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Bruce T. Bernstein</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Weinstein</w:t>
            </w:r>
          </w:p>
        </w:tc>
        <w:tc>
          <w:tcPr>
            <w:tcW w:w="55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June 12, 2020</w:t>
            </w: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Robert Weinstein</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E. Stout</w:t>
            </w:r>
          </w:p>
        </w:tc>
        <w:tc>
          <w:tcPr>
            <w:tcW w:w="55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June 12, 2020</w:t>
            </w: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Donald E. Stout</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spacing w:after="0"/>
              <w:rPr>
                <w:sz w:val="24"/>
                <w:szCs w:val="24"/>
                <w:color w:val="auto"/>
              </w:rPr>
            </w:pPr>
          </w:p>
        </w:tc>
        <w:tc>
          <w:tcPr>
            <w:tcW w:w="55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June 12, 2020</w:t>
            </w: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Michael Lebowitz</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634"/>
        </w:trPr>
        <w:tc>
          <w:tcPr>
            <w:tcW w:w="350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2"/>
          </w:tcPr>
          <w:p>
            <w:pPr>
              <w:ind w:left="204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0"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80" w:type="dxa"/>
            <w:vAlign w:val="bottom"/>
            <w:gridSpan w:val="7"/>
          </w:tcPr>
          <w:p>
            <w:pPr>
              <w:ind w:left="1900"/>
              <w:spacing w:after="0"/>
              <w:rPr>
                <w:sz w:val="20"/>
                <w:szCs w:val="20"/>
                <w:color w:val="auto"/>
              </w:rPr>
            </w:pPr>
            <w:r>
              <w:rPr>
                <w:rFonts w:ascii="Arial" w:cs="Arial" w:eastAsia="Arial" w:hAnsi="Arial"/>
                <w:sz w:val="18"/>
                <w:szCs w:val="18"/>
                <w:b w:val="1"/>
                <w:bCs w:val="1"/>
                <w:color w:val="auto"/>
              </w:rPr>
              <w:t>Exhibits Index</w:t>
            </w:r>
          </w:p>
        </w:tc>
      </w:tr>
      <w:tr>
        <w:trPr>
          <w:trHeight w:val="414"/>
        </w:trPr>
        <w:tc>
          <w:tcPr>
            <w:tcW w:w="11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r>
              <w:rPr>
                <w:rFonts w:ascii="Arial" w:cs="Arial" w:eastAsia="Arial" w:hAnsi="Arial"/>
                <w:sz w:val="18"/>
                <w:szCs w:val="18"/>
                <w:b w:val="1"/>
                <w:bCs w:val="1"/>
                <w:color w:val="auto"/>
              </w:rPr>
              <w:t>No.</w:t>
            </w: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860" w:type="dxa"/>
            <w:vAlign w:val="bottom"/>
            <w:gridSpan w:val="6"/>
          </w:tcPr>
          <w:p>
            <w:pPr>
              <w:ind w:left="36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1140" w:type="dxa"/>
            <w:vAlign w:val="bottom"/>
          </w:tcPr>
          <w:p>
            <w:pPr>
              <w:spacing w:after="0"/>
              <w:rPr>
                <w:rFonts w:ascii="Arial" w:cs="Arial" w:eastAsia="Arial" w:hAnsi="Arial"/>
                <w:sz w:val="18"/>
                <w:szCs w:val="18"/>
                <w:u w:val="single" w:color="auto"/>
                <w:color w:val="0000EE"/>
              </w:rPr>
            </w:pPr>
            <w:hyperlink r:id="rId26">
              <w:r>
                <w:rPr>
                  <w:rFonts w:ascii="Arial" w:cs="Arial" w:eastAsia="Arial" w:hAnsi="Arial"/>
                  <w:sz w:val="18"/>
                  <w:szCs w:val="18"/>
                  <w:u w:val="single" w:color="auto"/>
                  <w:color w:val="0000EE"/>
                </w:rPr>
                <w:t>2.1</w:t>
              </w:r>
            </w:hyperlink>
          </w:p>
        </w:tc>
        <w:tc>
          <w:tcPr>
            <w:tcW w:w="10100" w:type="dxa"/>
            <w:vAlign w:val="bottom"/>
            <w:tcBorders>
              <w:bottom w:val="single" w:sz="8" w:color="0000EE"/>
            </w:tcBorders>
            <w:gridSpan w:val="10"/>
          </w:tcPr>
          <w:p>
            <w:pPr>
              <w:spacing w:after="0"/>
              <w:rPr>
                <w:rFonts w:ascii="Arial" w:cs="Arial" w:eastAsia="Arial" w:hAnsi="Arial"/>
                <w:sz w:val="18"/>
                <w:szCs w:val="18"/>
                <w:color w:val="0000EE"/>
                <w:w w:val="98"/>
              </w:rPr>
            </w:pPr>
            <w:hyperlink r:id="rId26">
              <w:r>
                <w:rPr>
                  <w:rFonts w:ascii="Arial" w:cs="Arial" w:eastAsia="Arial" w:hAnsi="Arial"/>
                  <w:sz w:val="18"/>
                  <w:szCs w:val="18"/>
                  <w:color w:val="0000EE"/>
                  <w:w w:val="98"/>
                </w:rPr>
                <w:t>Agreement and Plan of Merger by and among FORM Holdings Corp., FHXMS, LLC, XpresSpa Holdings, LLC, the unitholders of</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26">
              <w:r>
                <w:rPr>
                  <w:rFonts w:ascii="Arial" w:cs="Arial" w:eastAsia="Arial" w:hAnsi="Arial"/>
                  <w:sz w:val="18"/>
                  <w:szCs w:val="18"/>
                  <w:color w:val="0000EE"/>
                  <w:w w:val="93"/>
                </w:rPr>
                <w:t>XpresSpa who are parties thereto and Mistral XH Representative, LLC, as representative of the unitholders, dated as of August 8, 2016</w:t>
              </w:r>
            </w:hyperlink>
          </w:p>
        </w:tc>
      </w:tr>
      <w:tr>
        <w:trPr>
          <w:trHeight w:val="237"/>
        </w:trPr>
        <w:tc>
          <w:tcPr>
            <w:tcW w:w="1140" w:type="dxa"/>
            <w:vAlign w:val="bottom"/>
          </w:tcPr>
          <w:p>
            <w:pPr>
              <w:spacing w:after="0"/>
              <w:rPr>
                <w:sz w:val="20"/>
                <w:szCs w:val="20"/>
                <w:color w:val="auto"/>
              </w:rPr>
            </w:pPr>
          </w:p>
        </w:tc>
        <w:tc>
          <w:tcPr>
            <w:tcW w:w="10100" w:type="dxa"/>
            <w:vAlign w:val="bottom"/>
            <w:gridSpan w:val="10"/>
          </w:tcPr>
          <w:p>
            <w:pPr>
              <w:spacing w:after="0"/>
              <w:rPr>
                <w:rFonts w:ascii="Arial" w:cs="Arial" w:eastAsia="Arial" w:hAnsi="Arial"/>
                <w:sz w:val="18"/>
                <w:szCs w:val="18"/>
                <w:u w:val="single" w:color="auto"/>
                <w:color w:val="0000EE"/>
              </w:rPr>
            </w:pPr>
            <w:hyperlink r:id="rId26">
              <w:r>
                <w:rPr>
                  <w:rFonts w:ascii="Arial" w:cs="Arial" w:eastAsia="Arial" w:hAnsi="Arial"/>
                  <w:sz w:val="18"/>
                  <w:szCs w:val="18"/>
                  <w:u w:val="single" w:color="auto"/>
                  <w:color w:val="0000EE"/>
                </w:rPr>
                <w:t>(incorporated by reference to Exhibit 2.1 to our Current Report on Form 8-K filed with the SEC on August 8, 2016).</w:t>
              </w:r>
            </w:hyperlink>
          </w:p>
        </w:tc>
      </w:tr>
      <w:tr>
        <w:trPr>
          <w:trHeight w:val="391"/>
        </w:trPr>
        <w:tc>
          <w:tcPr>
            <w:tcW w:w="1140" w:type="dxa"/>
            <w:vAlign w:val="bottom"/>
          </w:tcPr>
          <w:p>
            <w:pPr>
              <w:spacing w:after="0"/>
              <w:rPr>
                <w:rFonts w:ascii="Arial" w:cs="Arial" w:eastAsia="Arial" w:hAnsi="Arial"/>
                <w:sz w:val="18"/>
                <w:szCs w:val="18"/>
                <w:u w:val="single" w:color="auto"/>
                <w:color w:val="0000EE"/>
              </w:rPr>
            </w:pPr>
            <w:hyperlink r:id="rId27">
              <w:r>
                <w:rPr>
                  <w:rFonts w:ascii="Arial" w:cs="Arial" w:eastAsia="Arial" w:hAnsi="Arial"/>
                  <w:sz w:val="18"/>
                  <w:szCs w:val="18"/>
                  <w:u w:val="single" w:color="auto"/>
                  <w:color w:val="0000EE"/>
                </w:rPr>
                <w:t>2.2</w:t>
              </w:r>
            </w:hyperlink>
          </w:p>
        </w:tc>
        <w:tc>
          <w:tcPr>
            <w:tcW w:w="10100" w:type="dxa"/>
            <w:vAlign w:val="bottom"/>
            <w:tcBorders>
              <w:bottom w:val="single" w:sz="8" w:color="0000EE"/>
            </w:tcBorders>
            <w:gridSpan w:val="10"/>
          </w:tcPr>
          <w:p>
            <w:pPr>
              <w:spacing w:after="0"/>
              <w:rPr>
                <w:rFonts w:ascii="Arial" w:cs="Arial" w:eastAsia="Arial" w:hAnsi="Arial"/>
                <w:sz w:val="18"/>
                <w:szCs w:val="18"/>
                <w:color w:val="0000EE"/>
                <w:w w:val="93"/>
              </w:rPr>
            </w:pPr>
            <w:hyperlink r:id="rId27">
              <w:r>
                <w:rPr>
                  <w:rFonts w:ascii="Arial" w:cs="Arial" w:eastAsia="Arial" w:hAnsi="Arial"/>
                  <w:sz w:val="18"/>
                  <w:szCs w:val="18"/>
                  <w:color w:val="0000EE"/>
                  <w:w w:val="93"/>
                </w:rPr>
                <w:t>Amendment No. 1 to Agreement and Plan of Merger by and among FORM Holdings Corp., FHXMS, LLC, XpresSpa Holdings, LLC and</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27">
              <w:r>
                <w:rPr>
                  <w:rFonts w:ascii="Arial" w:cs="Arial" w:eastAsia="Arial" w:hAnsi="Arial"/>
                  <w:sz w:val="18"/>
                  <w:szCs w:val="18"/>
                  <w:color w:val="0000EE"/>
                  <w:w w:val="91"/>
                </w:rPr>
                <w:t>Mistral XH Representative, LLC, as representative of the unitholders, dated September 8, 2016 (incorporated by reference to Exhibit 2.1 to</w:t>
              </w:r>
            </w:hyperlink>
          </w:p>
        </w:tc>
      </w:tr>
      <w:tr>
        <w:trPr>
          <w:trHeight w:val="196"/>
        </w:trPr>
        <w:tc>
          <w:tcPr>
            <w:tcW w:w="11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our Current Report on Form 8-K filed with the SEC on September 9, 2016).</w:t>
              </w:r>
            </w:hyperlink>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28">
              <w:r>
                <w:rPr>
                  <w:rFonts w:ascii="Arial" w:cs="Arial" w:eastAsia="Arial" w:hAnsi="Arial"/>
                  <w:sz w:val="18"/>
                  <w:szCs w:val="18"/>
                  <w:u w:val="single" w:color="auto"/>
                  <w:color w:val="0000EE"/>
                </w:rPr>
                <w:t>2.3</w:t>
              </w:r>
            </w:hyperlink>
          </w:p>
        </w:tc>
        <w:tc>
          <w:tcPr>
            <w:tcW w:w="10100" w:type="dxa"/>
            <w:vAlign w:val="bottom"/>
            <w:tcBorders>
              <w:bottom w:val="single" w:sz="8" w:color="0000EE"/>
            </w:tcBorders>
            <w:gridSpan w:val="10"/>
          </w:tcPr>
          <w:p>
            <w:pPr>
              <w:spacing w:after="0"/>
              <w:rPr>
                <w:rFonts w:ascii="Arial" w:cs="Arial" w:eastAsia="Arial" w:hAnsi="Arial"/>
                <w:sz w:val="18"/>
                <w:szCs w:val="18"/>
                <w:color w:val="0000EE"/>
                <w:w w:val="93"/>
              </w:rPr>
            </w:pPr>
            <w:hyperlink r:id="rId28">
              <w:r>
                <w:rPr>
                  <w:rFonts w:ascii="Arial" w:cs="Arial" w:eastAsia="Arial" w:hAnsi="Arial"/>
                  <w:sz w:val="18"/>
                  <w:szCs w:val="18"/>
                  <w:color w:val="0000EE"/>
                  <w:w w:val="93"/>
                </w:rPr>
                <w:t>Amendment No. 2 to Agreement and Plan of Merger by and among FORM Holdings Corp., FHXMS, LLC, XpresSpa Holdings, LLC and</w:t>
              </w:r>
            </w:hyperlink>
          </w:p>
        </w:tc>
      </w:tr>
      <w:tr>
        <w:trPr>
          <w:trHeight w:val="196"/>
        </w:trPr>
        <w:tc>
          <w:tcPr>
            <w:tcW w:w="11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w w:val="92"/>
              </w:rPr>
            </w:pPr>
            <w:hyperlink r:id="rId28">
              <w:r>
                <w:rPr>
                  <w:rFonts w:ascii="Arial" w:cs="Arial" w:eastAsia="Arial" w:hAnsi="Arial"/>
                  <w:sz w:val="18"/>
                  <w:szCs w:val="18"/>
                  <w:color w:val="0000EE"/>
                  <w:w w:val="92"/>
                </w:rPr>
                <w:t>Mistral XH Representative, LLC, as representative of the unitholders, dated October 25, 2016 (incorporated by reference to Exhibit 2.1 to</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our Current Report on Form 8-K filed with the SEC on October 25, 2016).</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29">
              <w:r>
                <w:rPr>
                  <w:rFonts w:ascii="Arial" w:cs="Arial" w:eastAsia="Arial" w:hAnsi="Arial"/>
                  <w:sz w:val="18"/>
                  <w:szCs w:val="18"/>
                  <w:u w:val="single" w:color="auto"/>
                  <w:color w:val="0000EE"/>
                </w:rPr>
                <w:t>3.1</w:t>
              </w:r>
            </w:hyperlink>
          </w:p>
        </w:tc>
        <w:tc>
          <w:tcPr>
            <w:tcW w:w="10100" w:type="dxa"/>
            <w:vAlign w:val="bottom"/>
            <w:tcBorders>
              <w:bottom w:val="single" w:sz="8" w:color="0000EE"/>
            </w:tcBorders>
            <w:gridSpan w:val="10"/>
          </w:tcPr>
          <w:p>
            <w:pPr>
              <w:spacing w:after="0"/>
              <w:rPr>
                <w:rFonts w:ascii="Arial" w:cs="Arial" w:eastAsia="Arial" w:hAnsi="Arial"/>
                <w:sz w:val="18"/>
                <w:szCs w:val="18"/>
                <w:color w:val="0000EE"/>
                <w:w w:val="92"/>
              </w:rPr>
            </w:pPr>
            <w:hyperlink r:id="rId29">
              <w:r>
                <w:rPr>
                  <w:rFonts w:ascii="Arial" w:cs="Arial" w:eastAsia="Arial" w:hAnsi="Arial"/>
                  <w:sz w:val="18"/>
                  <w:szCs w:val="18"/>
                  <w:color w:val="0000EE"/>
                  <w:w w:val="92"/>
                </w:rPr>
                <w:t>Amended and Restated Certificate of Incorporation (incorporated by reference to Exhibit 3.1 to our Annual Report on Form 10-K filed with</w:t>
              </w:r>
            </w:hyperlink>
          </w:p>
        </w:tc>
      </w:tr>
      <w:tr>
        <w:trPr>
          <w:trHeight w:val="196"/>
        </w:trPr>
        <w:tc>
          <w:tcPr>
            <w:tcW w:w="11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29">
              <w:r>
                <w:rPr>
                  <w:rFonts w:ascii="Arial" w:cs="Arial" w:eastAsia="Arial" w:hAnsi="Arial"/>
                  <w:sz w:val="18"/>
                  <w:szCs w:val="18"/>
                  <w:color w:val="0000EE"/>
                </w:rPr>
                <w:t>the SEC on April 20, 2020).</w:t>
              </w:r>
            </w:hyperlink>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30">
              <w:r>
                <w:rPr>
                  <w:rFonts w:ascii="Arial" w:cs="Arial" w:eastAsia="Arial" w:hAnsi="Arial"/>
                  <w:sz w:val="18"/>
                  <w:szCs w:val="18"/>
                  <w:u w:val="single" w:color="auto"/>
                  <w:color w:val="0000EE"/>
                </w:rPr>
                <w:t>3.2</w:t>
              </w:r>
            </w:hyperlink>
          </w:p>
        </w:tc>
        <w:tc>
          <w:tcPr>
            <w:tcW w:w="10100" w:type="dxa"/>
            <w:vAlign w:val="bottom"/>
            <w:tcBorders>
              <w:bottom w:val="single" w:sz="8" w:color="0000EE"/>
            </w:tcBorders>
            <w:gridSpan w:val="10"/>
          </w:tcPr>
          <w:p>
            <w:pPr>
              <w:spacing w:after="0"/>
              <w:rPr>
                <w:rFonts w:ascii="Arial" w:cs="Arial" w:eastAsia="Arial" w:hAnsi="Arial"/>
                <w:sz w:val="18"/>
                <w:szCs w:val="18"/>
                <w:color w:val="0000EE"/>
                <w:w w:val="93"/>
              </w:rPr>
            </w:pPr>
            <w:hyperlink r:id="rId30">
              <w:r>
                <w:rPr>
                  <w:rFonts w:ascii="Arial" w:cs="Arial" w:eastAsia="Arial" w:hAnsi="Arial"/>
                  <w:sz w:val="18"/>
                  <w:szCs w:val="18"/>
                  <w:color w:val="0000EE"/>
                  <w:w w:val="93"/>
                </w:rPr>
                <w:t>Certificate of Amendment to Amended and Restated Certificate of Incorporation (incorporated by reference to Exhibit 3.1 to our Current</w:t>
              </w:r>
            </w:hyperlink>
          </w:p>
        </w:tc>
      </w:tr>
      <w:tr>
        <w:trPr>
          <w:trHeight w:val="196"/>
        </w:trPr>
        <w:tc>
          <w:tcPr>
            <w:tcW w:w="1140" w:type="dxa"/>
            <w:vAlign w:val="bottom"/>
          </w:tcPr>
          <w:p>
            <w:pPr>
              <w:spacing w:after="0"/>
              <w:rPr>
                <w:sz w:val="17"/>
                <w:szCs w:val="17"/>
                <w:color w:val="auto"/>
              </w:rPr>
            </w:pPr>
          </w:p>
        </w:tc>
        <w:tc>
          <w:tcPr>
            <w:tcW w:w="42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30">
              <w:r>
                <w:rPr>
                  <w:rFonts w:ascii="Arial" w:cs="Arial" w:eastAsia="Arial" w:hAnsi="Arial"/>
                  <w:sz w:val="18"/>
                  <w:szCs w:val="18"/>
                  <w:color w:val="0000EE"/>
                  <w:w w:val="91"/>
                </w:rPr>
                <w:t>Report on Form 8-K filed with the SEC on June 10, 2020).</w:t>
              </w:r>
            </w:hyperlink>
          </w:p>
        </w:tc>
        <w:tc>
          <w:tcPr>
            <w:tcW w:w="5860" w:type="dxa"/>
            <w:vAlign w:val="bottom"/>
            <w:gridSpan w:val="6"/>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31">
              <w:r>
                <w:rPr>
                  <w:rFonts w:ascii="Arial" w:cs="Arial" w:eastAsia="Arial" w:hAnsi="Arial"/>
                  <w:sz w:val="18"/>
                  <w:szCs w:val="18"/>
                  <w:u w:val="single" w:color="auto"/>
                  <w:color w:val="0000EE"/>
                </w:rPr>
                <w:t>3.3</w:t>
              </w:r>
            </w:hyperlink>
          </w:p>
        </w:tc>
        <w:tc>
          <w:tcPr>
            <w:tcW w:w="10100" w:type="dxa"/>
            <w:vAlign w:val="bottom"/>
            <w:tcBorders>
              <w:bottom w:val="single" w:sz="8" w:color="0000EE"/>
            </w:tcBorders>
            <w:gridSpan w:val="10"/>
          </w:tcPr>
          <w:p>
            <w:pPr>
              <w:spacing w:after="0"/>
              <w:rPr>
                <w:rFonts w:ascii="Arial" w:cs="Arial" w:eastAsia="Arial" w:hAnsi="Arial"/>
                <w:sz w:val="18"/>
                <w:szCs w:val="18"/>
                <w:color w:val="0000EE"/>
                <w:w w:val="93"/>
              </w:rPr>
            </w:pPr>
            <w:hyperlink r:id="rId31">
              <w:r>
                <w:rPr>
                  <w:rFonts w:ascii="Arial" w:cs="Arial" w:eastAsia="Arial" w:hAnsi="Arial"/>
                  <w:sz w:val="18"/>
                  <w:szCs w:val="18"/>
                  <w:color w:val="0000EE"/>
                  <w:w w:val="93"/>
                </w:rPr>
                <w:t>Amended and Restated Bylaws (incorporated by reference to Exhibit 3.2 to our Annual Report on Form 10-K filed with the SEC on April</w:t>
              </w:r>
            </w:hyperlink>
          </w:p>
        </w:tc>
      </w:tr>
      <w:tr>
        <w:trPr>
          <w:trHeight w:val="196"/>
        </w:trPr>
        <w:tc>
          <w:tcPr>
            <w:tcW w:w="114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31">
              <w:r>
                <w:rPr>
                  <w:rFonts w:ascii="Arial" w:cs="Arial" w:eastAsia="Arial" w:hAnsi="Arial"/>
                  <w:sz w:val="18"/>
                  <w:szCs w:val="18"/>
                  <w:color w:val="0000EE"/>
                  <w:w w:val="88"/>
                </w:rPr>
                <w:t>20, 2020).</w:t>
              </w:r>
            </w:hyperlink>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140" w:type="dxa"/>
            <w:vAlign w:val="bottom"/>
          </w:tcPr>
          <w:p>
            <w:pPr>
              <w:spacing w:after="0"/>
              <w:rPr>
                <w:rFonts w:ascii="Arial" w:cs="Arial" w:eastAsia="Arial" w:hAnsi="Arial"/>
                <w:sz w:val="18"/>
                <w:szCs w:val="18"/>
                <w:u w:val="single" w:color="auto"/>
                <w:color w:val="0000EE"/>
              </w:rPr>
            </w:pPr>
            <w:hyperlink r:id="rId32">
              <w:r>
                <w:rPr>
                  <w:rFonts w:ascii="Arial" w:cs="Arial" w:eastAsia="Arial" w:hAnsi="Arial"/>
                  <w:sz w:val="18"/>
                  <w:szCs w:val="18"/>
                  <w:u w:val="single" w:color="auto"/>
                  <w:color w:val="0000EE"/>
                </w:rPr>
                <w:t>4.1</w:t>
              </w:r>
            </w:hyperlink>
          </w:p>
        </w:tc>
        <w:tc>
          <w:tcPr>
            <w:tcW w:w="10100" w:type="dxa"/>
            <w:vAlign w:val="bottom"/>
            <w:gridSpan w:val="10"/>
          </w:tcPr>
          <w:p>
            <w:pPr>
              <w:spacing w:after="0"/>
              <w:rPr>
                <w:rFonts w:ascii="Arial" w:cs="Arial" w:eastAsia="Arial" w:hAnsi="Arial"/>
                <w:sz w:val="18"/>
                <w:szCs w:val="18"/>
                <w:u w:val="single" w:color="auto"/>
                <w:color w:val="0000EE"/>
                <w:w w:val="92"/>
              </w:rPr>
            </w:pPr>
            <w:hyperlink r:id="rId32">
              <w:r>
                <w:rPr>
                  <w:rFonts w:ascii="Arial" w:cs="Arial" w:eastAsia="Arial" w:hAnsi="Arial"/>
                  <w:sz w:val="18"/>
                  <w:szCs w:val="18"/>
                  <w:u w:val="single" w:color="auto"/>
                  <w:color w:val="0000EE"/>
                  <w:w w:val="92"/>
                </w:rPr>
                <w:t>Form of Warrant (incorporated by reference from Exhibit 4.1 to our Current Report on Form 8-K filed with the SEC on October 16, 2015).</w:t>
              </w:r>
            </w:hyperlink>
          </w:p>
        </w:tc>
      </w:tr>
      <w:tr>
        <w:trPr>
          <w:trHeight w:val="432"/>
        </w:trPr>
        <w:tc>
          <w:tcPr>
            <w:tcW w:w="1140" w:type="dxa"/>
            <w:vAlign w:val="bottom"/>
          </w:tcPr>
          <w:p>
            <w:pPr>
              <w:spacing w:after="0"/>
              <w:rPr>
                <w:rFonts w:ascii="Arial" w:cs="Arial" w:eastAsia="Arial" w:hAnsi="Arial"/>
                <w:sz w:val="18"/>
                <w:szCs w:val="18"/>
                <w:u w:val="single" w:color="auto"/>
                <w:color w:val="0000EE"/>
              </w:rPr>
            </w:pPr>
            <w:hyperlink r:id="rId33">
              <w:r>
                <w:rPr>
                  <w:rFonts w:ascii="Arial" w:cs="Arial" w:eastAsia="Arial" w:hAnsi="Arial"/>
                  <w:sz w:val="18"/>
                  <w:szCs w:val="18"/>
                  <w:u w:val="single" w:color="auto"/>
                  <w:color w:val="0000EE"/>
                </w:rPr>
                <w:t>4.2</w:t>
              </w:r>
            </w:hyperlink>
          </w:p>
        </w:tc>
        <w:tc>
          <w:tcPr>
            <w:tcW w:w="10100" w:type="dxa"/>
            <w:vAlign w:val="bottom"/>
            <w:gridSpan w:val="10"/>
          </w:tcPr>
          <w:p>
            <w:pPr>
              <w:spacing w:after="0"/>
              <w:rPr>
                <w:rFonts w:ascii="Arial" w:cs="Arial" w:eastAsia="Arial" w:hAnsi="Arial"/>
                <w:sz w:val="18"/>
                <w:szCs w:val="18"/>
                <w:color w:val="0000EE"/>
                <w:w w:val="95"/>
              </w:rPr>
            </w:pPr>
            <w:hyperlink r:id="rId33">
              <w:r>
                <w:rPr>
                  <w:rFonts w:ascii="Arial" w:cs="Arial" w:eastAsia="Arial" w:hAnsi="Arial"/>
                  <w:sz w:val="18"/>
                  <w:szCs w:val="18"/>
                  <w:u w:val="single" w:color="auto"/>
                  <w:color w:val="0000EE"/>
                  <w:w w:val="95"/>
                </w:rPr>
                <w:t>Form of Warrant (incorporated by reference from Exhibit 10.3 to our Current Report on Form 8-K filed with the SEC on May 4, 2015)</w:t>
              </w:r>
              <w:r>
                <w:rPr>
                  <w:rFonts w:ascii="Arial" w:cs="Arial" w:eastAsia="Arial" w:hAnsi="Arial"/>
                  <w:sz w:val="18"/>
                  <w:szCs w:val="18"/>
                  <w:color w:val="0000EE"/>
                  <w:w w:val="95"/>
                </w:rPr>
                <w:t>.</w:t>
              </w:r>
            </w:hyperlink>
          </w:p>
        </w:tc>
      </w:tr>
      <w:tr>
        <w:trPr>
          <w:trHeight w:val="391"/>
        </w:trPr>
        <w:tc>
          <w:tcPr>
            <w:tcW w:w="1140" w:type="dxa"/>
            <w:vAlign w:val="bottom"/>
          </w:tcPr>
          <w:p>
            <w:pPr>
              <w:spacing w:after="0"/>
              <w:rPr>
                <w:rFonts w:ascii="Arial" w:cs="Arial" w:eastAsia="Arial" w:hAnsi="Arial"/>
                <w:sz w:val="18"/>
                <w:szCs w:val="18"/>
                <w:u w:val="single" w:color="auto"/>
                <w:color w:val="0000EE"/>
              </w:rPr>
            </w:pPr>
            <w:hyperlink r:id="rId33">
              <w:r>
                <w:rPr>
                  <w:rFonts w:ascii="Arial" w:cs="Arial" w:eastAsia="Arial" w:hAnsi="Arial"/>
                  <w:sz w:val="18"/>
                  <w:szCs w:val="18"/>
                  <w:u w:val="single" w:color="auto"/>
                  <w:color w:val="0000EE"/>
                </w:rPr>
                <w:t>4.3</w:t>
              </w:r>
            </w:hyperlink>
          </w:p>
        </w:tc>
        <w:tc>
          <w:tcPr>
            <w:tcW w:w="10100" w:type="dxa"/>
            <w:vAlign w:val="bottom"/>
            <w:tcBorders>
              <w:bottom w:val="single" w:sz="8" w:color="0000EE"/>
            </w:tcBorders>
            <w:gridSpan w:val="10"/>
          </w:tcPr>
          <w:p>
            <w:pPr>
              <w:spacing w:after="0"/>
              <w:rPr>
                <w:rFonts w:ascii="Arial" w:cs="Arial" w:eastAsia="Arial" w:hAnsi="Arial"/>
                <w:sz w:val="18"/>
                <w:szCs w:val="18"/>
                <w:color w:val="0000EE"/>
                <w:w w:val="93"/>
              </w:rPr>
            </w:pPr>
            <w:hyperlink r:id="rId33">
              <w:r>
                <w:rPr>
                  <w:rFonts w:ascii="Arial" w:cs="Arial" w:eastAsia="Arial" w:hAnsi="Arial"/>
                  <w:sz w:val="18"/>
                  <w:szCs w:val="18"/>
                  <w:color w:val="0000EE"/>
                  <w:w w:val="93"/>
                </w:rPr>
                <w:t>Section 382 Rights Agreement, dated as of March 18, 2016, between Vringo, Inc. and American Stock Transfer &amp; Trust Company, LLC,</w:t>
              </w:r>
            </w:hyperlink>
          </w:p>
        </w:tc>
      </w:tr>
      <w:tr>
        <w:trPr>
          <w:trHeight w:val="196"/>
        </w:trPr>
        <w:tc>
          <w:tcPr>
            <w:tcW w:w="11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w w:val="95"/>
              </w:rPr>
            </w:pPr>
            <w:hyperlink r:id="rId33">
              <w:r>
                <w:rPr>
                  <w:rFonts w:ascii="Arial" w:cs="Arial" w:eastAsia="Arial" w:hAnsi="Arial"/>
                  <w:sz w:val="18"/>
                  <w:szCs w:val="18"/>
                  <w:color w:val="0000EE"/>
                  <w:w w:val="95"/>
                </w:rPr>
                <w:t>which includes the Form of Certificate of Designation of Series C Junior Participating Preferred Stock as Exhibit A, the Form of Right</w:t>
              </w:r>
            </w:hyperlink>
          </w:p>
        </w:tc>
      </w:tr>
      <w:tr>
        <w:trPr>
          <w:trHeight w:val="20"/>
        </w:trPr>
        <w:tc>
          <w:tcPr>
            <w:tcW w:w="11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92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33">
              <w:r>
                <w:rPr>
                  <w:rFonts w:ascii="Arial" w:cs="Arial" w:eastAsia="Arial" w:hAnsi="Arial"/>
                  <w:sz w:val="18"/>
                  <w:szCs w:val="18"/>
                  <w:color w:val="0000EE"/>
                  <w:w w:val="91"/>
                </w:rPr>
                <w:t>Certificate as Exhibit B and the Summary of Rights to Purchase Preferred Stock as Exhibit C (incorporated by reference from Exhibit 4.1 to</w:t>
              </w:r>
            </w:hyperlink>
          </w:p>
        </w:tc>
      </w:tr>
      <w:tr>
        <w:trPr>
          <w:trHeight w:val="196"/>
        </w:trPr>
        <w:tc>
          <w:tcPr>
            <w:tcW w:w="1140" w:type="dxa"/>
            <w:vAlign w:val="bottom"/>
          </w:tcPr>
          <w:p>
            <w:pPr>
              <w:spacing w:after="0"/>
              <w:rPr>
                <w:sz w:val="17"/>
                <w:szCs w:val="17"/>
                <w:color w:val="auto"/>
              </w:rPr>
            </w:pPr>
          </w:p>
        </w:tc>
        <w:tc>
          <w:tcPr>
            <w:tcW w:w="52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33">
              <w:r>
                <w:rPr>
                  <w:rFonts w:ascii="Arial" w:cs="Arial" w:eastAsia="Arial" w:hAnsi="Arial"/>
                  <w:sz w:val="18"/>
                  <w:szCs w:val="18"/>
                  <w:color w:val="0000EE"/>
                  <w:w w:val="92"/>
                </w:rPr>
                <w:t>our Current Report on Form 8-K filed with the SEC on March 21, 2016).</w:t>
              </w:r>
            </w:hyperlink>
          </w:p>
        </w:tc>
        <w:tc>
          <w:tcPr>
            <w:tcW w:w="4840" w:type="dxa"/>
            <w:vAlign w:val="bottom"/>
            <w:gridSpan w:val="5"/>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34">
              <w:r>
                <w:rPr>
                  <w:rFonts w:ascii="Arial" w:cs="Arial" w:eastAsia="Arial" w:hAnsi="Arial"/>
                  <w:sz w:val="18"/>
                  <w:szCs w:val="18"/>
                  <w:u w:val="single" w:color="auto"/>
                  <w:color w:val="0000EE"/>
                </w:rPr>
                <w:t>4.4</w:t>
              </w:r>
            </w:hyperlink>
          </w:p>
        </w:tc>
        <w:tc>
          <w:tcPr>
            <w:tcW w:w="10100" w:type="dxa"/>
            <w:vAlign w:val="bottom"/>
            <w:tcBorders>
              <w:bottom w:val="single" w:sz="8" w:color="0000EE"/>
            </w:tcBorders>
            <w:gridSpan w:val="10"/>
          </w:tcPr>
          <w:p>
            <w:pPr>
              <w:spacing w:after="0"/>
              <w:rPr>
                <w:rFonts w:ascii="Arial" w:cs="Arial" w:eastAsia="Arial" w:hAnsi="Arial"/>
                <w:sz w:val="18"/>
                <w:szCs w:val="18"/>
                <w:color w:val="0000EE"/>
                <w:w w:val="96"/>
              </w:rPr>
            </w:pPr>
            <w:hyperlink r:id="rId34">
              <w:r>
                <w:rPr>
                  <w:rFonts w:ascii="Arial" w:cs="Arial" w:eastAsia="Arial" w:hAnsi="Arial"/>
                  <w:sz w:val="18"/>
                  <w:szCs w:val="18"/>
                  <w:color w:val="0000EE"/>
                  <w:w w:val="96"/>
                </w:rPr>
                <w:t>Amendment to Section 382 Rights Agreement, dated March 18, 2019, between the Company and American Stock Transfer &amp; Trust</w:t>
              </w:r>
            </w:hyperlink>
          </w:p>
        </w:tc>
      </w:tr>
      <w:tr>
        <w:trPr>
          <w:trHeight w:val="237"/>
        </w:trPr>
        <w:tc>
          <w:tcPr>
            <w:tcW w:w="1140" w:type="dxa"/>
            <w:vAlign w:val="bottom"/>
          </w:tcPr>
          <w:p>
            <w:pPr>
              <w:spacing w:after="0"/>
              <w:rPr>
                <w:sz w:val="20"/>
                <w:szCs w:val="20"/>
                <w:color w:val="auto"/>
              </w:rPr>
            </w:pPr>
          </w:p>
        </w:tc>
        <w:tc>
          <w:tcPr>
            <w:tcW w:w="10100" w:type="dxa"/>
            <w:vAlign w:val="bottom"/>
            <w:gridSpan w:val="10"/>
          </w:tcPr>
          <w:p>
            <w:pPr>
              <w:spacing w:after="0"/>
              <w:rPr>
                <w:rFonts w:ascii="Arial" w:cs="Arial" w:eastAsia="Arial" w:hAnsi="Arial"/>
                <w:sz w:val="18"/>
                <w:szCs w:val="18"/>
                <w:u w:val="single" w:color="auto"/>
                <w:color w:val="0000EE"/>
                <w:w w:val="94"/>
              </w:rPr>
            </w:pPr>
            <w:hyperlink r:id="rId34">
              <w:r>
                <w:rPr>
                  <w:rFonts w:ascii="Arial" w:cs="Arial" w:eastAsia="Arial" w:hAnsi="Arial"/>
                  <w:sz w:val="18"/>
                  <w:szCs w:val="18"/>
                  <w:u w:val="single" w:color="auto"/>
                  <w:color w:val="0000EE"/>
                  <w:w w:val="94"/>
                </w:rPr>
                <w:t>Company, LLC (incorporated by reference from Exhibit 10.1 to our Current Report on Form 8-K filed with the SEC on March 22, 2019).</w:t>
              </w:r>
            </w:hyperlink>
          </w:p>
        </w:tc>
      </w:tr>
      <w:tr>
        <w:trPr>
          <w:trHeight w:val="391"/>
        </w:trPr>
        <w:tc>
          <w:tcPr>
            <w:tcW w:w="1140" w:type="dxa"/>
            <w:vAlign w:val="bottom"/>
          </w:tcPr>
          <w:p>
            <w:pPr>
              <w:spacing w:after="0"/>
              <w:rPr>
                <w:rFonts w:ascii="Arial" w:cs="Arial" w:eastAsia="Arial" w:hAnsi="Arial"/>
                <w:sz w:val="18"/>
                <w:szCs w:val="18"/>
                <w:u w:val="single" w:color="auto"/>
                <w:color w:val="0000EE"/>
              </w:rPr>
            </w:pPr>
            <w:hyperlink r:id="rId35">
              <w:r>
                <w:rPr>
                  <w:rFonts w:ascii="Arial" w:cs="Arial" w:eastAsia="Arial" w:hAnsi="Arial"/>
                  <w:sz w:val="18"/>
                  <w:szCs w:val="18"/>
                  <w:u w:val="single" w:color="auto"/>
                  <w:color w:val="0000EE"/>
                </w:rPr>
                <w:t>4.5</w:t>
              </w:r>
            </w:hyperlink>
          </w:p>
        </w:tc>
        <w:tc>
          <w:tcPr>
            <w:tcW w:w="10100" w:type="dxa"/>
            <w:vAlign w:val="bottom"/>
            <w:tcBorders>
              <w:bottom w:val="single" w:sz="8" w:color="0000EE"/>
            </w:tcBorders>
            <w:gridSpan w:val="10"/>
          </w:tcPr>
          <w:p>
            <w:pPr>
              <w:spacing w:after="0"/>
              <w:rPr>
                <w:rFonts w:ascii="Arial" w:cs="Arial" w:eastAsia="Arial" w:hAnsi="Arial"/>
                <w:sz w:val="18"/>
                <w:szCs w:val="18"/>
                <w:color w:val="0000EE"/>
                <w:w w:val="98"/>
              </w:rPr>
            </w:pPr>
            <w:hyperlink r:id="rId35">
              <w:r>
                <w:rPr>
                  <w:rFonts w:ascii="Arial" w:cs="Arial" w:eastAsia="Arial" w:hAnsi="Arial"/>
                  <w:sz w:val="18"/>
                  <w:szCs w:val="18"/>
                  <w:color w:val="0000EE"/>
                  <w:w w:val="98"/>
                </w:rPr>
                <w:t>Form of Warrant to Purchase Shares of Common Stock of FORM Holdings Corp. (incorporated by reference from Annex F to our</w:t>
              </w:r>
            </w:hyperlink>
          </w:p>
        </w:tc>
      </w:tr>
      <w:tr>
        <w:trPr>
          <w:trHeight w:val="196"/>
        </w:trPr>
        <w:tc>
          <w:tcPr>
            <w:tcW w:w="11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Registration Statement on Form S-4 filed with the SEC on October 26, 2016).</w:t>
              </w:r>
            </w:hyperlink>
          </w:p>
        </w:tc>
      </w:tr>
      <w:tr>
        <w:trPr>
          <w:trHeight w:val="20"/>
        </w:trPr>
        <w:tc>
          <w:tcPr>
            <w:tcW w:w="11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4260" w:type="dxa"/>
            <w:vAlign w:val="bottom"/>
            <w:gridSpan w:val="6"/>
            <w:shd w:val="clear" w:color="auto" w:fill="0000EE"/>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36">
              <w:r>
                <w:rPr>
                  <w:rFonts w:ascii="Arial" w:cs="Arial" w:eastAsia="Arial" w:hAnsi="Arial"/>
                  <w:sz w:val="18"/>
                  <w:szCs w:val="18"/>
                  <w:u w:val="single" w:color="auto"/>
                  <w:color w:val="0000EE"/>
                </w:rPr>
                <w:t>4.6</w:t>
              </w:r>
            </w:hyperlink>
          </w:p>
        </w:tc>
        <w:tc>
          <w:tcPr>
            <w:tcW w:w="10100" w:type="dxa"/>
            <w:vAlign w:val="bottom"/>
            <w:gridSpan w:val="10"/>
          </w:tcPr>
          <w:p>
            <w:pPr>
              <w:spacing w:after="0"/>
              <w:rPr>
                <w:rFonts w:ascii="Arial" w:cs="Arial" w:eastAsia="Arial" w:hAnsi="Arial"/>
                <w:sz w:val="18"/>
                <w:szCs w:val="18"/>
                <w:color w:val="0000EE"/>
                <w:w w:val="93"/>
              </w:rPr>
            </w:pPr>
            <w:hyperlink r:id="rId36">
              <w:r>
                <w:rPr>
                  <w:rFonts w:ascii="Arial" w:cs="Arial" w:eastAsia="Arial" w:hAnsi="Arial"/>
                  <w:sz w:val="18"/>
                  <w:szCs w:val="18"/>
                  <w:color w:val="0000EE"/>
                  <w:w w:val="93"/>
                </w:rPr>
                <w:t>Form of Secured Convertible Note (incorporated by reference from Exhibit 4.1 to our Quarterly Report on Form 10-Q filed with the SEC</w:t>
              </w:r>
            </w:hyperlink>
          </w:p>
        </w:tc>
      </w:tr>
      <w:tr>
        <w:trPr>
          <w:trHeight w:val="196"/>
        </w:trPr>
        <w:tc>
          <w:tcPr>
            <w:tcW w:w="114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36">
              <w:r>
                <w:rPr>
                  <w:rFonts w:ascii="Arial" w:cs="Arial" w:eastAsia="Arial" w:hAnsi="Arial"/>
                  <w:sz w:val="18"/>
                  <w:szCs w:val="18"/>
                  <w:color w:val="0000EE"/>
                  <w:w w:val="90"/>
                </w:rPr>
                <w:t>on May 15, 2018).</w:t>
              </w:r>
            </w:hyperlink>
          </w:p>
        </w:tc>
        <w:tc>
          <w:tcPr>
            <w:tcW w:w="874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695"/>
        </w:trPr>
        <w:tc>
          <w:tcPr>
            <w:tcW w:w="11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5"/>
          </w:tcPr>
          <w:p>
            <w:pPr>
              <w:ind w:left="440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rFonts w:ascii="Arial" w:cs="Arial" w:eastAsia="Arial" w:hAnsi="Arial"/>
                <w:sz w:val="18"/>
                <w:szCs w:val="18"/>
                <w:u w:val="single" w:color="auto"/>
                <w:color w:val="0000EE"/>
              </w:rPr>
            </w:pPr>
            <w:hyperlink r:id="rId37">
              <w:r>
                <w:rPr>
                  <w:rFonts w:ascii="Arial" w:cs="Arial" w:eastAsia="Arial" w:hAnsi="Arial"/>
                  <w:sz w:val="18"/>
                  <w:szCs w:val="18"/>
                  <w:u w:val="single" w:color="auto"/>
                  <w:color w:val="0000EE"/>
                </w:rPr>
                <w:t>4.7</w:t>
              </w:r>
            </w:hyperlink>
          </w:p>
        </w:tc>
        <w:tc>
          <w:tcPr>
            <w:tcW w:w="10100" w:type="dxa"/>
            <w:vAlign w:val="bottom"/>
            <w:tcBorders>
              <w:bottom w:val="single" w:sz="8" w:color="0000EE"/>
            </w:tcBorders>
            <w:gridSpan w:val="17"/>
          </w:tcPr>
          <w:p>
            <w:pPr>
              <w:spacing w:after="0"/>
              <w:rPr>
                <w:rFonts w:ascii="Arial" w:cs="Arial" w:eastAsia="Arial" w:hAnsi="Arial"/>
                <w:sz w:val="18"/>
                <w:szCs w:val="18"/>
                <w:color w:val="0000EE"/>
                <w:w w:val="95"/>
              </w:rPr>
            </w:pPr>
            <w:hyperlink r:id="rId37">
              <w:r>
                <w:rPr>
                  <w:rFonts w:ascii="Arial" w:cs="Arial" w:eastAsia="Arial" w:hAnsi="Arial"/>
                  <w:sz w:val="18"/>
                  <w:szCs w:val="18"/>
                  <w:color w:val="0000EE"/>
                  <w:w w:val="95"/>
                </w:rPr>
                <w:t>Amendment to Secured Convertible Note (incorporated by reference from Exhibit 4.1 to our Current Report on Form 8-K filed with the</w:t>
              </w:r>
            </w:hyperlink>
          </w:p>
        </w:tc>
      </w:tr>
      <w:tr>
        <w:trPr>
          <w:trHeight w:val="196"/>
        </w:trPr>
        <w:tc>
          <w:tcPr>
            <w:tcW w:w="1140" w:type="dxa"/>
            <w:vAlign w:val="bottom"/>
          </w:tcPr>
          <w:p>
            <w:pPr>
              <w:spacing w:after="0"/>
              <w:rPr>
                <w:sz w:val="17"/>
                <w:szCs w:val="17"/>
                <w:color w:val="auto"/>
              </w:rPr>
            </w:pPr>
          </w:p>
        </w:tc>
        <w:tc>
          <w:tcPr>
            <w:tcW w:w="17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37">
              <w:r>
                <w:rPr>
                  <w:rFonts w:ascii="Arial" w:cs="Arial" w:eastAsia="Arial" w:hAnsi="Arial"/>
                  <w:sz w:val="18"/>
                  <w:szCs w:val="18"/>
                  <w:color w:val="0000EE"/>
                  <w:w w:val="88"/>
                </w:rPr>
                <w:t>SEC on June 27, 2019).</w:t>
              </w:r>
            </w:hyperlink>
          </w:p>
        </w:tc>
        <w:tc>
          <w:tcPr>
            <w:tcW w:w="8380" w:type="dxa"/>
            <w:vAlign w:val="bottom"/>
            <w:gridSpan w:val="13"/>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38">
              <w:r>
                <w:rPr>
                  <w:rFonts w:ascii="Arial" w:cs="Arial" w:eastAsia="Arial" w:hAnsi="Arial"/>
                  <w:sz w:val="18"/>
                  <w:szCs w:val="18"/>
                  <w:u w:val="single" w:color="auto"/>
                  <w:color w:val="0000EE"/>
                </w:rPr>
                <w:t>4.8</w:t>
              </w:r>
            </w:hyperlink>
          </w:p>
        </w:tc>
        <w:tc>
          <w:tcPr>
            <w:tcW w:w="10100" w:type="dxa"/>
            <w:vAlign w:val="bottom"/>
            <w:tcBorders>
              <w:bottom w:val="single" w:sz="8" w:color="0000EE"/>
            </w:tcBorders>
            <w:gridSpan w:val="17"/>
          </w:tcPr>
          <w:p>
            <w:pPr>
              <w:spacing w:after="0"/>
              <w:rPr>
                <w:rFonts w:ascii="Arial" w:cs="Arial" w:eastAsia="Arial" w:hAnsi="Arial"/>
                <w:sz w:val="18"/>
                <w:szCs w:val="18"/>
                <w:color w:val="0000EE"/>
                <w:w w:val="92"/>
              </w:rPr>
            </w:pPr>
            <w:hyperlink r:id="rId38">
              <w:r>
                <w:rPr>
                  <w:rFonts w:ascii="Arial" w:cs="Arial" w:eastAsia="Arial" w:hAnsi="Arial"/>
                  <w:sz w:val="18"/>
                  <w:szCs w:val="18"/>
                  <w:color w:val="0000EE"/>
                  <w:w w:val="92"/>
                </w:rPr>
                <w:t>Second Amended and Restated Convertible Promissory Note, dated as of July 8, 2019 (incorporated by reference from Exhibit 4.3 to our</w:t>
              </w:r>
            </w:hyperlink>
          </w:p>
        </w:tc>
      </w:tr>
      <w:tr>
        <w:trPr>
          <w:trHeight w:val="196"/>
        </w:trPr>
        <w:tc>
          <w:tcPr>
            <w:tcW w:w="1140" w:type="dxa"/>
            <w:vAlign w:val="bottom"/>
          </w:tcPr>
          <w:p>
            <w:pPr>
              <w:spacing w:after="0"/>
              <w:rPr>
                <w:sz w:val="17"/>
                <w:szCs w:val="17"/>
                <w:color w:val="auto"/>
              </w:rPr>
            </w:pPr>
          </w:p>
        </w:tc>
        <w:tc>
          <w:tcPr>
            <w:tcW w:w="10100" w:type="dxa"/>
            <w:vAlign w:val="bottom"/>
            <w:gridSpan w:val="17"/>
          </w:tcPr>
          <w:p>
            <w:pPr>
              <w:spacing w:after="0" w:line="196" w:lineRule="exact"/>
              <w:rPr>
                <w:rFonts w:ascii="Arial" w:cs="Arial" w:eastAsia="Arial" w:hAnsi="Arial"/>
                <w:sz w:val="18"/>
                <w:szCs w:val="18"/>
                <w:color w:val="0000EE"/>
              </w:rPr>
            </w:pPr>
            <w:hyperlink r:id="rId38">
              <w:r>
                <w:rPr>
                  <w:rFonts w:ascii="Arial" w:cs="Arial" w:eastAsia="Arial" w:hAnsi="Arial"/>
                  <w:sz w:val="18"/>
                  <w:szCs w:val="18"/>
                  <w:color w:val="0000EE"/>
                </w:rPr>
                <w:t>Current Report on Form 8-K filed with the SEC on July 8, 2019).</w:t>
              </w:r>
            </w:hyperlink>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39">
              <w:r>
                <w:rPr>
                  <w:rFonts w:ascii="Arial" w:cs="Arial" w:eastAsia="Arial" w:hAnsi="Arial"/>
                  <w:sz w:val="18"/>
                  <w:szCs w:val="18"/>
                  <w:u w:val="single" w:color="auto"/>
                  <w:color w:val="0000EE"/>
                </w:rPr>
                <w:t>4.9</w:t>
              </w:r>
            </w:hyperlink>
          </w:p>
        </w:tc>
        <w:tc>
          <w:tcPr>
            <w:tcW w:w="10100" w:type="dxa"/>
            <w:vAlign w:val="bottom"/>
            <w:tcBorders>
              <w:bottom w:val="single" w:sz="8" w:color="0000EE"/>
            </w:tcBorders>
            <w:gridSpan w:val="17"/>
          </w:tcPr>
          <w:p>
            <w:pPr>
              <w:spacing w:after="0"/>
              <w:rPr>
                <w:rFonts w:ascii="Arial" w:cs="Arial" w:eastAsia="Arial" w:hAnsi="Arial"/>
                <w:sz w:val="18"/>
                <w:szCs w:val="18"/>
                <w:color w:val="0000EE"/>
                <w:w w:val="91"/>
              </w:rPr>
            </w:pPr>
            <w:hyperlink r:id="rId39">
              <w:r>
                <w:rPr>
                  <w:rFonts w:ascii="Arial" w:cs="Arial" w:eastAsia="Arial" w:hAnsi="Arial"/>
                  <w:sz w:val="18"/>
                  <w:szCs w:val="18"/>
                  <w:color w:val="0000EE"/>
                  <w:w w:val="91"/>
                </w:rPr>
                <w:t>Third Amended and Restated Convertible Promissory Note, dated as of January 9, 2020 (incorporated by reference from Exhibit 4.1 to our</w:t>
              </w:r>
            </w:hyperlink>
          </w:p>
        </w:tc>
      </w:tr>
      <w:tr>
        <w:trPr>
          <w:trHeight w:val="196"/>
        </w:trPr>
        <w:tc>
          <w:tcPr>
            <w:tcW w:w="1140" w:type="dxa"/>
            <w:vAlign w:val="bottom"/>
          </w:tcPr>
          <w:p>
            <w:pPr>
              <w:spacing w:after="0"/>
              <w:rPr>
                <w:sz w:val="17"/>
                <w:szCs w:val="17"/>
                <w:color w:val="auto"/>
              </w:rPr>
            </w:pPr>
          </w:p>
        </w:tc>
        <w:tc>
          <w:tcPr>
            <w:tcW w:w="50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39">
              <w:r>
                <w:rPr>
                  <w:rFonts w:ascii="Arial" w:cs="Arial" w:eastAsia="Arial" w:hAnsi="Arial"/>
                  <w:sz w:val="18"/>
                  <w:szCs w:val="18"/>
                  <w:color w:val="0000EE"/>
                  <w:w w:val="91"/>
                </w:rPr>
                <w:t>Current Report on Form 8-K filed with the SEC on January 14, 2020).</w:t>
              </w:r>
            </w:hyperlink>
          </w:p>
        </w:tc>
        <w:tc>
          <w:tcPr>
            <w:tcW w:w="5040" w:type="dxa"/>
            <w:vAlign w:val="bottom"/>
            <w:gridSpan w:val="5"/>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40">
              <w:r>
                <w:rPr>
                  <w:rFonts w:ascii="Arial" w:cs="Arial" w:eastAsia="Arial" w:hAnsi="Arial"/>
                  <w:sz w:val="18"/>
                  <w:szCs w:val="18"/>
                  <w:u w:val="single" w:color="auto"/>
                  <w:color w:val="0000EE"/>
                </w:rPr>
                <w:t>4.10</w:t>
              </w:r>
            </w:hyperlink>
          </w:p>
        </w:tc>
        <w:tc>
          <w:tcPr>
            <w:tcW w:w="10100" w:type="dxa"/>
            <w:vAlign w:val="bottom"/>
            <w:gridSpan w:val="17"/>
          </w:tcPr>
          <w:p>
            <w:pPr>
              <w:spacing w:after="0"/>
              <w:rPr>
                <w:rFonts w:ascii="Arial" w:cs="Arial" w:eastAsia="Arial" w:hAnsi="Arial"/>
                <w:sz w:val="18"/>
                <w:szCs w:val="18"/>
                <w:color w:val="0000EE"/>
                <w:w w:val="91"/>
              </w:rPr>
            </w:pPr>
            <w:hyperlink r:id="rId40">
              <w:r>
                <w:rPr>
                  <w:rFonts w:ascii="Arial" w:cs="Arial" w:eastAsia="Arial" w:hAnsi="Arial"/>
                  <w:sz w:val="18"/>
                  <w:szCs w:val="18"/>
                  <w:color w:val="0000EE"/>
                  <w:w w:val="91"/>
                </w:rPr>
                <w:t>Fourth Amended and Restated Convertible Promissory Note, dated as of March 6, 2020 (incorporated by reference from Exhibit 4.1 to our</w:t>
              </w:r>
            </w:hyperlink>
          </w:p>
        </w:tc>
      </w:tr>
      <w:tr>
        <w:trPr>
          <w:trHeight w:val="196"/>
        </w:trPr>
        <w:tc>
          <w:tcPr>
            <w:tcW w:w="1140" w:type="dxa"/>
            <w:vAlign w:val="bottom"/>
          </w:tcPr>
          <w:p>
            <w:pPr>
              <w:spacing w:after="0"/>
              <w:rPr>
                <w:sz w:val="17"/>
                <w:szCs w:val="17"/>
                <w:color w:val="auto"/>
              </w:rPr>
            </w:pPr>
          </w:p>
        </w:tc>
        <w:tc>
          <w:tcPr>
            <w:tcW w:w="48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40">
              <w:r>
                <w:rPr>
                  <w:rFonts w:ascii="Arial" w:cs="Arial" w:eastAsia="Arial" w:hAnsi="Arial"/>
                  <w:sz w:val="18"/>
                  <w:szCs w:val="18"/>
                  <w:color w:val="0000EE"/>
                  <w:w w:val="92"/>
                </w:rPr>
                <w:t>Current Report on Form 8-K filed with the SEC on March 6, 2020)</w:t>
              </w:r>
            </w:hyperlink>
          </w:p>
        </w:tc>
        <w:tc>
          <w:tcPr>
            <w:tcW w:w="524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41">
              <w:r>
                <w:rPr>
                  <w:rFonts w:ascii="Arial" w:cs="Arial" w:eastAsia="Arial" w:hAnsi="Arial"/>
                  <w:sz w:val="18"/>
                  <w:szCs w:val="18"/>
                  <w:u w:val="single" w:color="auto"/>
                  <w:color w:val="0000EE"/>
                </w:rPr>
                <w:t>4.11</w:t>
              </w:r>
            </w:hyperlink>
          </w:p>
        </w:tc>
        <w:tc>
          <w:tcPr>
            <w:tcW w:w="10100" w:type="dxa"/>
            <w:vAlign w:val="bottom"/>
            <w:tcBorders>
              <w:bottom w:val="single" w:sz="8" w:color="0000EE"/>
            </w:tcBorders>
            <w:gridSpan w:val="17"/>
          </w:tcPr>
          <w:p>
            <w:pPr>
              <w:spacing w:after="0"/>
              <w:rPr>
                <w:rFonts w:ascii="Arial" w:cs="Arial" w:eastAsia="Arial" w:hAnsi="Arial"/>
                <w:sz w:val="18"/>
                <w:szCs w:val="18"/>
                <w:color w:val="0000EE"/>
                <w:w w:val="92"/>
              </w:rPr>
            </w:pPr>
            <w:hyperlink r:id="rId41">
              <w:r>
                <w:rPr>
                  <w:rFonts w:ascii="Arial" w:cs="Arial" w:eastAsia="Arial" w:hAnsi="Arial"/>
                  <w:sz w:val="18"/>
                  <w:szCs w:val="18"/>
                  <w:color w:val="0000EE"/>
                  <w:w w:val="92"/>
                </w:rPr>
                <w:t>Form of Class A Warrant (incorporated by reference from Exhibit 4.2 to our Quarterly Report on Form 10-Q filed with the SEC on May 15,</w:t>
              </w:r>
            </w:hyperlink>
          </w:p>
        </w:tc>
      </w:tr>
      <w:tr>
        <w:trPr>
          <w:trHeight w:val="196"/>
        </w:trPr>
        <w:tc>
          <w:tcPr>
            <w:tcW w:w="114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41">
              <w:r>
                <w:rPr>
                  <w:rFonts w:ascii="Arial" w:cs="Arial" w:eastAsia="Arial" w:hAnsi="Arial"/>
                  <w:sz w:val="18"/>
                  <w:szCs w:val="18"/>
                  <w:color w:val="0000EE"/>
                  <w:w w:val="86"/>
                </w:rPr>
                <w:t>2018).</w:t>
              </w:r>
            </w:hyperlink>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42">
              <w:r>
                <w:rPr>
                  <w:rFonts w:ascii="Arial" w:cs="Arial" w:eastAsia="Arial" w:hAnsi="Arial"/>
                  <w:sz w:val="18"/>
                  <w:szCs w:val="18"/>
                  <w:u w:val="single" w:color="auto"/>
                  <w:color w:val="0000EE"/>
                </w:rPr>
                <w:t>4.12</w:t>
              </w:r>
            </w:hyperlink>
          </w:p>
        </w:tc>
        <w:tc>
          <w:tcPr>
            <w:tcW w:w="10100" w:type="dxa"/>
            <w:vAlign w:val="bottom"/>
            <w:gridSpan w:val="17"/>
          </w:tcPr>
          <w:p>
            <w:pPr>
              <w:spacing w:after="0"/>
              <w:rPr>
                <w:rFonts w:ascii="Arial" w:cs="Arial" w:eastAsia="Arial" w:hAnsi="Arial"/>
                <w:sz w:val="18"/>
                <w:szCs w:val="18"/>
                <w:color w:val="0000EE"/>
                <w:w w:val="92"/>
              </w:rPr>
            </w:pPr>
            <w:hyperlink r:id="rId42">
              <w:r>
                <w:rPr>
                  <w:rFonts w:ascii="Arial" w:cs="Arial" w:eastAsia="Arial" w:hAnsi="Arial"/>
                  <w:sz w:val="18"/>
                  <w:szCs w:val="18"/>
                  <w:color w:val="0000EE"/>
                  <w:w w:val="92"/>
                </w:rPr>
                <w:t>Form of Class B Warrant (incorporated by reference from Exhibit 4.3 to our Quarterly Report on Form 10-Q filed with the SEC on May 15,</w:t>
              </w:r>
            </w:hyperlink>
          </w:p>
        </w:tc>
      </w:tr>
      <w:tr>
        <w:trPr>
          <w:trHeight w:val="196"/>
        </w:trPr>
        <w:tc>
          <w:tcPr>
            <w:tcW w:w="11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42">
              <w:r>
                <w:rPr>
                  <w:rFonts w:ascii="Arial" w:cs="Arial" w:eastAsia="Arial" w:hAnsi="Arial"/>
                  <w:sz w:val="18"/>
                  <w:szCs w:val="18"/>
                  <w:color w:val="0000EE"/>
                  <w:w w:val="86"/>
                </w:rPr>
                <w:t>2018).</w:t>
              </w:r>
            </w:hyperlink>
          </w:p>
        </w:tc>
        <w:tc>
          <w:tcPr>
            <w:tcW w:w="9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32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43">
              <w:r>
                <w:rPr>
                  <w:rFonts w:ascii="Arial" w:cs="Arial" w:eastAsia="Arial" w:hAnsi="Arial"/>
                  <w:sz w:val="18"/>
                  <w:szCs w:val="18"/>
                  <w:u w:val="single" w:color="auto"/>
                  <w:color w:val="0000EE"/>
                </w:rPr>
                <w:t>4.13</w:t>
              </w:r>
            </w:hyperlink>
          </w:p>
        </w:tc>
        <w:tc>
          <w:tcPr>
            <w:tcW w:w="10100" w:type="dxa"/>
            <w:vAlign w:val="bottom"/>
            <w:gridSpan w:val="17"/>
          </w:tcPr>
          <w:p>
            <w:pPr>
              <w:spacing w:after="0"/>
              <w:rPr>
                <w:rFonts w:ascii="Arial" w:cs="Arial" w:eastAsia="Arial" w:hAnsi="Arial"/>
                <w:sz w:val="18"/>
                <w:szCs w:val="18"/>
                <w:color w:val="0000EE"/>
                <w:w w:val="92"/>
              </w:rPr>
            </w:pPr>
            <w:hyperlink r:id="rId43">
              <w:r>
                <w:rPr>
                  <w:rFonts w:ascii="Arial" w:cs="Arial" w:eastAsia="Arial" w:hAnsi="Arial"/>
                  <w:sz w:val="18"/>
                  <w:szCs w:val="18"/>
                  <w:color w:val="0000EE"/>
                  <w:w w:val="92"/>
                </w:rPr>
                <w:t>Form of First Amendment to Warrant to Purchase Common Stock, dated as of May 16, 2019 (incorporated by reference to Exhibit 10.1 to</w:t>
              </w:r>
            </w:hyperlink>
          </w:p>
        </w:tc>
      </w:tr>
      <w:tr>
        <w:trPr>
          <w:trHeight w:val="196"/>
        </w:trPr>
        <w:tc>
          <w:tcPr>
            <w:tcW w:w="1140" w:type="dxa"/>
            <w:vAlign w:val="bottom"/>
          </w:tcPr>
          <w:p>
            <w:pPr>
              <w:spacing w:after="0"/>
              <w:rPr>
                <w:sz w:val="17"/>
                <w:szCs w:val="17"/>
                <w:color w:val="auto"/>
              </w:rPr>
            </w:pPr>
          </w:p>
        </w:tc>
        <w:tc>
          <w:tcPr>
            <w:tcW w:w="51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43">
              <w:r>
                <w:rPr>
                  <w:rFonts w:ascii="Arial" w:cs="Arial" w:eastAsia="Arial" w:hAnsi="Arial"/>
                  <w:sz w:val="18"/>
                  <w:szCs w:val="18"/>
                  <w:color w:val="0000EE"/>
                  <w:w w:val="92"/>
                </w:rPr>
                <w:t>our Current Report on Form 8-K filed with the SEC on May 17, 2019).</w:t>
              </w:r>
            </w:hyperlink>
          </w:p>
        </w:tc>
        <w:tc>
          <w:tcPr>
            <w:tcW w:w="496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44">
              <w:r>
                <w:rPr>
                  <w:rFonts w:ascii="Arial" w:cs="Arial" w:eastAsia="Arial" w:hAnsi="Arial"/>
                  <w:sz w:val="18"/>
                  <w:szCs w:val="18"/>
                  <w:u w:val="single" w:color="auto"/>
                  <w:color w:val="0000EE"/>
                </w:rPr>
                <w:t>4.14</w:t>
              </w:r>
            </w:hyperlink>
          </w:p>
        </w:tc>
        <w:tc>
          <w:tcPr>
            <w:tcW w:w="10100" w:type="dxa"/>
            <w:vAlign w:val="bottom"/>
            <w:tcBorders>
              <w:bottom w:val="single" w:sz="8" w:color="0000EE"/>
            </w:tcBorders>
            <w:gridSpan w:val="17"/>
          </w:tcPr>
          <w:p>
            <w:pPr>
              <w:spacing w:after="0"/>
              <w:rPr>
                <w:rFonts w:ascii="Arial" w:cs="Arial" w:eastAsia="Arial" w:hAnsi="Arial"/>
                <w:sz w:val="18"/>
                <w:szCs w:val="18"/>
                <w:color w:val="0000EE"/>
                <w:w w:val="91"/>
              </w:rPr>
            </w:pPr>
            <w:hyperlink r:id="rId44">
              <w:r>
                <w:rPr>
                  <w:rFonts w:ascii="Arial" w:cs="Arial" w:eastAsia="Arial" w:hAnsi="Arial"/>
                  <w:sz w:val="18"/>
                  <w:szCs w:val="18"/>
                  <w:color w:val="0000EE"/>
                  <w:w w:val="91"/>
                </w:rPr>
                <w:t>Form of Second Amendment to Warrant to Purchase Common Stock, dated as of June 17, 2019 (incorporated by reference to Exhibit 10.1</w:t>
              </w:r>
            </w:hyperlink>
          </w:p>
        </w:tc>
      </w:tr>
      <w:tr>
        <w:trPr>
          <w:trHeight w:val="196"/>
        </w:trPr>
        <w:tc>
          <w:tcPr>
            <w:tcW w:w="1140" w:type="dxa"/>
            <w:vAlign w:val="bottom"/>
          </w:tcPr>
          <w:p>
            <w:pPr>
              <w:spacing w:after="0"/>
              <w:rPr>
                <w:sz w:val="17"/>
                <w:szCs w:val="17"/>
                <w:color w:val="auto"/>
              </w:rPr>
            </w:pPr>
          </w:p>
        </w:tc>
        <w:tc>
          <w:tcPr>
            <w:tcW w:w="53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44">
              <w:r>
                <w:rPr>
                  <w:rFonts w:ascii="Arial" w:cs="Arial" w:eastAsia="Arial" w:hAnsi="Arial"/>
                  <w:sz w:val="18"/>
                  <w:szCs w:val="18"/>
                  <w:color w:val="0000EE"/>
                  <w:w w:val="91"/>
                </w:rPr>
                <w:t>to our Current Report on Form 8-K filed with the SEC on June 17, 2019).</w:t>
              </w:r>
            </w:hyperlink>
          </w:p>
        </w:tc>
        <w:tc>
          <w:tcPr>
            <w:tcW w:w="4800" w:type="dxa"/>
            <w:vAlign w:val="bottom"/>
            <w:gridSpan w:val="3"/>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45">
              <w:r>
                <w:rPr>
                  <w:rFonts w:ascii="Arial" w:cs="Arial" w:eastAsia="Arial" w:hAnsi="Arial"/>
                  <w:sz w:val="18"/>
                  <w:szCs w:val="18"/>
                  <w:u w:val="single" w:color="auto"/>
                  <w:color w:val="0000EE"/>
                </w:rPr>
                <w:t>4.15</w:t>
              </w:r>
            </w:hyperlink>
          </w:p>
        </w:tc>
        <w:tc>
          <w:tcPr>
            <w:tcW w:w="10100" w:type="dxa"/>
            <w:vAlign w:val="bottom"/>
            <w:tcBorders>
              <w:bottom w:val="single" w:sz="8" w:color="0000EE"/>
            </w:tcBorders>
            <w:gridSpan w:val="17"/>
          </w:tcPr>
          <w:p>
            <w:pPr>
              <w:spacing w:after="0"/>
              <w:rPr>
                <w:rFonts w:ascii="Arial" w:cs="Arial" w:eastAsia="Arial" w:hAnsi="Arial"/>
                <w:sz w:val="18"/>
                <w:szCs w:val="18"/>
                <w:color w:val="0000EE"/>
                <w:w w:val="92"/>
              </w:rPr>
            </w:pPr>
            <w:hyperlink r:id="rId45">
              <w:r>
                <w:rPr>
                  <w:rFonts w:ascii="Arial" w:cs="Arial" w:eastAsia="Arial" w:hAnsi="Arial"/>
                  <w:sz w:val="18"/>
                  <w:szCs w:val="18"/>
                  <w:color w:val="0000EE"/>
                  <w:w w:val="92"/>
                </w:rPr>
                <w:t>Unsecured Convertible Note due May 31, 2022 (incorporated by reference to Exhibit 4.1 to our Current Report on Form 8-K filed with the</w:t>
              </w:r>
            </w:hyperlink>
          </w:p>
        </w:tc>
      </w:tr>
      <w:tr>
        <w:trPr>
          <w:trHeight w:val="196"/>
        </w:trPr>
        <w:tc>
          <w:tcPr>
            <w:tcW w:w="1140" w:type="dxa"/>
            <w:vAlign w:val="bottom"/>
          </w:tcPr>
          <w:p>
            <w:pPr>
              <w:spacing w:after="0"/>
              <w:rPr>
                <w:sz w:val="17"/>
                <w:szCs w:val="17"/>
                <w:color w:val="auto"/>
              </w:rPr>
            </w:pPr>
          </w:p>
        </w:tc>
        <w:tc>
          <w:tcPr>
            <w:tcW w:w="16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45">
              <w:r>
                <w:rPr>
                  <w:rFonts w:ascii="Arial" w:cs="Arial" w:eastAsia="Arial" w:hAnsi="Arial"/>
                  <w:sz w:val="18"/>
                  <w:szCs w:val="18"/>
                  <w:color w:val="0000EE"/>
                  <w:w w:val="90"/>
                </w:rPr>
                <w:t>SEC on July 8, 2019).</w:t>
              </w:r>
            </w:hyperlink>
          </w:p>
        </w:tc>
        <w:tc>
          <w:tcPr>
            <w:tcW w:w="8500" w:type="dxa"/>
            <w:vAlign w:val="bottom"/>
            <w:gridSpan w:val="14"/>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46">
              <w:r>
                <w:rPr>
                  <w:rFonts w:ascii="Arial" w:cs="Arial" w:eastAsia="Arial" w:hAnsi="Arial"/>
                  <w:sz w:val="18"/>
                  <w:szCs w:val="18"/>
                  <w:u w:val="single" w:color="auto"/>
                  <w:color w:val="0000EE"/>
                </w:rPr>
                <w:t>4.16</w:t>
              </w:r>
            </w:hyperlink>
          </w:p>
        </w:tc>
        <w:tc>
          <w:tcPr>
            <w:tcW w:w="10100" w:type="dxa"/>
            <w:vAlign w:val="bottom"/>
            <w:tcBorders>
              <w:bottom w:val="single" w:sz="8" w:color="0000EE"/>
            </w:tcBorders>
            <w:gridSpan w:val="17"/>
          </w:tcPr>
          <w:p>
            <w:pPr>
              <w:spacing w:after="0"/>
              <w:rPr>
                <w:rFonts w:ascii="Arial" w:cs="Arial" w:eastAsia="Arial" w:hAnsi="Arial"/>
                <w:sz w:val="18"/>
                <w:szCs w:val="18"/>
                <w:color w:val="0000EE"/>
                <w:w w:val="93"/>
              </w:rPr>
            </w:pPr>
            <w:hyperlink r:id="rId46">
              <w:r>
                <w:rPr>
                  <w:rFonts w:ascii="Arial" w:cs="Arial" w:eastAsia="Arial" w:hAnsi="Arial"/>
                  <w:sz w:val="18"/>
                  <w:szCs w:val="18"/>
                  <w:color w:val="0000EE"/>
                  <w:w w:val="93"/>
                </w:rPr>
                <w:t>Warrant to Purchase Common Stock in favor of Calm.com, Inc., dated as of July 8, 2019 (incorporated by reference to Exhibit 4.2 to our</w:t>
              </w:r>
            </w:hyperlink>
          </w:p>
        </w:tc>
      </w:tr>
      <w:tr>
        <w:trPr>
          <w:trHeight w:val="196"/>
        </w:trPr>
        <w:tc>
          <w:tcPr>
            <w:tcW w:w="1140" w:type="dxa"/>
            <w:vAlign w:val="bottom"/>
          </w:tcPr>
          <w:p>
            <w:pPr>
              <w:spacing w:after="0"/>
              <w:rPr>
                <w:sz w:val="17"/>
                <w:szCs w:val="17"/>
                <w:color w:val="auto"/>
              </w:rPr>
            </w:pPr>
          </w:p>
        </w:tc>
        <w:tc>
          <w:tcPr>
            <w:tcW w:w="10100" w:type="dxa"/>
            <w:vAlign w:val="bottom"/>
            <w:gridSpan w:val="17"/>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Current Report on Form 8-K filed with the SEC on July 8, 2019).</w:t>
              </w:r>
            </w:hyperlink>
          </w:p>
        </w:tc>
      </w:tr>
      <w:tr>
        <w:trPr>
          <w:trHeight w:val="20"/>
        </w:trPr>
        <w:tc>
          <w:tcPr>
            <w:tcW w:w="11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47">
              <w:r>
                <w:rPr>
                  <w:rFonts w:ascii="Arial" w:cs="Arial" w:eastAsia="Arial" w:hAnsi="Arial"/>
                  <w:sz w:val="18"/>
                  <w:szCs w:val="18"/>
                  <w:u w:val="single" w:color="auto"/>
                  <w:color w:val="0000EE"/>
                </w:rPr>
                <w:t>4.17</w:t>
              </w:r>
            </w:hyperlink>
          </w:p>
        </w:tc>
        <w:tc>
          <w:tcPr>
            <w:tcW w:w="10100" w:type="dxa"/>
            <w:vAlign w:val="bottom"/>
            <w:tcBorders>
              <w:bottom w:val="single" w:sz="8" w:color="0000EE"/>
            </w:tcBorders>
            <w:gridSpan w:val="17"/>
          </w:tcPr>
          <w:p>
            <w:pPr>
              <w:spacing w:after="0"/>
              <w:rPr>
                <w:rFonts w:ascii="Arial" w:cs="Arial" w:eastAsia="Arial" w:hAnsi="Arial"/>
                <w:sz w:val="18"/>
                <w:szCs w:val="18"/>
                <w:color w:val="0000EE"/>
                <w:w w:val="92"/>
              </w:rPr>
            </w:pPr>
            <w:hyperlink r:id="rId47">
              <w:r>
                <w:rPr>
                  <w:rFonts w:ascii="Arial" w:cs="Arial" w:eastAsia="Arial" w:hAnsi="Arial"/>
                  <w:sz w:val="18"/>
                  <w:szCs w:val="18"/>
                  <w:color w:val="0000EE"/>
                  <w:w w:val="92"/>
                </w:rPr>
                <w:t>Form of December 2016 Warrant Amendment, dated as of July 8, 2019 (incorporated by reference from Exhibit 4.4 to our Current Report</w:t>
              </w:r>
            </w:hyperlink>
          </w:p>
        </w:tc>
      </w:tr>
      <w:tr>
        <w:trPr>
          <w:trHeight w:val="196"/>
        </w:trPr>
        <w:tc>
          <w:tcPr>
            <w:tcW w:w="1140" w:type="dxa"/>
            <w:vAlign w:val="bottom"/>
          </w:tcPr>
          <w:p>
            <w:pPr>
              <w:spacing w:after="0"/>
              <w:rPr>
                <w:sz w:val="17"/>
                <w:szCs w:val="17"/>
                <w:color w:val="auto"/>
              </w:rPr>
            </w:pPr>
          </w:p>
        </w:tc>
        <w:tc>
          <w:tcPr>
            <w:tcW w:w="10100" w:type="dxa"/>
            <w:vAlign w:val="bottom"/>
            <w:gridSpan w:val="17"/>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on Form 8-K filed with the SEC on July 8, 2019).</w:t>
              </w:r>
            </w:hyperlink>
          </w:p>
        </w:tc>
      </w:tr>
      <w:tr>
        <w:trPr>
          <w:trHeight w:val="20"/>
        </w:trPr>
        <w:tc>
          <w:tcPr>
            <w:tcW w:w="11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48">
              <w:r>
                <w:rPr>
                  <w:rFonts w:ascii="Arial" w:cs="Arial" w:eastAsia="Arial" w:hAnsi="Arial"/>
                  <w:sz w:val="18"/>
                  <w:szCs w:val="18"/>
                  <w:u w:val="single" w:color="auto"/>
                  <w:color w:val="0000EE"/>
                </w:rPr>
                <w:t>4.18</w:t>
              </w:r>
            </w:hyperlink>
          </w:p>
        </w:tc>
        <w:tc>
          <w:tcPr>
            <w:tcW w:w="10100" w:type="dxa"/>
            <w:vAlign w:val="bottom"/>
            <w:tcBorders>
              <w:bottom w:val="single" w:sz="8" w:color="0000EE"/>
            </w:tcBorders>
            <w:gridSpan w:val="17"/>
          </w:tcPr>
          <w:p>
            <w:pPr>
              <w:spacing w:after="0"/>
              <w:rPr>
                <w:rFonts w:ascii="Arial" w:cs="Arial" w:eastAsia="Arial" w:hAnsi="Arial"/>
                <w:sz w:val="18"/>
                <w:szCs w:val="18"/>
                <w:color w:val="0000EE"/>
                <w:w w:val="91"/>
              </w:rPr>
            </w:pPr>
            <w:hyperlink r:id="rId48">
              <w:r>
                <w:rPr>
                  <w:rFonts w:ascii="Arial" w:cs="Arial" w:eastAsia="Arial" w:hAnsi="Arial"/>
                  <w:sz w:val="18"/>
                  <w:szCs w:val="18"/>
                  <w:color w:val="0000EE"/>
                  <w:w w:val="91"/>
                </w:rPr>
                <w:t>Form of Pre-Funded Warrant to Purchase Common Stock, dated March 19, 2020 (incorporated by reference from Exhibit 4.1 to our Current</w:t>
              </w:r>
            </w:hyperlink>
          </w:p>
        </w:tc>
      </w:tr>
      <w:tr>
        <w:trPr>
          <w:trHeight w:val="196"/>
        </w:trPr>
        <w:tc>
          <w:tcPr>
            <w:tcW w:w="1140" w:type="dxa"/>
            <w:vAlign w:val="bottom"/>
          </w:tcPr>
          <w:p>
            <w:pPr>
              <w:spacing w:after="0"/>
              <w:rPr>
                <w:sz w:val="17"/>
                <w:szCs w:val="17"/>
                <w:color w:val="auto"/>
              </w:rPr>
            </w:pPr>
          </w:p>
        </w:tc>
        <w:tc>
          <w:tcPr>
            <w:tcW w:w="43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48">
              <w:r>
                <w:rPr>
                  <w:rFonts w:ascii="Arial" w:cs="Arial" w:eastAsia="Arial" w:hAnsi="Arial"/>
                  <w:sz w:val="18"/>
                  <w:szCs w:val="18"/>
                  <w:color w:val="0000EE"/>
                  <w:w w:val="92"/>
                </w:rPr>
                <w:t>Report on Form 8-K filed with the SEC on March 19, 2020).</w:t>
              </w:r>
            </w:hyperlink>
          </w:p>
        </w:tc>
        <w:tc>
          <w:tcPr>
            <w:tcW w:w="5720" w:type="dxa"/>
            <w:vAlign w:val="bottom"/>
            <w:gridSpan w:val="8"/>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49">
              <w:r>
                <w:rPr>
                  <w:rFonts w:ascii="Arial" w:cs="Arial" w:eastAsia="Arial" w:hAnsi="Arial"/>
                  <w:sz w:val="18"/>
                  <w:szCs w:val="18"/>
                  <w:u w:val="single" w:color="auto"/>
                  <w:color w:val="0000EE"/>
                </w:rPr>
                <w:t>4.19</w:t>
              </w:r>
            </w:hyperlink>
          </w:p>
        </w:tc>
        <w:tc>
          <w:tcPr>
            <w:tcW w:w="10100" w:type="dxa"/>
            <w:vAlign w:val="bottom"/>
            <w:tcBorders>
              <w:bottom w:val="single" w:sz="8" w:color="0000EE"/>
            </w:tcBorders>
            <w:gridSpan w:val="17"/>
          </w:tcPr>
          <w:p>
            <w:pPr>
              <w:spacing w:after="0"/>
              <w:rPr>
                <w:rFonts w:ascii="Arial" w:cs="Arial" w:eastAsia="Arial" w:hAnsi="Arial"/>
                <w:sz w:val="18"/>
                <w:szCs w:val="18"/>
                <w:color w:val="0000EE"/>
                <w:w w:val="91"/>
              </w:rPr>
            </w:pPr>
            <w:hyperlink r:id="rId49">
              <w:r>
                <w:rPr>
                  <w:rFonts w:ascii="Arial" w:cs="Arial" w:eastAsia="Arial" w:hAnsi="Arial"/>
                  <w:sz w:val="18"/>
                  <w:szCs w:val="18"/>
                  <w:color w:val="0000EE"/>
                  <w:w w:val="91"/>
                </w:rPr>
                <w:t>Form of Pre-Funded Warrant to Purchase Common Stock, dated March 25, 2020 (incorporated by reference from Exhibit 4.1 to our Current</w:t>
              </w:r>
            </w:hyperlink>
          </w:p>
        </w:tc>
      </w:tr>
      <w:tr>
        <w:trPr>
          <w:trHeight w:val="196"/>
        </w:trPr>
        <w:tc>
          <w:tcPr>
            <w:tcW w:w="1140" w:type="dxa"/>
            <w:vAlign w:val="bottom"/>
          </w:tcPr>
          <w:p>
            <w:pPr>
              <w:spacing w:after="0"/>
              <w:rPr>
                <w:sz w:val="17"/>
                <w:szCs w:val="17"/>
                <w:color w:val="auto"/>
              </w:rPr>
            </w:pPr>
          </w:p>
        </w:tc>
        <w:tc>
          <w:tcPr>
            <w:tcW w:w="43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49">
              <w:r>
                <w:rPr>
                  <w:rFonts w:ascii="Arial" w:cs="Arial" w:eastAsia="Arial" w:hAnsi="Arial"/>
                  <w:sz w:val="18"/>
                  <w:szCs w:val="18"/>
                  <w:color w:val="0000EE"/>
                  <w:w w:val="92"/>
                </w:rPr>
                <w:t>Report on Form 8-K filed with the SEC on March 25, 2020).</w:t>
              </w:r>
            </w:hyperlink>
          </w:p>
        </w:tc>
        <w:tc>
          <w:tcPr>
            <w:tcW w:w="5720" w:type="dxa"/>
            <w:vAlign w:val="bottom"/>
            <w:gridSpan w:val="8"/>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50">
              <w:r>
                <w:rPr>
                  <w:rFonts w:ascii="Arial" w:cs="Arial" w:eastAsia="Arial" w:hAnsi="Arial"/>
                  <w:sz w:val="18"/>
                  <w:szCs w:val="18"/>
                  <w:u w:val="single" w:color="auto"/>
                  <w:color w:val="0000EE"/>
                </w:rPr>
                <w:t>4.20</w:t>
              </w:r>
            </w:hyperlink>
          </w:p>
        </w:tc>
        <w:tc>
          <w:tcPr>
            <w:tcW w:w="10100" w:type="dxa"/>
            <w:vAlign w:val="bottom"/>
            <w:tcBorders>
              <w:bottom w:val="single" w:sz="8" w:color="0000EE"/>
            </w:tcBorders>
            <w:gridSpan w:val="17"/>
          </w:tcPr>
          <w:p>
            <w:pPr>
              <w:spacing w:after="0"/>
              <w:rPr>
                <w:rFonts w:ascii="Arial" w:cs="Arial" w:eastAsia="Arial" w:hAnsi="Arial"/>
                <w:sz w:val="18"/>
                <w:szCs w:val="18"/>
                <w:color w:val="0000EE"/>
                <w:w w:val="91"/>
              </w:rPr>
            </w:pPr>
            <w:hyperlink r:id="rId50">
              <w:r>
                <w:rPr>
                  <w:rFonts w:ascii="Arial" w:cs="Arial" w:eastAsia="Arial" w:hAnsi="Arial"/>
                  <w:sz w:val="18"/>
                  <w:szCs w:val="18"/>
                  <w:color w:val="0000EE"/>
                  <w:w w:val="91"/>
                </w:rPr>
                <w:t>Form of Pre-Funded Warrant to Purchase Common Stock, dated March 27, 2020 (incorporated by reference from Exhibit 4.1 to our Current</w:t>
              </w:r>
            </w:hyperlink>
          </w:p>
        </w:tc>
      </w:tr>
      <w:tr>
        <w:trPr>
          <w:trHeight w:val="196"/>
        </w:trPr>
        <w:tc>
          <w:tcPr>
            <w:tcW w:w="1140" w:type="dxa"/>
            <w:vAlign w:val="bottom"/>
          </w:tcPr>
          <w:p>
            <w:pPr>
              <w:spacing w:after="0"/>
              <w:rPr>
                <w:sz w:val="17"/>
                <w:szCs w:val="17"/>
                <w:color w:val="auto"/>
              </w:rPr>
            </w:pPr>
          </w:p>
        </w:tc>
        <w:tc>
          <w:tcPr>
            <w:tcW w:w="10100" w:type="dxa"/>
            <w:vAlign w:val="bottom"/>
            <w:gridSpan w:val="17"/>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Report on Form 8-K filed with the SEC on March 27, 2020)</w:t>
              </w:r>
            </w:hyperlink>
          </w:p>
        </w:tc>
      </w:tr>
      <w:tr>
        <w:trPr>
          <w:trHeight w:val="20"/>
        </w:trPr>
        <w:tc>
          <w:tcPr>
            <w:tcW w:w="11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500" w:type="dxa"/>
            <w:vAlign w:val="bottom"/>
            <w:gridSpan w:val="7"/>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51">
              <w:r>
                <w:rPr>
                  <w:rFonts w:ascii="Arial" w:cs="Arial" w:eastAsia="Arial" w:hAnsi="Arial"/>
                  <w:sz w:val="18"/>
                  <w:szCs w:val="18"/>
                  <w:u w:val="single" w:color="auto"/>
                  <w:color w:val="0000EE"/>
                </w:rPr>
                <w:t>4.21</w:t>
              </w:r>
            </w:hyperlink>
          </w:p>
        </w:tc>
        <w:tc>
          <w:tcPr>
            <w:tcW w:w="10100" w:type="dxa"/>
            <w:vAlign w:val="bottom"/>
            <w:gridSpan w:val="17"/>
          </w:tcPr>
          <w:p>
            <w:pPr>
              <w:spacing w:after="0"/>
              <w:rPr>
                <w:rFonts w:ascii="Arial" w:cs="Arial" w:eastAsia="Arial" w:hAnsi="Arial"/>
                <w:sz w:val="18"/>
                <w:szCs w:val="18"/>
                <w:color w:val="0000EE"/>
                <w:w w:val="93"/>
              </w:rPr>
            </w:pPr>
            <w:hyperlink r:id="rId51">
              <w:r>
                <w:rPr>
                  <w:rFonts w:ascii="Arial" w:cs="Arial" w:eastAsia="Arial" w:hAnsi="Arial"/>
                  <w:sz w:val="18"/>
                  <w:szCs w:val="18"/>
                  <w:color w:val="0000EE"/>
                  <w:w w:val="93"/>
                </w:rPr>
                <w:t>Form of Pre-Funded Warrant to Purchase Common Stock, dated April 6, 2020 (incorporated by reference from Exhibit 4.1 to our Current</w:t>
              </w:r>
            </w:hyperlink>
          </w:p>
        </w:tc>
      </w:tr>
      <w:tr>
        <w:trPr>
          <w:trHeight w:val="196"/>
        </w:trPr>
        <w:tc>
          <w:tcPr>
            <w:tcW w:w="114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r:id="rId51">
              <w:r>
                <w:rPr>
                  <w:rFonts w:ascii="Arial" w:cs="Arial" w:eastAsia="Arial" w:hAnsi="Arial"/>
                  <w:sz w:val="18"/>
                  <w:szCs w:val="18"/>
                  <w:color w:val="0000EE"/>
                  <w:w w:val="93"/>
                </w:rPr>
                <w:t>Report on Form 8-K filed with the SEC on April 7, 2020).</w:t>
              </w:r>
            </w:hyperlink>
          </w:p>
        </w:tc>
        <w:tc>
          <w:tcPr>
            <w:tcW w:w="588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52">
              <w:r>
                <w:rPr>
                  <w:rFonts w:ascii="Arial" w:cs="Arial" w:eastAsia="Arial" w:hAnsi="Arial"/>
                  <w:sz w:val="18"/>
                  <w:szCs w:val="18"/>
                  <w:u w:val="single" w:color="auto"/>
                  <w:color w:val="0000EE"/>
                </w:rPr>
                <w:t>4.22</w:t>
              </w:r>
            </w:hyperlink>
          </w:p>
        </w:tc>
        <w:tc>
          <w:tcPr>
            <w:tcW w:w="10100" w:type="dxa"/>
            <w:vAlign w:val="bottom"/>
            <w:tcBorders>
              <w:bottom w:val="single" w:sz="8" w:color="0000EE"/>
            </w:tcBorders>
            <w:gridSpan w:val="17"/>
          </w:tcPr>
          <w:p>
            <w:pPr>
              <w:spacing w:after="0"/>
              <w:rPr>
                <w:rFonts w:ascii="Arial" w:cs="Arial" w:eastAsia="Arial" w:hAnsi="Arial"/>
                <w:sz w:val="18"/>
                <w:szCs w:val="18"/>
                <w:color w:val="0000EE"/>
                <w:w w:val="92"/>
              </w:rPr>
            </w:pPr>
            <w:hyperlink r:id="rId52">
              <w:r>
                <w:rPr>
                  <w:rFonts w:ascii="Arial" w:cs="Arial" w:eastAsia="Arial" w:hAnsi="Arial"/>
                  <w:sz w:val="18"/>
                  <w:szCs w:val="18"/>
                  <w:color w:val="0000EE"/>
                  <w:w w:val="92"/>
                </w:rPr>
                <w:t>Description of the Registrant’s Securities (incorporated by reference to Exhibit 4.22 to our Annual Report on Form 10-K filed with the SEC</w:t>
              </w:r>
            </w:hyperlink>
          </w:p>
        </w:tc>
      </w:tr>
      <w:tr>
        <w:trPr>
          <w:trHeight w:val="196"/>
        </w:trPr>
        <w:tc>
          <w:tcPr>
            <w:tcW w:w="1140" w:type="dxa"/>
            <w:vAlign w:val="bottom"/>
          </w:tcPr>
          <w:p>
            <w:pPr>
              <w:spacing w:after="0"/>
              <w:rPr>
                <w:sz w:val="17"/>
                <w:szCs w:val="17"/>
                <w:color w:val="auto"/>
              </w:rPr>
            </w:pPr>
          </w:p>
        </w:tc>
        <w:tc>
          <w:tcPr>
            <w:tcW w:w="10100" w:type="dxa"/>
            <w:vAlign w:val="bottom"/>
            <w:gridSpan w:val="17"/>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on April 20, 2020).</w:t>
              </w:r>
            </w:hyperlink>
          </w:p>
        </w:tc>
      </w:tr>
      <w:tr>
        <w:trPr>
          <w:trHeight w:val="20"/>
        </w:trPr>
        <w:tc>
          <w:tcPr>
            <w:tcW w:w="11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720" w:type="dxa"/>
            <w:vAlign w:val="bottom"/>
            <w:gridSpan w:val="10"/>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53">
              <w:r>
                <w:rPr>
                  <w:rFonts w:ascii="Arial" w:cs="Arial" w:eastAsia="Arial" w:hAnsi="Arial"/>
                  <w:sz w:val="18"/>
                  <w:szCs w:val="18"/>
                  <w:u w:val="single" w:color="auto"/>
                  <w:color w:val="0000EE"/>
                </w:rPr>
                <w:t>4.23</w:t>
              </w:r>
            </w:hyperlink>
          </w:p>
        </w:tc>
        <w:tc>
          <w:tcPr>
            <w:tcW w:w="10100" w:type="dxa"/>
            <w:vAlign w:val="bottom"/>
            <w:tcBorders>
              <w:bottom w:val="single" w:sz="8" w:color="0000EE"/>
            </w:tcBorders>
            <w:gridSpan w:val="17"/>
          </w:tcPr>
          <w:p>
            <w:pPr>
              <w:spacing w:after="0"/>
              <w:rPr>
                <w:rFonts w:ascii="Arial" w:cs="Arial" w:eastAsia="Arial" w:hAnsi="Arial"/>
                <w:sz w:val="18"/>
                <w:szCs w:val="18"/>
                <w:color w:val="0000EE"/>
                <w:w w:val="92"/>
              </w:rPr>
            </w:pPr>
            <w:hyperlink r:id="rId53">
              <w:r>
                <w:rPr>
                  <w:rFonts w:ascii="Arial" w:cs="Arial" w:eastAsia="Arial" w:hAnsi="Arial"/>
                  <w:sz w:val="18"/>
                  <w:szCs w:val="18"/>
                  <w:color w:val="0000EE"/>
                  <w:w w:val="92"/>
                </w:rPr>
                <w:t>Amended and Restated Calm Note, dated as of April 17, 2020 (incorporated by reference from Exhibit 4.1 to our Current Report on Form</w:t>
              </w:r>
            </w:hyperlink>
          </w:p>
        </w:tc>
      </w:tr>
      <w:tr>
        <w:trPr>
          <w:trHeight w:val="196"/>
        </w:trPr>
        <w:tc>
          <w:tcPr>
            <w:tcW w:w="1140" w:type="dxa"/>
            <w:vAlign w:val="bottom"/>
          </w:tcPr>
          <w:p>
            <w:pPr>
              <w:spacing w:after="0"/>
              <w:rPr>
                <w:sz w:val="17"/>
                <w:szCs w:val="17"/>
                <w:color w:val="auto"/>
              </w:rPr>
            </w:pPr>
          </w:p>
        </w:tc>
        <w:tc>
          <w:tcPr>
            <w:tcW w:w="310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r:id="rId53">
              <w:r>
                <w:rPr>
                  <w:rFonts w:ascii="Arial" w:cs="Arial" w:eastAsia="Arial" w:hAnsi="Arial"/>
                  <w:sz w:val="18"/>
                  <w:szCs w:val="18"/>
                  <w:color w:val="0000EE"/>
                  <w:w w:val="94"/>
                </w:rPr>
                <w:t>8-K filed with the SEC on April 17, 2020).</w:t>
              </w:r>
            </w:hyperlink>
          </w:p>
        </w:tc>
        <w:tc>
          <w:tcPr>
            <w:tcW w:w="7000" w:type="dxa"/>
            <w:vAlign w:val="bottom"/>
            <w:gridSpan w:val="12"/>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54">
              <w:r>
                <w:rPr>
                  <w:rFonts w:ascii="Arial" w:cs="Arial" w:eastAsia="Arial" w:hAnsi="Arial"/>
                  <w:sz w:val="18"/>
                  <w:szCs w:val="18"/>
                  <w:u w:val="single" w:color="auto"/>
                  <w:color w:val="0000EE"/>
                </w:rPr>
                <w:t>10.1†</w:t>
              </w:r>
            </w:hyperlink>
          </w:p>
        </w:tc>
        <w:tc>
          <w:tcPr>
            <w:tcW w:w="10100" w:type="dxa"/>
            <w:vAlign w:val="bottom"/>
            <w:tcBorders>
              <w:bottom w:val="single" w:sz="8" w:color="0000EE"/>
            </w:tcBorders>
            <w:gridSpan w:val="17"/>
          </w:tcPr>
          <w:p>
            <w:pPr>
              <w:spacing w:after="0"/>
              <w:rPr>
                <w:rFonts w:ascii="Arial" w:cs="Arial" w:eastAsia="Arial" w:hAnsi="Arial"/>
                <w:sz w:val="18"/>
                <w:szCs w:val="18"/>
                <w:color w:val="0000EE"/>
                <w:w w:val="93"/>
              </w:rPr>
            </w:pPr>
            <w:hyperlink r:id="rId54">
              <w:r>
                <w:rPr>
                  <w:rFonts w:ascii="Arial" w:cs="Arial" w:eastAsia="Arial" w:hAnsi="Arial"/>
                  <w:sz w:val="18"/>
                  <w:szCs w:val="18"/>
                  <w:color w:val="0000EE"/>
                  <w:w w:val="93"/>
                </w:rPr>
                <w:t>Vringo, Inc. 2012 Employee, Director and Consultant Equity Incentive Plan, as amended (incorporated by reference from Appendix C of</w:t>
              </w:r>
            </w:hyperlink>
          </w:p>
        </w:tc>
      </w:tr>
      <w:tr>
        <w:trPr>
          <w:trHeight w:val="196"/>
        </w:trPr>
        <w:tc>
          <w:tcPr>
            <w:tcW w:w="1140" w:type="dxa"/>
            <w:vAlign w:val="bottom"/>
          </w:tcPr>
          <w:p>
            <w:pPr>
              <w:spacing w:after="0"/>
              <w:rPr>
                <w:sz w:val="17"/>
                <w:szCs w:val="17"/>
                <w:color w:val="auto"/>
              </w:rPr>
            </w:pPr>
          </w:p>
        </w:tc>
        <w:tc>
          <w:tcPr>
            <w:tcW w:w="10100" w:type="dxa"/>
            <w:vAlign w:val="bottom"/>
            <w:gridSpan w:val="17"/>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our Proxy Statement on Schedule 14A (DEF 14A) filed with the SEC on September 25, 2015).</w:t>
              </w:r>
            </w:hyperlink>
          </w:p>
        </w:tc>
      </w:tr>
      <w:tr>
        <w:trPr>
          <w:trHeight w:val="695"/>
        </w:trPr>
        <w:tc>
          <w:tcPr>
            <w:tcW w:w="1140" w:type="dxa"/>
            <w:vAlign w:val="bottom"/>
            <w:tcBorders>
              <w:bottom w:val="single" w:sz="8" w:color="auto"/>
            </w:tcBorders>
          </w:tcPr>
          <w:p>
            <w:pPr>
              <w:spacing w:after="0"/>
              <w:rPr>
                <w:sz w:val="24"/>
                <w:szCs w:val="24"/>
                <w:color w:val="auto"/>
              </w:rPr>
            </w:pPr>
          </w:p>
        </w:tc>
        <w:tc>
          <w:tcPr>
            <w:tcW w:w="4700" w:type="dxa"/>
            <w:vAlign w:val="bottom"/>
            <w:tcBorders>
              <w:top w:val="single" w:sz="8" w:color="0000EE"/>
              <w:bottom w:val="single" w:sz="8" w:color="auto"/>
            </w:tcBorders>
            <w:gridSpan w:val="10"/>
          </w:tcPr>
          <w:p>
            <w:pPr>
              <w:ind w:left="4400"/>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520" w:type="dxa"/>
            <w:vAlign w:val="bottom"/>
            <w:tcBorders>
              <w:top w:val="single" w:sz="8" w:color="0000EE"/>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rFonts w:ascii="Arial" w:cs="Arial" w:eastAsia="Arial" w:hAnsi="Arial"/>
                <w:sz w:val="18"/>
                <w:szCs w:val="18"/>
                <w:u w:val="single" w:color="auto"/>
                <w:color w:val="0000EE"/>
              </w:rPr>
            </w:pPr>
            <w:hyperlink r:id="rId55">
              <w:r>
                <w:rPr>
                  <w:rFonts w:ascii="Arial" w:cs="Arial" w:eastAsia="Arial" w:hAnsi="Arial"/>
                  <w:sz w:val="18"/>
                  <w:szCs w:val="18"/>
                  <w:u w:val="single" w:color="auto"/>
                  <w:color w:val="0000EE"/>
                </w:rPr>
                <w:t>10.2†</w:t>
              </w:r>
            </w:hyperlink>
          </w:p>
        </w:tc>
        <w:tc>
          <w:tcPr>
            <w:tcW w:w="10100" w:type="dxa"/>
            <w:vAlign w:val="bottom"/>
            <w:tcBorders>
              <w:bottom w:val="single" w:sz="8" w:color="0000EE"/>
            </w:tcBorders>
            <w:gridSpan w:val="9"/>
          </w:tcPr>
          <w:p>
            <w:pPr>
              <w:spacing w:after="0"/>
              <w:rPr>
                <w:rFonts w:ascii="Arial" w:cs="Arial" w:eastAsia="Arial" w:hAnsi="Arial"/>
                <w:sz w:val="18"/>
                <w:szCs w:val="18"/>
                <w:color w:val="0000EE"/>
                <w:w w:val="95"/>
              </w:rPr>
            </w:pPr>
            <w:hyperlink r:id="rId55">
              <w:r>
                <w:rPr>
                  <w:rFonts w:ascii="Arial" w:cs="Arial" w:eastAsia="Arial" w:hAnsi="Arial"/>
                  <w:sz w:val="18"/>
                  <w:szCs w:val="18"/>
                  <w:color w:val="0000EE"/>
                  <w:w w:val="95"/>
                </w:rPr>
                <w:t>Form of Management Option Agreement (incorporated by reference from our Registration Statement on Form S-1 filed on March 29,</w:t>
              </w:r>
            </w:hyperlink>
          </w:p>
        </w:tc>
      </w:tr>
      <w:tr>
        <w:trPr>
          <w:trHeight w:val="196"/>
        </w:trPr>
        <w:tc>
          <w:tcPr>
            <w:tcW w:w="1140" w:type="dxa"/>
            <w:vAlign w:val="bottom"/>
          </w:tcPr>
          <w:p>
            <w:pPr>
              <w:spacing w:after="0"/>
              <w:rPr>
                <w:sz w:val="17"/>
                <w:szCs w:val="17"/>
                <w:color w:val="auto"/>
              </w:rPr>
            </w:pPr>
          </w:p>
        </w:tc>
        <w:tc>
          <w:tcPr>
            <w:tcW w:w="4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55">
              <w:r>
                <w:rPr>
                  <w:rFonts w:ascii="Arial" w:cs="Arial" w:eastAsia="Arial" w:hAnsi="Arial"/>
                  <w:sz w:val="18"/>
                  <w:szCs w:val="18"/>
                  <w:color w:val="0000EE"/>
                  <w:w w:val="90"/>
                </w:rPr>
                <w:t>2010).</w:t>
              </w:r>
            </w:hyperlink>
          </w:p>
        </w:tc>
        <w:tc>
          <w:tcPr>
            <w:tcW w:w="124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140" w:type="dxa"/>
            <w:vAlign w:val="bottom"/>
          </w:tcPr>
          <w:p>
            <w:pPr>
              <w:spacing w:after="0"/>
              <w:rPr>
                <w:rFonts w:ascii="Arial" w:cs="Arial" w:eastAsia="Arial" w:hAnsi="Arial"/>
                <w:sz w:val="18"/>
                <w:szCs w:val="18"/>
                <w:u w:val="single" w:color="auto"/>
                <w:color w:val="0000EE"/>
              </w:rPr>
            </w:pPr>
            <w:hyperlink r:id="rId56">
              <w:r>
                <w:rPr>
                  <w:rFonts w:ascii="Arial" w:cs="Arial" w:eastAsia="Arial" w:hAnsi="Arial"/>
                  <w:sz w:val="18"/>
                  <w:szCs w:val="18"/>
                  <w:u w:val="single" w:color="auto"/>
                  <w:color w:val="0000EE"/>
                </w:rPr>
                <w:t>10.3†</w:t>
              </w:r>
            </w:hyperlink>
          </w:p>
        </w:tc>
        <w:tc>
          <w:tcPr>
            <w:tcW w:w="10100" w:type="dxa"/>
            <w:vAlign w:val="bottom"/>
            <w:gridSpan w:val="9"/>
          </w:tcPr>
          <w:p>
            <w:pPr>
              <w:spacing w:after="0"/>
              <w:rPr>
                <w:rFonts w:ascii="Arial" w:cs="Arial" w:eastAsia="Arial" w:hAnsi="Arial"/>
                <w:sz w:val="18"/>
                <w:szCs w:val="18"/>
                <w:color w:val="0000EE"/>
                <w:w w:val="97"/>
              </w:rPr>
            </w:pPr>
            <w:hyperlink r:id="rId56">
              <w:r>
                <w:rPr>
                  <w:rFonts w:ascii="Arial" w:cs="Arial" w:eastAsia="Arial" w:hAnsi="Arial"/>
                  <w:sz w:val="18"/>
                  <w:szCs w:val="18"/>
                  <w:u w:val="single" w:color="auto"/>
                  <w:color w:val="0000EE"/>
                  <w:w w:val="97"/>
                </w:rPr>
                <w:t>Form of Stock Option Agreement (incorporated by reference from our Registration Statement on Form S-8 filed on July 26, 2012)</w:t>
              </w:r>
              <w:r>
                <w:rPr>
                  <w:rFonts w:ascii="Arial" w:cs="Arial" w:eastAsia="Arial" w:hAnsi="Arial"/>
                  <w:sz w:val="18"/>
                  <w:szCs w:val="18"/>
                  <w:color w:val="0000EE"/>
                  <w:w w:val="97"/>
                </w:rPr>
                <w:t>.</w:t>
              </w:r>
            </w:hyperlink>
          </w:p>
        </w:tc>
      </w:tr>
      <w:tr>
        <w:trPr>
          <w:trHeight w:val="432"/>
        </w:trPr>
        <w:tc>
          <w:tcPr>
            <w:tcW w:w="1140" w:type="dxa"/>
            <w:vAlign w:val="bottom"/>
          </w:tcPr>
          <w:p>
            <w:pPr>
              <w:spacing w:after="0"/>
              <w:rPr>
                <w:rFonts w:ascii="Arial" w:cs="Arial" w:eastAsia="Arial" w:hAnsi="Arial"/>
                <w:sz w:val="18"/>
                <w:szCs w:val="18"/>
                <w:u w:val="single" w:color="auto"/>
                <w:color w:val="0000EE"/>
              </w:rPr>
            </w:pPr>
            <w:hyperlink r:id="rId57">
              <w:r>
                <w:rPr>
                  <w:rFonts w:ascii="Arial" w:cs="Arial" w:eastAsia="Arial" w:hAnsi="Arial"/>
                  <w:sz w:val="18"/>
                  <w:szCs w:val="18"/>
                  <w:u w:val="single" w:color="auto"/>
                  <w:color w:val="0000EE"/>
                </w:rPr>
                <w:t>10.4†</w:t>
              </w:r>
            </w:hyperlink>
          </w:p>
        </w:tc>
        <w:tc>
          <w:tcPr>
            <w:tcW w:w="10100" w:type="dxa"/>
            <w:vAlign w:val="bottom"/>
            <w:gridSpan w:val="9"/>
          </w:tcPr>
          <w:p>
            <w:pPr>
              <w:spacing w:after="0"/>
              <w:rPr>
                <w:rFonts w:ascii="Arial" w:cs="Arial" w:eastAsia="Arial" w:hAnsi="Arial"/>
                <w:sz w:val="18"/>
                <w:szCs w:val="18"/>
                <w:color w:val="0000EE"/>
                <w:w w:val="92"/>
              </w:rPr>
            </w:pPr>
            <w:hyperlink r:id="rId57">
              <w:r>
                <w:rPr>
                  <w:rFonts w:ascii="Arial" w:cs="Arial" w:eastAsia="Arial" w:hAnsi="Arial"/>
                  <w:sz w:val="18"/>
                  <w:szCs w:val="18"/>
                  <w:u w:val="single" w:color="auto"/>
                  <w:color w:val="0000EE"/>
                  <w:w w:val="92"/>
                </w:rPr>
                <w:t>Form of Restricted Stock Unit Agreement (incorporated by reference from our Registration Statement on Form S-8 filed on July 26, 2012)</w:t>
              </w:r>
              <w:r>
                <w:rPr>
                  <w:rFonts w:ascii="Arial" w:cs="Arial" w:eastAsia="Arial" w:hAnsi="Arial"/>
                  <w:sz w:val="18"/>
                  <w:szCs w:val="18"/>
                  <w:color w:val="0000EE"/>
                  <w:w w:val="92"/>
                </w:rPr>
                <w:t>.</w:t>
              </w:r>
            </w:hyperlink>
          </w:p>
        </w:tc>
      </w:tr>
      <w:tr>
        <w:trPr>
          <w:trHeight w:val="391"/>
        </w:trPr>
        <w:tc>
          <w:tcPr>
            <w:tcW w:w="1140" w:type="dxa"/>
            <w:vAlign w:val="bottom"/>
          </w:tcPr>
          <w:p>
            <w:pPr>
              <w:spacing w:after="0"/>
              <w:rPr>
                <w:rFonts w:ascii="Arial" w:cs="Arial" w:eastAsia="Arial" w:hAnsi="Arial"/>
                <w:sz w:val="18"/>
                <w:szCs w:val="18"/>
                <w:u w:val="single" w:color="auto"/>
                <w:color w:val="0000EE"/>
              </w:rPr>
            </w:pPr>
            <w:hyperlink r:id="rId58">
              <w:r>
                <w:rPr>
                  <w:rFonts w:ascii="Arial" w:cs="Arial" w:eastAsia="Arial" w:hAnsi="Arial"/>
                  <w:sz w:val="18"/>
                  <w:szCs w:val="18"/>
                  <w:u w:val="single" w:color="auto"/>
                  <w:color w:val="0000EE"/>
                </w:rPr>
                <w:t>10.5</w:t>
              </w:r>
            </w:hyperlink>
          </w:p>
        </w:tc>
        <w:tc>
          <w:tcPr>
            <w:tcW w:w="10100" w:type="dxa"/>
            <w:vAlign w:val="bottom"/>
            <w:tcBorders>
              <w:bottom w:val="single" w:sz="8" w:color="0000EE"/>
            </w:tcBorders>
            <w:gridSpan w:val="9"/>
          </w:tcPr>
          <w:p>
            <w:pPr>
              <w:spacing w:after="0"/>
              <w:rPr>
                <w:rFonts w:ascii="Arial" w:cs="Arial" w:eastAsia="Arial" w:hAnsi="Arial"/>
                <w:sz w:val="18"/>
                <w:szCs w:val="18"/>
                <w:color w:val="0000EE"/>
                <w:w w:val="92"/>
              </w:rPr>
            </w:pPr>
            <w:hyperlink r:id="rId58">
              <w:r>
                <w:rPr>
                  <w:rFonts w:ascii="Arial" w:cs="Arial" w:eastAsia="Arial" w:hAnsi="Arial"/>
                  <w:sz w:val="18"/>
                  <w:szCs w:val="18"/>
                  <w:color w:val="0000EE"/>
                  <w:w w:val="92"/>
                </w:rPr>
                <w:t>Form of Indemnification Agreement, dated January 31, 2013, by and between Vringo, Inc. and each of its Directors and Executive Officer</w:t>
              </w:r>
            </w:hyperlink>
          </w:p>
        </w:tc>
      </w:tr>
      <w:tr>
        <w:trPr>
          <w:trHeight w:val="237"/>
        </w:trPr>
        <w:tc>
          <w:tcPr>
            <w:tcW w:w="1140" w:type="dxa"/>
            <w:vAlign w:val="bottom"/>
          </w:tcPr>
          <w:p>
            <w:pPr>
              <w:spacing w:after="0"/>
              <w:rPr>
                <w:sz w:val="20"/>
                <w:szCs w:val="20"/>
                <w:color w:val="auto"/>
              </w:rPr>
            </w:pPr>
          </w:p>
        </w:tc>
        <w:tc>
          <w:tcPr>
            <w:tcW w:w="10100" w:type="dxa"/>
            <w:vAlign w:val="bottom"/>
            <w:gridSpan w:val="9"/>
          </w:tcPr>
          <w:p>
            <w:pPr>
              <w:spacing w:after="0"/>
              <w:rPr>
                <w:rFonts w:ascii="Arial" w:cs="Arial" w:eastAsia="Arial" w:hAnsi="Arial"/>
                <w:sz w:val="18"/>
                <w:szCs w:val="18"/>
                <w:u w:val="single" w:color="auto"/>
                <w:color w:val="0000EE"/>
                <w:w w:val="95"/>
              </w:rPr>
            </w:pPr>
            <w:hyperlink r:id="rId58">
              <w:r>
                <w:rPr>
                  <w:rFonts w:ascii="Arial" w:cs="Arial" w:eastAsia="Arial" w:hAnsi="Arial"/>
                  <w:sz w:val="18"/>
                  <w:szCs w:val="18"/>
                  <w:u w:val="single" w:color="auto"/>
                  <w:color w:val="0000EE"/>
                  <w:w w:val="95"/>
                </w:rPr>
                <w:t>(incorporated by reference from our Annual Report on Form 10-K for the period ended December 31, 2012 filed on March 21, 2013).</w:t>
              </w:r>
            </w:hyperlink>
          </w:p>
        </w:tc>
      </w:tr>
      <w:tr>
        <w:trPr>
          <w:trHeight w:val="391"/>
        </w:trPr>
        <w:tc>
          <w:tcPr>
            <w:tcW w:w="1140" w:type="dxa"/>
            <w:vAlign w:val="bottom"/>
          </w:tcPr>
          <w:p>
            <w:pPr>
              <w:spacing w:after="0"/>
              <w:rPr>
                <w:rFonts w:ascii="Arial" w:cs="Arial" w:eastAsia="Arial" w:hAnsi="Arial"/>
                <w:sz w:val="18"/>
                <w:szCs w:val="18"/>
                <w:u w:val="single" w:color="auto"/>
                <w:color w:val="0000EE"/>
              </w:rPr>
            </w:pPr>
            <w:hyperlink r:id="rId59">
              <w:r>
                <w:rPr>
                  <w:rFonts w:ascii="Arial" w:cs="Arial" w:eastAsia="Arial" w:hAnsi="Arial"/>
                  <w:sz w:val="18"/>
                  <w:szCs w:val="18"/>
                  <w:u w:val="single" w:color="auto"/>
                  <w:color w:val="0000EE"/>
                </w:rPr>
                <w:t>10.6†</w:t>
              </w:r>
            </w:hyperlink>
          </w:p>
        </w:tc>
        <w:tc>
          <w:tcPr>
            <w:tcW w:w="10100" w:type="dxa"/>
            <w:vAlign w:val="bottom"/>
            <w:tcBorders>
              <w:bottom w:val="single" w:sz="8" w:color="0000EE"/>
            </w:tcBorders>
            <w:gridSpan w:val="9"/>
          </w:tcPr>
          <w:p>
            <w:pPr>
              <w:spacing w:after="0"/>
              <w:rPr>
                <w:rFonts w:ascii="Arial" w:cs="Arial" w:eastAsia="Arial" w:hAnsi="Arial"/>
                <w:sz w:val="18"/>
                <w:szCs w:val="18"/>
                <w:color w:val="0000EE"/>
                <w:w w:val="96"/>
              </w:rPr>
            </w:pPr>
            <w:hyperlink r:id="rId59">
              <w:r>
                <w:rPr>
                  <w:rFonts w:ascii="Arial" w:cs="Arial" w:eastAsia="Arial" w:hAnsi="Arial"/>
                  <w:sz w:val="18"/>
                  <w:szCs w:val="18"/>
                  <w:color w:val="0000EE"/>
                  <w:w w:val="96"/>
                </w:rPr>
                <w:t>FORM Holdings Corp. 2012 Employee, Director and Consultant Equity Incentive Plan, as amended (incorporated by reference from</w:t>
              </w:r>
            </w:hyperlink>
          </w:p>
        </w:tc>
      </w:tr>
      <w:tr>
        <w:trPr>
          <w:trHeight w:val="196"/>
        </w:trPr>
        <w:tc>
          <w:tcPr>
            <w:tcW w:w="1140" w:type="dxa"/>
            <w:vAlign w:val="bottom"/>
          </w:tcPr>
          <w:p>
            <w:pPr>
              <w:spacing w:after="0"/>
              <w:rPr>
                <w:sz w:val="17"/>
                <w:szCs w:val="17"/>
                <w:color w:val="auto"/>
              </w:rPr>
            </w:pPr>
          </w:p>
        </w:tc>
        <w:tc>
          <w:tcPr>
            <w:tcW w:w="10100" w:type="dxa"/>
            <w:vAlign w:val="bottom"/>
            <w:gridSpan w:val="9"/>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Exhibit 10.1 to our Current Report on Form 8-K filed with the SEC on November 28, 2016).</w:t>
              </w:r>
            </w:hyperlink>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60">
              <w:r>
                <w:rPr>
                  <w:rFonts w:ascii="Arial" w:cs="Arial" w:eastAsia="Arial" w:hAnsi="Arial"/>
                  <w:sz w:val="18"/>
                  <w:szCs w:val="18"/>
                  <w:u w:val="single" w:color="auto"/>
                  <w:color w:val="0000EE"/>
                </w:rPr>
                <w:t>10.7†</w:t>
              </w:r>
            </w:hyperlink>
          </w:p>
        </w:tc>
        <w:tc>
          <w:tcPr>
            <w:tcW w:w="10100" w:type="dxa"/>
            <w:vAlign w:val="bottom"/>
            <w:tcBorders>
              <w:bottom w:val="single" w:sz="8" w:color="0000EE"/>
            </w:tcBorders>
            <w:gridSpan w:val="9"/>
          </w:tcPr>
          <w:p>
            <w:pPr>
              <w:spacing w:after="0"/>
              <w:rPr>
                <w:rFonts w:ascii="Arial" w:cs="Arial" w:eastAsia="Arial" w:hAnsi="Arial"/>
                <w:sz w:val="18"/>
                <w:szCs w:val="18"/>
                <w:color w:val="0000EE"/>
                <w:w w:val="97"/>
              </w:rPr>
            </w:pPr>
            <w:hyperlink r:id="rId60">
              <w:r>
                <w:rPr>
                  <w:rFonts w:ascii="Arial" w:cs="Arial" w:eastAsia="Arial" w:hAnsi="Arial"/>
                  <w:sz w:val="18"/>
                  <w:szCs w:val="18"/>
                  <w:color w:val="0000EE"/>
                  <w:w w:val="97"/>
                </w:rPr>
                <w:t>Independent Director’s Agreement, by and between FORM Holdings Corp. and Andrew R. Heyer, dated as of December 23, 2016</w:t>
              </w:r>
            </w:hyperlink>
          </w:p>
        </w:tc>
      </w:tr>
      <w:tr>
        <w:trPr>
          <w:trHeight w:val="237"/>
        </w:trPr>
        <w:tc>
          <w:tcPr>
            <w:tcW w:w="1140" w:type="dxa"/>
            <w:vAlign w:val="bottom"/>
          </w:tcPr>
          <w:p>
            <w:pPr>
              <w:spacing w:after="0"/>
              <w:rPr>
                <w:sz w:val="20"/>
                <w:szCs w:val="20"/>
                <w:color w:val="auto"/>
              </w:rPr>
            </w:pPr>
          </w:p>
        </w:tc>
        <w:tc>
          <w:tcPr>
            <w:tcW w:w="10100" w:type="dxa"/>
            <w:vAlign w:val="bottom"/>
            <w:gridSpan w:val="9"/>
          </w:tcPr>
          <w:p>
            <w:pPr>
              <w:spacing w:after="0"/>
              <w:rPr>
                <w:rFonts w:ascii="Arial" w:cs="Arial" w:eastAsia="Arial" w:hAnsi="Arial"/>
                <w:sz w:val="18"/>
                <w:szCs w:val="18"/>
                <w:u w:val="single" w:color="auto"/>
                <w:color w:val="0000EE"/>
              </w:rPr>
            </w:pPr>
            <w:hyperlink r:id="rId60">
              <w:r>
                <w:rPr>
                  <w:rFonts w:ascii="Arial" w:cs="Arial" w:eastAsia="Arial" w:hAnsi="Arial"/>
                  <w:sz w:val="18"/>
                  <w:szCs w:val="18"/>
                  <w:u w:val="single" w:color="auto"/>
                  <w:color w:val="0000EE"/>
                </w:rPr>
                <w:t>(incorporated by reference from Exhibit 10.1 to our Current Report on Form 8-K filed with the SEC on December 23, 2016).</w:t>
              </w:r>
            </w:hyperlink>
          </w:p>
        </w:tc>
      </w:tr>
      <w:tr>
        <w:trPr>
          <w:trHeight w:val="392"/>
        </w:trPr>
        <w:tc>
          <w:tcPr>
            <w:tcW w:w="1140" w:type="dxa"/>
            <w:vAlign w:val="bottom"/>
          </w:tcPr>
          <w:p>
            <w:pPr>
              <w:spacing w:after="0"/>
              <w:rPr>
                <w:rFonts w:ascii="Arial" w:cs="Arial" w:eastAsia="Arial" w:hAnsi="Arial"/>
                <w:sz w:val="18"/>
                <w:szCs w:val="18"/>
                <w:u w:val="single" w:color="auto"/>
                <w:color w:val="0000EE"/>
              </w:rPr>
            </w:pPr>
            <w:hyperlink r:id="rId61">
              <w:r>
                <w:rPr>
                  <w:rFonts w:ascii="Arial" w:cs="Arial" w:eastAsia="Arial" w:hAnsi="Arial"/>
                  <w:sz w:val="18"/>
                  <w:szCs w:val="18"/>
                  <w:u w:val="single" w:color="auto"/>
                  <w:color w:val="0000EE"/>
                </w:rPr>
                <w:t>10.8†</w:t>
              </w:r>
            </w:hyperlink>
          </w:p>
        </w:tc>
        <w:tc>
          <w:tcPr>
            <w:tcW w:w="10100" w:type="dxa"/>
            <w:vAlign w:val="bottom"/>
            <w:tcBorders>
              <w:bottom w:val="single" w:sz="8" w:color="0000EE"/>
            </w:tcBorders>
            <w:gridSpan w:val="9"/>
          </w:tcPr>
          <w:p>
            <w:pPr>
              <w:spacing w:after="0"/>
              <w:rPr>
                <w:rFonts w:ascii="Arial" w:cs="Arial" w:eastAsia="Arial" w:hAnsi="Arial"/>
                <w:sz w:val="18"/>
                <w:szCs w:val="18"/>
                <w:color w:val="0000EE"/>
                <w:w w:val="92"/>
              </w:rPr>
            </w:pPr>
            <w:hyperlink r:id="rId61">
              <w:r>
                <w:rPr>
                  <w:rFonts w:ascii="Arial" w:cs="Arial" w:eastAsia="Arial" w:hAnsi="Arial"/>
                  <w:sz w:val="18"/>
                  <w:szCs w:val="18"/>
                  <w:color w:val="0000EE"/>
                  <w:w w:val="92"/>
                </w:rPr>
                <w:t>Executive Employment Agreement, dated January 20, 2017, by and between FORM Holdings Corp. and Edward Jankowski (incorporated</w:t>
              </w:r>
            </w:hyperlink>
          </w:p>
        </w:tc>
      </w:tr>
      <w:tr>
        <w:trPr>
          <w:trHeight w:val="196"/>
        </w:trPr>
        <w:tc>
          <w:tcPr>
            <w:tcW w:w="1140" w:type="dxa"/>
            <w:vAlign w:val="bottom"/>
          </w:tcPr>
          <w:p>
            <w:pPr>
              <w:spacing w:after="0"/>
              <w:rPr>
                <w:sz w:val="17"/>
                <w:szCs w:val="17"/>
                <w:color w:val="auto"/>
              </w:rPr>
            </w:pPr>
          </w:p>
        </w:tc>
        <w:tc>
          <w:tcPr>
            <w:tcW w:w="78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61">
              <w:r>
                <w:rPr>
                  <w:rFonts w:ascii="Arial" w:cs="Arial" w:eastAsia="Arial" w:hAnsi="Arial"/>
                  <w:sz w:val="18"/>
                  <w:szCs w:val="18"/>
                  <w:color w:val="0000EE"/>
                  <w:w w:val="92"/>
                </w:rPr>
                <w:t>by reference from Exhibit 10.2 to our Quarterly Report on Form 10-Q filed with the SEC on May 15, 2017).</w:t>
              </w:r>
            </w:hyperlink>
          </w:p>
        </w:tc>
        <w:tc>
          <w:tcPr>
            <w:tcW w:w="2300" w:type="dxa"/>
            <w:vAlign w:val="bottom"/>
            <w:gridSpan w:val="2"/>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62">
              <w:r>
                <w:rPr>
                  <w:rFonts w:ascii="Arial" w:cs="Arial" w:eastAsia="Arial" w:hAnsi="Arial"/>
                  <w:sz w:val="18"/>
                  <w:szCs w:val="18"/>
                  <w:u w:val="single" w:color="auto"/>
                  <w:color w:val="0000EE"/>
                </w:rPr>
                <w:t>10.9</w:t>
              </w:r>
            </w:hyperlink>
          </w:p>
        </w:tc>
        <w:tc>
          <w:tcPr>
            <w:tcW w:w="10100" w:type="dxa"/>
            <w:vAlign w:val="bottom"/>
            <w:tcBorders>
              <w:bottom w:val="single" w:sz="8" w:color="0000EE"/>
            </w:tcBorders>
            <w:gridSpan w:val="9"/>
          </w:tcPr>
          <w:p>
            <w:pPr>
              <w:spacing w:after="0"/>
              <w:rPr>
                <w:rFonts w:ascii="Arial" w:cs="Arial" w:eastAsia="Arial" w:hAnsi="Arial"/>
                <w:sz w:val="18"/>
                <w:szCs w:val="18"/>
                <w:color w:val="0000EE"/>
                <w:w w:val="96"/>
              </w:rPr>
            </w:pPr>
            <w:hyperlink r:id="rId62">
              <w:r>
                <w:rPr>
                  <w:rFonts w:ascii="Arial" w:cs="Arial" w:eastAsia="Arial" w:hAnsi="Arial"/>
                  <w:sz w:val="18"/>
                  <w:szCs w:val="18"/>
                  <w:color w:val="0000EE"/>
                  <w:w w:val="96"/>
                </w:rPr>
                <w:t>Credit Agreement dated as of April 22, 2015, by and between XpresSpa Holdings, LLC and Rockmore Investment Master Fund Ltd</w:t>
              </w:r>
            </w:hyperlink>
          </w:p>
        </w:tc>
      </w:tr>
      <w:tr>
        <w:trPr>
          <w:trHeight w:val="237"/>
        </w:trPr>
        <w:tc>
          <w:tcPr>
            <w:tcW w:w="1140" w:type="dxa"/>
            <w:vAlign w:val="bottom"/>
          </w:tcPr>
          <w:p>
            <w:pPr>
              <w:spacing w:after="0"/>
              <w:rPr>
                <w:sz w:val="20"/>
                <w:szCs w:val="20"/>
                <w:color w:val="auto"/>
              </w:rPr>
            </w:pPr>
          </w:p>
        </w:tc>
        <w:tc>
          <w:tcPr>
            <w:tcW w:w="10100" w:type="dxa"/>
            <w:vAlign w:val="bottom"/>
            <w:gridSpan w:val="9"/>
          </w:tcPr>
          <w:p>
            <w:pPr>
              <w:spacing w:after="0"/>
              <w:rPr>
                <w:rFonts w:ascii="Arial" w:cs="Arial" w:eastAsia="Arial" w:hAnsi="Arial"/>
                <w:sz w:val="18"/>
                <w:szCs w:val="18"/>
                <w:u w:val="single" w:color="auto"/>
                <w:color w:val="0000EE"/>
              </w:rPr>
            </w:pPr>
            <w:hyperlink r:id="rId62">
              <w:r>
                <w:rPr>
                  <w:rFonts w:ascii="Arial" w:cs="Arial" w:eastAsia="Arial" w:hAnsi="Arial"/>
                  <w:sz w:val="18"/>
                  <w:szCs w:val="18"/>
                  <w:u w:val="single" w:color="auto"/>
                  <w:color w:val="0000EE"/>
                </w:rPr>
                <w:t>(incorporated by reference from Exhibit 10.1 to our Quarterly Report on Form 10-Q filed with the SEC on May 15, 2018).</w:t>
              </w:r>
            </w:hyperlink>
          </w:p>
        </w:tc>
      </w:tr>
      <w:tr>
        <w:trPr>
          <w:trHeight w:val="391"/>
        </w:trPr>
        <w:tc>
          <w:tcPr>
            <w:tcW w:w="1140" w:type="dxa"/>
            <w:vAlign w:val="bottom"/>
          </w:tcPr>
          <w:p>
            <w:pPr>
              <w:spacing w:after="0"/>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10.10</w:t>
              </w:r>
            </w:hyperlink>
          </w:p>
        </w:tc>
        <w:tc>
          <w:tcPr>
            <w:tcW w:w="10100" w:type="dxa"/>
            <w:vAlign w:val="bottom"/>
            <w:tcBorders>
              <w:bottom w:val="single" w:sz="8" w:color="0000EE"/>
            </w:tcBorders>
            <w:gridSpan w:val="9"/>
          </w:tcPr>
          <w:p>
            <w:pPr>
              <w:spacing w:after="0"/>
              <w:rPr>
                <w:rFonts w:ascii="Arial" w:cs="Arial" w:eastAsia="Arial" w:hAnsi="Arial"/>
                <w:sz w:val="18"/>
                <w:szCs w:val="18"/>
                <w:color w:val="0000EE"/>
                <w:w w:val="92"/>
              </w:rPr>
            </w:pPr>
            <w:hyperlink r:id="rId63">
              <w:r>
                <w:rPr>
                  <w:rFonts w:ascii="Arial" w:cs="Arial" w:eastAsia="Arial" w:hAnsi="Arial"/>
                  <w:sz w:val="18"/>
                  <w:szCs w:val="18"/>
                  <w:color w:val="0000EE"/>
                  <w:w w:val="92"/>
                </w:rPr>
                <w:t>First Amendment to Credit Agreement and Conditional Waiver dated as of August 8, 2016, by and between XpresSpa Holdings, LLC and</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r:id="rId63">
              <w:r>
                <w:rPr>
                  <w:rFonts w:ascii="Arial" w:cs="Arial" w:eastAsia="Arial" w:hAnsi="Arial"/>
                  <w:sz w:val="18"/>
                  <w:szCs w:val="18"/>
                  <w:color w:val="0000EE"/>
                  <w:w w:val="93"/>
                </w:rPr>
                <w:t>Rockmore Investment Master Fund Ltd (incorporated by reference from Exhibit 10.2 to our Quarterly Report on Form 10-Q filed with the</w:t>
              </w:r>
            </w:hyperlink>
          </w:p>
        </w:tc>
      </w:tr>
      <w:tr>
        <w:trPr>
          <w:trHeight w:val="196"/>
        </w:trPr>
        <w:tc>
          <w:tcPr>
            <w:tcW w:w="1140" w:type="dxa"/>
            <w:vAlign w:val="bottom"/>
          </w:tcPr>
          <w:p>
            <w:pPr>
              <w:spacing w:after="0"/>
              <w:rPr>
                <w:sz w:val="17"/>
                <w:szCs w:val="17"/>
                <w:color w:val="auto"/>
              </w:rPr>
            </w:pPr>
          </w:p>
        </w:tc>
        <w:tc>
          <w:tcPr>
            <w:tcW w:w="17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63">
              <w:r>
                <w:rPr>
                  <w:rFonts w:ascii="Arial" w:cs="Arial" w:eastAsia="Arial" w:hAnsi="Arial"/>
                  <w:sz w:val="18"/>
                  <w:szCs w:val="18"/>
                  <w:color w:val="0000EE"/>
                  <w:w w:val="90"/>
                </w:rPr>
                <w:t>SEC on May 15, 2018).</w:t>
              </w:r>
            </w:hyperlink>
          </w:p>
        </w:tc>
        <w:tc>
          <w:tcPr>
            <w:tcW w:w="8380" w:type="dxa"/>
            <w:vAlign w:val="bottom"/>
            <w:gridSpan w:val="6"/>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10.11</w:t>
              </w:r>
            </w:hyperlink>
          </w:p>
        </w:tc>
        <w:tc>
          <w:tcPr>
            <w:tcW w:w="10100" w:type="dxa"/>
            <w:vAlign w:val="bottom"/>
            <w:tcBorders>
              <w:bottom w:val="single" w:sz="8" w:color="0000EE"/>
            </w:tcBorders>
            <w:gridSpan w:val="9"/>
          </w:tcPr>
          <w:p>
            <w:pPr>
              <w:spacing w:after="0"/>
              <w:rPr>
                <w:rFonts w:ascii="Arial" w:cs="Arial" w:eastAsia="Arial" w:hAnsi="Arial"/>
                <w:sz w:val="18"/>
                <w:szCs w:val="18"/>
                <w:color w:val="0000EE"/>
                <w:w w:val="91"/>
              </w:rPr>
            </w:pPr>
            <w:hyperlink r:id="rId64">
              <w:r>
                <w:rPr>
                  <w:rFonts w:ascii="Arial" w:cs="Arial" w:eastAsia="Arial" w:hAnsi="Arial"/>
                  <w:sz w:val="18"/>
                  <w:szCs w:val="18"/>
                  <w:color w:val="0000EE"/>
                  <w:w w:val="91"/>
                </w:rPr>
                <w:t>Second Amendment to Credit Agreement dated as of May 10, 2017, by and between XpresSpa Holdings, LLC and B3D, LLC (incorporated</w:t>
              </w:r>
            </w:hyperlink>
          </w:p>
        </w:tc>
      </w:tr>
      <w:tr>
        <w:trPr>
          <w:trHeight w:val="196"/>
        </w:trPr>
        <w:tc>
          <w:tcPr>
            <w:tcW w:w="1140" w:type="dxa"/>
            <w:vAlign w:val="bottom"/>
          </w:tcPr>
          <w:p>
            <w:pPr>
              <w:spacing w:after="0"/>
              <w:rPr>
                <w:sz w:val="17"/>
                <w:szCs w:val="17"/>
                <w:color w:val="auto"/>
              </w:rPr>
            </w:pPr>
          </w:p>
        </w:tc>
        <w:tc>
          <w:tcPr>
            <w:tcW w:w="78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64">
              <w:r>
                <w:rPr>
                  <w:rFonts w:ascii="Arial" w:cs="Arial" w:eastAsia="Arial" w:hAnsi="Arial"/>
                  <w:sz w:val="18"/>
                  <w:szCs w:val="18"/>
                  <w:color w:val="0000EE"/>
                  <w:w w:val="92"/>
                </w:rPr>
                <w:t>by reference from Exhibit 10.3 to our Quarterly Report on Form 10-Q filed with the SEC on May 15, 2018).</w:t>
              </w:r>
            </w:hyperlink>
          </w:p>
        </w:tc>
        <w:tc>
          <w:tcPr>
            <w:tcW w:w="2300" w:type="dxa"/>
            <w:vAlign w:val="bottom"/>
            <w:gridSpan w:val="2"/>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65">
              <w:r>
                <w:rPr>
                  <w:rFonts w:ascii="Arial" w:cs="Arial" w:eastAsia="Arial" w:hAnsi="Arial"/>
                  <w:sz w:val="18"/>
                  <w:szCs w:val="18"/>
                  <w:u w:val="single" w:color="auto"/>
                  <w:color w:val="0000EE"/>
                </w:rPr>
                <w:t>10.12</w:t>
              </w:r>
            </w:hyperlink>
          </w:p>
        </w:tc>
        <w:tc>
          <w:tcPr>
            <w:tcW w:w="10100" w:type="dxa"/>
            <w:vAlign w:val="bottom"/>
            <w:gridSpan w:val="9"/>
          </w:tcPr>
          <w:p>
            <w:pPr>
              <w:spacing w:after="0"/>
              <w:rPr>
                <w:rFonts w:ascii="Arial" w:cs="Arial" w:eastAsia="Arial" w:hAnsi="Arial"/>
                <w:sz w:val="18"/>
                <w:szCs w:val="18"/>
                <w:color w:val="0000EE"/>
                <w:w w:val="92"/>
              </w:rPr>
            </w:pPr>
            <w:hyperlink r:id="rId65">
              <w:r>
                <w:rPr>
                  <w:rFonts w:ascii="Arial" w:cs="Arial" w:eastAsia="Arial" w:hAnsi="Arial"/>
                  <w:sz w:val="18"/>
                  <w:szCs w:val="18"/>
                  <w:color w:val="0000EE"/>
                  <w:w w:val="92"/>
                </w:rPr>
                <w:t>Third Amendment to Credit Agreement dated as of May 14, 2018, by and between XpresSpa Holdings, LLC and B3D, LLC (incorporated</w:t>
              </w:r>
            </w:hyperlink>
          </w:p>
        </w:tc>
      </w:tr>
      <w:tr>
        <w:trPr>
          <w:trHeight w:val="196"/>
        </w:trPr>
        <w:tc>
          <w:tcPr>
            <w:tcW w:w="1140" w:type="dxa"/>
            <w:vAlign w:val="bottom"/>
          </w:tcPr>
          <w:p>
            <w:pPr>
              <w:spacing w:after="0"/>
              <w:rPr>
                <w:sz w:val="17"/>
                <w:szCs w:val="17"/>
                <w:color w:val="auto"/>
              </w:rPr>
            </w:pPr>
          </w:p>
        </w:tc>
        <w:tc>
          <w:tcPr>
            <w:tcW w:w="78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65">
              <w:r>
                <w:rPr>
                  <w:rFonts w:ascii="Arial" w:cs="Arial" w:eastAsia="Arial" w:hAnsi="Arial"/>
                  <w:sz w:val="18"/>
                  <w:szCs w:val="18"/>
                  <w:color w:val="0000EE"/>
                  <w:w w:val="92"/>
                </w:rPr>
                <w:t>by reference from Exhibit 10.4 to our Quarterly Report on Form 10-Q filed with the SEC on May 15, 2018).</w:t>
              </w:r>
            </w:hyperlink>
          </w:p>
        </w:tc>
        <w:tc>
          <w:tcPr>
            <w:tcW w:w="22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66">
              <w:r>
                <w:rPr>
                  <w:rFonts w:ascii="Arial" w:cs="Arial" w:eastAsia="Arial" w:hAnsi="Arial"/>
                  <w:sz w:val="18"/>
                  <w:szCs w:val="18"/>
                  <w:u w:val="single" w:color="auto"/>
                  <w:color w:val="0000EE"/>
                </w:rPr>
                <w:t>10.13</w:t>
              </w:r>
            </w:hyperlink>
          </w:p>
        </w:tc>
        <w:tc>
          <w:tcPr>
            <w:tcW w:w="10100" w:type="dxa"/>
            <w:vAlign w:val="bottom"/>
            <w:gridSpan w:val="9"/>
          </w:tcPr>
          <w:p>
            <w:pPr>
              <w:spacing w:after="0"/>
              <w:rPr>
                <w:rFonts w:ascii="Arial" w:cs="Arial" w:eastAsia="Arial" w:hAnsi="Arial"/>
                <w:sz w:val="18"/>
                <w:szCs w:val="18"/>
                <w:color w:val="0000EE"/>
                <w:w w:val="92"/>
              </w:rPr>
            </w:pPr>
            <w:hyperlink r:id="rId66">
              <w:r>
                <w:rPr>
                  <w:rFonts w:ascii="Arial" w:cs="Arial" w:eastAsia="Arial" w:hAnsi="Arial"/>
                  <w:sz w:val="18"/>
                  <w:szCs w:val="18"/>
                  <w:color w:val="0000EE"/>
                  <w:w w:val="92"/>
                </w:rPr>
                <w:t>Fourth Amendment to Credit Agreement, dated as of July 8, 2019, by and between XpresSpa Holdings LLC and B3D, LLC (incorporated</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by reference from Exhibit 10.3 to our Current Report on Form 8-K filed with the SEC on July 8, 2019).</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60" w:type="dxa"/>
            <w:vAlign w:val="bottom"/>
            <w:gridSpan w:val="3"/>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67">
              <w:r>
                <w:rPr>
                  <w:rFonts w:ascii="Arial" w:cs="Arial" w:eastAsia="Arial" w:hAnsi="Arial"/>
                  <w:sz w:val="18"/>
                  <w:szCs w:val="18"/>
                  <w:u w:val="single" w:color="auto"/>
                  <w:color w:val="0000EE"/>
                </w:rPr>
                <w:t>10.14</w:t>
              </w:r>
            </w:hyperlink>
          </w:p>
        </w:tc>
        <w:tc>
          <w:tcPr>
            <w:tcW w:w="10100" w:type="dxa"/>
            <w:vAlign w:val="bottom"/>
            <w:tcBorders>
              <w:bottom w:val="single" w:sz="8" w:color="0000EE"/>
            </w:tcBorders>
            <w:gridSpan w:val="9"/>
          </w:tcPr>
          <w:p>
            <w:pPr>
              <w:spacing w:after="0"/>
              <w:rPr>
                <w:rFonts w:ascii="Arial" w:cs="Arial" w:eastAsia="Arial" w:hAnsi="Arial"/>
                <w:sz w:val="18"/>
                <w:szCs w:val="18"/>
                <w:color w:val="0000EE"/>
                <w:w w:val="94"/>
              </w:rPr>
            </w:pPr>
            <w:hyperlink r:id="rId67">
              <w:r>
                <w:rPr>
                  <w:rFonts w:ascii="Arial" w:cs="Arial" w:eastAsia="Arial" w:hAnsi="Arial"/>
                  <w:sz w:val="18"/>
                  <w:szCs w:val="18"/>
                  <w:color w:val="0000EE"/>
                  <w:w w:val="94"/>
                </w:rPr>
                <w:t>Registration Rights Agreement, dated as of July 8, 2019, by and between the Company and B3D, LLC (incorporated by reference from</w:t>
              </w:r>
            </w:hyperlink>
          </w:p>
        </w:tc>
      </w:tr>
      <w:tr>
        <w:trPr>
          <w:trHeight w:val="196"/>
        </w:trPr>
        <w:tc>
          <w:tcPr>
            <w:tcW w:w="1140" w:type="dxa"/>
            <w:vAlign w:val="bottom"/>
          </w:tcPr>
          <w:p>
            <w:pPr>
              <w:spacing w:after="0"/>
              <w:rPr>
                <w:sz w:val="17"/>
                <w:szCs w:val="17"/>
                <w:color w:val="auto"/>
              </w:rPr>
            </w:pPr>
          </w:p>
        </w:tc>
        <w:tc>
          <w:tcPr>
            <w:tcW w:w="61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Exhibit 10.4 to our Current Report on Form 8-K filed with the SEC on July 8, 2019).</w:t>
              </w:r>
            </w:hyperlink>
          </w:p>
        </w:tc>
        <w:tc>
          <w:tcPr>
            <w:tcW w:w="3980" w:type="dxa"/>
            <w:vAlign w:val="bottom"/>
            <w:gridSpan w:val="5"/>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10.15</w:t>
              </w:r>
            </w:hyperlink>
          </w:p>
        </w:tc>
        <w:tc>
          <w:tcPr>
            <w:tcW w:w="10100" w:type="dxa"/>
            <w:vAlign w:val="bottom"/>
            <w:tcBorders>
              <w:bottom w:val="single" w:sz="8" w:color="0000EE"/>
            </w:tcBorders>
            <w:gridSpan w:val="9"/>
          </w:tcPr>
          <w:p>
            <w:pPr>
              <w:spacing w:after="0"/>
              <w:rPr>
                <w:rFonts w:ascii="Arial" w:cs="Arial" w:eastAsia="Arial" w:hAnsi="Arial"/>
                <w:sz w:val="18"/>
                <w:szCs w:val="18"/>
                <w:color w:val="0000EE"/>
                <w:w w:val="91"/>
              </w:rPr>
            </w:pPr>
            <w:hyperlink r:id="rId68">
              <w:r>
                <w:rPr>
                  <w:rFonts w:ascii="Arial" w:cs="Arial" w:eastAsia="Arial" w:hAnsi="Arial"/>
                  <w:sz w:val="18"/>
                  <w:szCs w:val="18"/>
                  <w:color w:val="0000EE"/>
                  <w:w w:val="91"/>
                </w:rPr>
                <w:t>Amendment to Second Amended and Restated Convertible Promissory Note, dated August 22, 2019, by and between XpresSpa Holdings</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r:id="rId68">
              <w:r>
                <w:rPr>
                  <w:rFonts w:ascii="Arial" w:cs="Arial" w:eastAsia="Arial" w:hAnsi="Arial"/>
                  <w:sz w:val="18"/>
                  <w:szCs w:val="18"/>
                  <w:color w:val="0000EE"/>
                  <w:w w:val="95"/>
                </w:rPr>
                <w:t>LLC and B3D, LLC (incorporated by reference from Exhibit 10.1 to our Current Report on Form 8-K filed with the SEC on August 26,</w:t>
              </w:r>
            </w:hyperlink>
          </w:p>
        </w:tc>
      </w:tr>
      <w:tr>
        <w:trPr>
          <w:trHeight w:val="196"/>
        </w:trPr>
        <w:tc>
          <w:tcPr>
            <w:tcW w:w="114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68">
              <w:r>
                <w:rPr>
                  <w:rFonts w:ascii="Arial" w:cs="Arial" w:eastAsia="Arial" w:hAnsi="Arial"/>
                  <w:sz w:val="18"/>
                  <w:szCs w:val="18"/>
                  <w:color w:val="0000EE"/>
                  <w:w w:val="86"/>
                </w:rPr>
                <w:t>2019).</w:t>
              </w:r>
            </w:hyperlink>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5"/>
        </w:trPr>
        <w:tc>
          <w:tcPr>
            <w:tcW w:w="114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gridSpan w:val="4"/>
          </w:tcPr>
          <w:p>
            <w:pPr>
              <w:ind w:left="4400"/>
              <w:spacing w:after="0"/>
              <w:rPr>
                <w:sz w:val="20"/>
                <w:szCs w:val="20"/>
                <w:color w:val="auto"/>
              </w:rPr>
            </w:pPr>
            <w:r>
              <w:rPr>
                <w:rFonts w:ascii="Arial" w:cs="Arial" w:eastAsia="Arial" w:hAnsi="Arial"/>
                <w:sz w:val="18"/>
                <w:szCs w:val="18"/>
                <w:color w:val="auto"/>
              </w:rPr>
              <w:t>18</w:t>
            </w:r>
          </w:p>
        </w:tc>
        <w:tc>
          <w:tcPr>
            <w:tcW w:w="5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10.16</w:t>
              </w:r>
            </w:hyperlink>
          </w:p>
        </w:tc>
        <w:tc>
          <w:tcPr>
            <w:tcW w:w="10100" w:type="dxa"/>
            <w:vAlign w:val="bottom"/>
            <w:tcBorders>
              <w:bottom w:val="single" w:sz="8" w:color="0000EE"/>
            </w:tcBorders>
            <w:gridSpan w:val="13"/>
          </w:tcPr>
          <w:p>
            <w:pPr>
              <w:spacing w:after="0"/>
              <w:rPr>
                <w:rFonts w:ascii="Arial" w:cs="Arial" w:eastAsia="Arial" w:hAnsi="Arial"/>
                <w:sz w:val="18"/>
                <w:szCs w:val="18"/>
                <w:color w:val="0000EE"/>
                <w:w w:val="91"/>
              </w:rPr>
            </w:pPr>
            <w:hyperlink r:id="rId69">
              <w:r>
                <w:rPr>
                  <w:rFonts w:ascii="Arial" w:cs="Arial" w:eastAsia="Arial" w:hAnsi="Arial"/>
                  <w:sz w:val="18"/>
                  <w:szCs w:val="18"/>
                  <w:color w:val="0000EE"/>
                  <w:w w:val="91"/>
                </w:rPr>
                <w:t>Fifth Amendment to Credit Agreement, dated as of January 9, 2020, by and between XpresSpa Holdings LLC and B3D, LLC (incorporated</w:t>
              </w:r>
            </w:hyperlink>
          </w:p>
        </w:tc>
      </w:tr>
      <w:tr>
        <w:trPr>
          <w:trHeight w:val="196"/>
        </w:trPr>
        <w:tc>
          <w:tcPr>
            <w:tcW w:w="1140" w:type="dxa"/>
            <w:vAlign w:val="bottom"/>
          </w:tcPr>
          <w:p>
            <w:pPr>
              <w:spacing w:after="0"/>
              <w:rPr>
                <w:sz w:val="17"/>
                <w:szCs w:val="17"/>
                <w:color w:val="auto"/>
              </w:rPr>
            </w:pPr>
          </w:p>
        </w:tc>
        <w:tc>
          <w:tcPr>
            <w:tcW w:w="78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by reference from Exhibit 10.2 to our Current Report on Form 8-K filed with the SEC on January 14, 2020).</w:t>
              </w:r>
            </w:hyperlink>
          </w:p>
        </w:tc>
        <w:tc>
          <w:tcPr>
            <w:tcW w:w="2300" w:type="dxa"/>
            <w:vAlign w:val="bottom"/>
            <w:gridSpan w:val="2"/>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70">
              <w:r>
                <w:rPr>
                  <w:rFonts w:ascii="Arial" w:cs="Arial" w:eastAsia="Arial" w:hAnsi="Arial"/>
                  <w:sz w:val="18"/>
                  <w:szCs w:val="18"/>
                  <w:u w:val="single" w:color="auto"/>
                  <w:color w:val="0000EE"/>
                </w:rPr>
                <w:t>10.17</w:t>
              </w:r>
            </w:hyperlink>
          </w:p>
        </w:tc>
        <w:tc>
          <w:tcPr>
            <w:tcW w:w="10100" w:type="dxa"/>
            <w:vAlign w:val="bottom"/>
            <w:tcBorders>
              <w:bottom w:val="single" w:sz="8" w:color="0000EE"/>
            </w:tcBorders>
            <w:gridSpan w:val="13"/>
          </w:tcPr>
          <w:p>
            <w:pPr>
              <w:spacing w:after="0"/>
              <w:rPr>
                <w:rFonts w:ascii="Arial" w:cs="Arial" w:eastAsia="Arial" w:hAnsi="Arial"/>
                <w:sz w:val="18"/>
                <w:szCs w:val="18"/>
                <w:color w:val="0000EE"/>
                <w:w w:val="92"/>
              </w:rPr>
            </w:pPr>
            <w:hyperlink r:id="rId70">
              <w:r>
                <w:rPr>
                  <w:rFonts w:ascii="Arial" w:cs="Arial" w:eastAsia="Arial" w:hAnsi="Arial"/>
                  <w:sz w:val="18"/>
                  <w:szCs w:val="18"/>
                  <w:color w:val="0000EE"/>
                  <w:w w:val="92"/>
                </w:rPr>
                <w:t>Sixth Amendment to Credit Agreement, dated as of March 6, 2020, by and between XpresSpa Holdings LLC and B3D, LLC (incorporated</w:t>
              </w:r>
            </w:hyperlink>
          </w:p>
        </w:tc>
      </w:tr>
      <w:tr>
        <w:trPr>
          <w:trHeight w:val="196"/>
        </w:trPr>
        <w:tc>
          <w:tcPr>
            <w:tcW w:w="1140" w:type="dxa"/>
            <w:vAlign w:val="bottom"/>
          </w:tcPr>
          <w:p>
            <w:pPr>
              <w:spacing w:after="0"/>
              <w:rPr>
                <w:sz w:val="17"/>
                <w:szCs w:val="17"/>
                <w:color w:val="auto"/>
              </w:rPr>
            </w:pPr>
          </w:p>
        </w:tc>
        <w:tc>
          <w:tcPr>
            <w:tcW w:w="76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70">
              <w:r>
                <w:rPr>
                  <w:rFonts w:ascii="Arial" w:cs="Arial" w:eastAsia="Arial" w:hAnsi="Arial"/>
                  <w:sz w:val="18"/>
                  <w:szCs w:val="18"/>
                  <w:color w:val="0000EE"/>
                  <w:w w:val="92"/>
                </w:rPr>
                <w:t>by reference from Exhibit 10.1 to our Current Report on Form 8-K filed with the SEC on March 6, 2020).</w:t>
              </w:r>
            </w:hyperlink>
          </w:p>
        </w:tc>
        <w:tc>
          <w:tcPr>
            <w:tcW w:w="2480" w:type="dxa"/>
            <w:vAlign w:val="bottom"/>
            <w:gridSpan w:val="3"/>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71">
              <w:r>
                <w:rPr>
                  <w:rFonts w:ascii="Arial" w:cs="Arial" w:eastAsia="Arial" w:hAnsi="Arial"/>
                  <w:sz w:val="18"/>
                  <w:szCs w:val="18"/>
                  <w:u w:val="single" w:color="auto"/>
                  <w:color w:val="0000EE"/>
                </w:rPr>
                <w:t>10.18</w:t>
              </w:r>
            </w:hyperlink>
          </w:p>
        </w:tc>
        <w:tc>
          <w:tcPr>
            <w:tcW w:w="10100" w:type="dxa"/>
            <w:vAlign w:val="bottom"/>
            <w:tcBorders>
              <w:bottom w:val="single" w:sz="8" w:color="0000EE"/>
            </w:tcBorders>
            <w:gridSpan w:val="13"/>
          </w:tcPr>
          <w:p>
            <w:pPr>
              <w:spacing w:after="0"/>
              <w:rPr>
                <w:rFonts w:ascii="Arial" w:cs="Arial" w:eastAsia="Arial" w:hAnsi="Arial"/>
                <w:sz w:val="18"/>
                <w:szCs w:val="18"/>
                <w:color w:val="0000EE"/>
                <w:w w:val="92"/>
              </w:rPr>
            </w:pPr>
            <w:hyperlink r:id="rId71">
              <w:r>
                <w:rPr>
                  <w:rFonts w:ascii="Arial" w:cs="Arial" w:eastAsia="Arial" w:hAnsi="Arial"/>
                  <w:sz w:val="18"/>
                  <w:szCs w:val="18"/>
                  <w:color w:val="0000EE"/>
                  <w:w w:val="92"/>
                </w:rPr>
                <w:t>Form of Securities Purchase Agreement, dated May 15, 2018, by and among the Company and the Investors (incorporated by reference</w:t>
              </w:r>
            </w:hyperlink>
          </w:p>
        </w:tc>
      </w:tr>
      <w:tr>
        <w:trPr>
          <w:trHeight w:val="196"/>
        </w:trPr>
        <w:tc>
          <w:tcPr>
            <w:tcW w:w="1140" w:type="dxa"/>
            <w:vAlign w:val="bottom"/>
          </w:tcPr>
          <w:p>
            <w:pPr>
              <w:spacing w:after="0"/>
              <w:rPr>
                <w:sz w:val="17"/>
                <w:szCs w:val="17"/>
                <w:color w:val="auto"/>
              </w:rPr>
            </w:pPr>
          </w:p>
        </w:tc>
        <w:tc>
          <w:tcPr>
            <w:tcW w:w="68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71">
              <w:r>
                <w:rPr>
                  <w:rFonts w:ascii="Arial" w:cs="Arial" w:eastAsia="Arial" w:hAnsi="Arial"/>
                  <w:sz w:val="18"/>
                  <w:szCs w:val="18"/>
                  <w:color w:val="0000EE"/>
                  <w:w w:val="92"/>
                </w:rPr>
                <w:t>from Exhibit 10.8 to our Quarterly Report on Form 10-Q filed with the SEC on May 15, 2018).</w:t>
              </w:r>
            </w:hyperlink>
          </w:p>
        </w:tc>
        <w:tc>
          <w:tcPr>
            <w:tcW w:w="3240" w:type="dxa"/>
            <w:vAlign w:val="bottom"/>
            <w:gridSpan w:val="5"/>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72">
              <w:r>
                <w:rPr>
                  <w:rFonts w:ascii="Arial" w:cs="Arial" w:eastAsia="Arial" w:hAnsi="Arial"/>
                  <w:sz w:val="18"/>
                  <w:szCs w:val="18"/>
                  <w:u w:val="single" w:color="auto"/>
                  <w:color w:val="0000EE"/>
                </w:rPr>
                <w:t>10.19</w:t>
              </w:r>
            </w:hyperlink>
          </w:p>
        </w:tc>
        <w:tc>
          <w:tcPr>
            <w:tcW w:w="10100" w:type="dxa"/>
            <w:vAlign w:val="bottom"/>
            <w:tcBorders>
              <w:bottom w:val="single" w:sz="8" w:color="0000EE"/>
            </w:tcBorders>
            <w:gridSpan w:val="13"/>
          </w:tcPr>
          <w:p>
            <w:pPr>
              <w:spacing w:after="0"/>
              <w:rPr>
                <w:rFonts w:ascii="Arial" w:cs="Arial" w:eastAsia="Arial" w:hAnsi="Arial"/>
                <w:sz w:val="18"/>
                <w:szCs w:val="18"/>
                <w:color w:val="0000EE"/>
                <w:w w:val="93"/>
              </w:rPr>
            </w:pPr>
            <w:hyperlink r:id="rId72">
              <w:r>
                <w:rPr>
                  <w:rFonts w:ascii="Arial" w:cs="Arial" w:eastAsia="Arial" w:hAnsi="Arial"/>
                  <w:sz w:val="18"/>
                  <w:szCs w:val="18"/>
                  <w:color w:val="0000EE"/>
                  <w:w w:val="93"/>
                </w:rPr>
                <w:t>Form of Registration Rights Agreement, dated May 15, 2018, by and among the Company and the Investors (incorporated by reference</w:t>
              </w:r>
            </w:hyperlink>
          </w:p>
        </w:tc>
      </w:tr>
      <w:tr>
        <w:trPr>
          <w:trHeight w:val="196"/>
        </w:trPr>
        <w:tc>
          <w:tcPr>
            <w:tcW w:w="1140" w:type="dxa"/>
            <w:vAlign w:val="bottom"/>
          </w:tcPr>
          <w:p>
            <w:pPr>
              <w:spacing w:after="0"/>
              <w:rPr>
                <w:sz w:val="17"/>
                <w:szCs w:val="17"/>
                <w:color w:val="auto"/>
              </w:rPr>
            </w:pPr>
          </w:p>
        </w:tc>
        <w:tc>
          <w:tcPr>
            <w:tcW w:w="68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72">
              <w:r>
                <w:rPr>
                  <w:rFonts w:ascii="Arial" w:cs="Arial" w:eastAsia="Arial" w:hAnsi="Arial"/>
                  <w:sz w:val="18"/>
                  <w:szCs w:val="18"/>
                  <w:color w:val="0000EE"/>
                  <w:w w:val="92"/>
                </w:rPr>
                <w:t>from Exhibit 10.9 to our Quarterly Report on Form 10-Q filed with the SEC on May 15, 2018).</w:t>
              </w:r>
            </w:hyperlink>
          </w:p>
        </w:tc>
        <w:tc>
          <w:tcPr>
            <w:tcW w:w="3240" w:type="dxa"/>
            <w:vAlign w:val="bottom"/>
            <w:gridSpan w:val="5"/>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73">
              <w:r>
                <w:rPr>
                  <w:rFonts w:ascii="Arial" w:cs="Arial" w:eastAsia="Arial" w:hAnsi="Arial"/>
                  <w:sz w:val="18"/>
                  <w:szCs w:val="18"/>
                  <w:u w:val="single" w:color="auto"/>
                  <w:color w:val="0000EE"/>
                </w:rPr>
                <w:t>10.20</w:t>
              </w:r>
            </w:hyperlink>
          </w:p>
        </w:tc>
        <w:tc>
          <w:tcPr>
            <w:tcW w:w="10100" w:type="dxa"/>
            <w:vAlign w:val="bottom"/>
            <w:tcBorders>
              <w:bottom w:val="single" w:sz="8" w:color="0000EE"/>
            </w:tcBorders>
            <w:gridSpan w:val="13"/>
          </w:tcPr>
          <w:p>
            <w:pPr>
              <w:spacing w:after="0"/>
              <w:rPr>
                <w:rFonts w:ascii="Arial" w:cs="Arial" w:eastAsia="Arial" w:hAnsi="Arial"/>
                <w:sz w:val="18"/>
                <w:szCs w:val="18"/>
                <w:color w:val="0000EE"/>
                <w:w w:val="91"/>
              </w:rPr>
            </w:pPr>
            <w:hyperlink r:id="rId73">
              <w:r>
                <w:rPr>
                  <w:rFonts w:ascii="Arial" w:cs="Arial" w:eastAsia="Arial" w:hAnsi="Arial"/>
                  <w:sz w:val="18"/>
                  <w:szCs w:val="18"/>
                  <w:color w:val="0000EE"/>
                  <w:w w:val="91"/>
                </w:rPr>
                <w:t>Amendment to Securities Purchase Agreement and Class A Warrants and Class B Warrants, dated as of July 8, 2019, by and between the</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73">
              <w:r>
                <w:rPr>
                  <w:rFonts w:ascii="Arial" w:cs="Arial" w:eastAsia="Arial" w:hAnsi="Arial"/>
                  <w:sz w:val="18"/>
                  <w:szCs w:val="18"/>
                  <w:color w:val="0000EE"/>
                  <w:w w:val="93"/>
                </w:rPr>
                <w:t>Company and the purchasers party thereto (incorporated by reference from Exhibit 10.5 to our Current Report on Form 8-K filed with the</w:t>
              </w:r>
            </w:hyperlink>
          </w:p>
        </w:tc>
      </w:tr>
      <w:tr>
        <w:trPr>
          <w:trHeight w:val="196"/>
        </w:trPr>
        <w:tc>
          <w:tcPr>
            <w:tcW w:w="1140" w:type="dxa"/>
            <w:vAlign w:val="bottom"/>
          </w:tcPr>
          <w:p>
            <w:pPr>
              <w:spacing w:after="0"/>
              <w:rPr>
                <w:sz w:val="17"/>
                <w:szCs w:val="17"/>
                <w:color w:val="auto"/>
              </w:rPr>
            </w:pPr>
          </w:p>
        </w:tc>
        <w:tc>
          <w:tcPr>
            <w:tcW w:w="16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73">
              <w:r>
                <w:rPr>
                  <w:rFonts w:ascii="Arial" w:cs="Arial" w:eastAsia="Arial" w:hAnsi="Arial"/>
                  <w:sz w:val="18"/>
                  <w:szCs w:val="18"/>
                  <w:color w:val="0000EE"/>
                  <w:w w:val="90"/>
                </w:rPr>
                <w:t>SEC on July 8, 2019).</w:t>
              </w:r>
            </w:hyperlink>
          </w:p>
        </w:tc>
        <w:tc>
          <w:tcPr>
            <w:tcW w:w="8500" w:type="dxa"/>
            <w:vAlign w:val="bottom"/>
            <w:gridSpan w:val="10"/>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74">
              <w:r>
                <w:rPr>
                  <w:rFonts w:ascii="Arial" w:cs="Arial" w:eastAsia="Arial" w:hAnsi="Arial"/>
                  <w:sz w:val="18"/>
                  <w:szCs w:val="18"/>
                  <w:u w:val="single" w:color="auto"/>
                  <w:color w:val="0000EE"/>
                </w:rPr>
                <w:t>10.21</w:t>
              </w:r>
            </w:hyperlink>
          </w:p>
        </w:tc>
        <w:tc>
          <w:tcPr>
            <w:tcW w:w="10100" w:type="dxa"/>
            <w:vAlign w:val="bottom"/>
            <w:tcBorders>
              <w:bottom w:val="single" w:sz="8" w:color="0000EE"/>
            </w:tcBorders>
            <w:gridSpan w:val="13"/>
          </w:tcPr>
          <w:p>
            <w:pPr>
              <w:spacing w:after="0"/>
              <w:rPr>
                <w:rFonts w:ascii="Arial" w:cs="Arial" w:eastAsia="Arial" w:hAnsi="Arial"/>
                <w:sz w:val="18"/>
                <w:szCs w:val="18"/>
                <w:color w:val="0000EE"/>
                <w:w w:val="93"/>
              </w:rPr>
            </w:pPr>
            <w:hyperlink r:id="rId74">
              <w:r>
                <w:rPr>
                  <w:rFonts w:ascii="Arial" w:cs="Arial" w:eastAsia="Arial" w:hAnsi="Arial"/>
                  <w:sz w:val="18"/>
                  <w:szCs w:val="18"/>
                  <w:color w:val="0000EE"/>
                  <w:w w:val="93"/>
                </w:rPr>
                <w:t>Product Sale and Marketing Agreement, dated November 12, 2018, by and between the Company and Calm.com, Inc. (incorporated by</w:t>
              </w:r>
            </w:hyperlink>
          </w:p>
        </w:tc>
      </w:tr>
      <w:tr>
        <w:trPr>
          <w:trHeight w:val="196"/>
        </w:trPr>
        <w:tc>
          <w:tcPr>
            <w:tcW w:w="1140" w:type="dxa"/>
            <w:vAlign w:val="bottom"/>
          </w:tcPr>
          <w:p>
            <w:pPr>
              <w:spacing w:after="0"/>
              <w:rPr>
                <w:sz w:val="17"/>
                <w:szCs w:val="17"/>
                <w:color w:val="auto"/>
              </w:rPr>
            </w:pPr>
          </w:p>
        </w:tc>
        <w:tc>
          <w:tcPr>
            <w:tcW w:w="72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74">
              <w:r>
                <w:rPr>
                  <w:rFonts w:ascii="Arial" w:cs="Arial" w:eastAsia="Arial" w:hAnsi="Arial"/>
                  <w:sz w:val="18"/>
                  <w:szCs w:val="18"/>
                  <w:color w:val="0000EE"/>
                  <w:w w:val="92"/>
                </w:rPr>
                <w:t>reference to Exhibit 10.28 to our Annual Report on Form 10-K filed with the SEC on April 1, 2019).</w:t>
              </w:r>
            </w:hyperlink>
          </w:p>
        </w:tc>
        <w:tc>
          <w:tcPr>
            <w:tcW w:w="2840" w:type="dxa"/>
            <w:vAlign w:val="bottom"/>
            <w:gridSpan w:val="4"/>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75">
              <w:r>
                <w:rPr>
                  <w:rFonts w:ascii="Arial" w:cs="Arial" w:eastAsia="Arial" w:hAnsi="Arial"/>
                  <w:sz w:val="18"/>
                  <w:szCs w:val="18"/>
                  <w:u w:val="single" w:color="auto"/>
                  <w:color w:val="0000EE"/>
                </w:rPr>
                <w:t>10.22</w:t>
              </w:r>
            </w:hyperlink>
          </w:p>
        </w:tc>
        <w:tc>
          <w:tcPr>
            <w:tcW w:w="10100" w:type="dxa"/>
            <w:vAlign w:val="bottom"/>
            <w:tcBorders>
              <w:bottom w:val="single" w:sz="8" w:color="0000EE"/>
            </w:tcBorders>
            <w:gridSpan w:val="13"/>
          </w:tcPr>
          <w:p>
            <w:pPr>
              <w:spacing w:after="0"/>
              <w:rPr>
                <w:rFonts w:ascii="Arial" w:cs="Arial" w:eastAsia="Arial" w:hAnsi="Arial"/>
                <w:sz w:val="18"/>
                <w:szCs w:val="18"/>
                <w:color w:val="0000EE"/>
                <w:w w:val="94"/>
              </w:rPr>
            </w:pPr>
            <w:hyperlink r:id="rId75">
              <w:r>
                <w:rPr>
                  <w:rFonts w:ascii="Arial" w:cs="Arial" w:eastAsia="Arial" w:hAnsi="Arial"/>
                  <w:sz w:val="18"/>
                  <w:szCs w:val="18"/>
                  <w:color w:val="0000EE"/>
                  <w:w w:val="94"/>
                </w:rPr>
                <w:t>Amendment to Amended and Restated Product Sale and Marketing, dated as of October 30, 2019, by and between the Company and</w:t>
              </w:r>
            </w:hyperlink>
          </w:p>
        </w:tc>
      </w:tr>
      <w:tr>
        <w:trPr>
          <w:trHeight w:val="196"/>
        </w:trPr>
        <w:tc>
          <w:tcPr>
            <w:tcW w:w="1140" w:type="dxa"/>
            <w:vAlign w:val="bottom"/>
          </w:tcPr>
          <w:p>
            <w:pPr>
              <w:spacing w:after="0"/>
              <w:rPr>
                <w:sz w:val="17"/>
                <w:szCs w:val="17"/>
                <w:color w:val="auto"/>
              </w:rPr>
            </w:pPr>
          </w:p>
        </w:tc>
        <w:tc>
          <w:tcPr>
            <w:tcW w:w="10100" w:type="dxa"/>
            <w:vAlign w:val="bottom"/>
            <w:gridSpan w:val="13"/>
          </w:tcPr>
          <w:p>
            <w:pPr>
              <w:spacing w:after="0" w:line="196" w:lineRule="exact"/>
              <w:rPr>
                <w:rFonts w:ascii="Arial" w:cs="Arial" w:eastAsia="Arial" w:hAnsi="Arial"/>
                <w:sz w:val="18"/>
                <w:szCs w:val="18"/>
                <w:color w:val="0000EE"/>
                <w:w w:val="93"/>
              </w:rPr>
            </w:pPr>
            <w:hyperlink r:id="rId75">
              <w:r>
                <w:rPr>
                  <w:rFonts w:ascii="Arial" w:cs="Arial" w:eastAsia="Arial" w:hAnsi="Arial"/>
                  <w:sz w:val="18"/>
                  <w:szCs w:val="18"/>
                  <w:color w:val="0000EE"/>
                  <w:w w:val="93"/>
                </w:rPr>
                <w:t>Calm.com, Inc. (incorporated by reference from Exhibit 10.8 to our Quarterly Report on Form 10-Q filed with the SEC on November 14,</w:t>
              </w:r>
            </w:hyperlink>
          </w:p>
        </w:tc>
      </w:tr>
      <w:tr>
        <w:trPr>
          <w:trHeight w:val="196"/>
        </w:trPr>
        <w:tc>
          <w:tcPr>
            <w:tcW w:w="11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75">
              <w:r>
                <w:rPr>
                  <w:rFonts w:ascii="Arial" w:cs="Arial" w:eastAsia="Arial" w:hAnsi="Arial"/>
                  <w:sz w:val="18"/>
                  <w:szCs w:val="18"/>
                  <w:color w:val="0000EE"/>
                  <w:w w:val="86"/>
                </w:rPr>
                <w:t>2019).</w:t>
              </w:r>
            </w:hyperlink>
          </w:p>
        </w:tc>
        <w:tc>
          <w:tcPr>
            <w:tcW w:w="8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6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76">
              <w:r>
                <w:rPr>
                  <w:rFonts w:ascii="Arial" w:cs="Arial" w:eastAsia="Arial" w:hAnsi="Arial"/>
                  <w:sz w:val="18"/>
                  <w:szCs w:val="18"/>
                  <w:u w:val="single" w:color="auto"/>
                  <w:color w:val="0000EE"/>
                </w:rPr>
                <w:t>10.23†</w:t>
              </w:r>
            </w:hyperlink>
          </w:p>
        </w:tc>
        <w:tc>
          <w:tcPr>
            <w:tcW w:w="10100" w:type="dxa"/>
            <w:vAlign w:val="bottom"/>
            <w:tcBorders>
              <w:bottom w:val="single" w:sz="8" w:color="0000EE"/>
            </w:tcBorders>
            <w:gridSpan w:val="13"/>
          </w:tcPr>
          <w:p>
            <w:pPr>
              <w:spacing w:after="0"/>
              <w:rPr>
                <w:rFonts w:ascii="Arial" w:cs="Arial" w:eastAsia="Arial" w:hAnsi="Arial"/>
                <w:sz w:val="18"/>
                <w:szCs w:val="18"/>
                <w:color w:val="0000EE"/>
                <w:w w:val="92"/>
              </w:rPr>
            </w:pPr>
            <w:hyperlink r:id="rId76">
              <w:r>
                <w:rPr>
                  <w:rFonts w:ascii="Arial" w:cs="Arial" w:eastAsia="Arial" w:hAnsi="Arial"/>
                  <w:sz w:val="18"/>
                  <w:szCs w:val="18"/>
                  <w:color w:val="0000EE"/>
                  <w:w w:val="92"/>
                </w:rPr>
                <w:t>Separation Agreement between the Company and Mr. Edward Jankowski, dated March 14, 2019 (incorporated by reference from Exhibit</w:t>
              </w:r>
            </w:hyperlink>
          </w:p>
        </w:tc>
      </w:tr>
      <w:tr>
        <w:trPr>
          <w:trHeight w:val="196"/>
        </w:trPr>
        <w:tc>
          <w:tcPr>
            <w:tcW w:w="1140" w:type="dxa"/>
            <w:vAlign w:val="bottom"/>
          </w:tcPr>
          <w:p>
            <w:pPr>
              <w:spacing w:after="0"/>
              <w:rPr>
                <w:sz w:val="17"/>
                <w:szCs w:val="17"/>
                <w:color w:val="auto"/>
              </w:rPr>
            </w:pPr>
          </w:p>
        </w:tc>
        <w:tc>
          <w:tcPr>
            <w:tcW w:w="58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our Current Report on Form 8-K filed with the SEC on March 15, 2019).</w:t>
              </w:r>
            </w:hyperlink>
          </w:p>
        </w:tc>
        <w:tc>
          <w:tcPr>
            <w:tcW w:w="4300" w:type="dxa"/>
            <w:vAlign w:val="bottom"/>
            <w:gridSpan w:val="8"/>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77">
              <w:r>
                <w:rPr>
                  <w:rFonts w:ascii="Arial" w:cs="Arial" w:eastAsia="Arial" w:hAnsi="Arial"/>
                  <w:sz w:val="18"/>
                  <w:szCs w:val="18"/>
                  <w:u w:val="single" w:color="auto"/>
                  <w:color w:val="0000EE"/>
                </w:rPr>
                <w:t>10.24†</w:t>
              </w:r>
            </w:hyperlink>
          </w:p>
        </w:tc>
        <w:tc>
          <w:tcPr>
            <w:tcW w:w="10100" w:type="dxa"/>
            <w:vAlign w:val="bottom"/>
            <w:gridSpan w:val="13"/>
          </w:tcPr>
          <w:p>
            <w:pPr>
              <w:spacing w:after="0"/>
              <w:rPr>
                <w:rFonts w:ascii="Arial" w:cs="Arial" w:eastAsia="Arial" w:hAnsi="Arial"/>
                <w:sz w:val="18"/>
                <w:szCs w:val="18"/>
                <w:color w:val="0000EE"/>
                <w:w w:val="94"/>
              </w:rPr>
            </w:pPr>
            <w:hyperlink r:id="rId77">
              <w:r>
                <w:rPr>
                  <w:rFonts w:ascii="Arial" w:cs="Arial" w:eastAsia="Arial" w:hAnsi="Arial"/>
                  <w:sz w:val="18"/>
                  <w:szCs w:val="18"/>
                  <w:color w:val="0000EE"/>
                  <w:w w:val="94"/>
                </w:rPr>
                <w:t>Non-Disclosure Agreement between the Company and Mr. Edward Jankowski, dated March 14, 2019 (incorporated by reference from</w:t>
              </w:r>
            </w:hyperlink>
          </w:p>
        </w:tc>
      </w:tr>
      <w:tr>
        <w:trPr>
          <w:trHeight w:val="196"/>
        </w:trPr>
        <w:tc>
          <w:tcPr>
            <w:tcW w:w="1140" w:type="dxa"/>
            <w:vAlign w:val="bottom"/>
          </w:tcPr>
          <w:p>
            <w:pPr>
              <w:spacing w:after="0"/>
              <w:rPr>
                <w:sz w:val="17"/>
                <w:szCs w:val="17"/>
                <w:color w:val="auto"/>
              </w:rPr>
            </w:pPr>
          </w:p>
        </w:tc>
        <w:tc>
          <w:tcPr>
            <w:tcW w:w="63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77">
              <w:r>
                <w:rPr>
                  <w:rFonts w:ascii="Arial" w:cs="Arial" w:eastAsia="Arial" w:hAnsi="Arial"/>
                  <w:sz w:val="18"/>
                  <w:szCs w:val="18"/>
                  <w:color w:val="0000EE"/>
                  <w:w w:val="92"/>
                </w:rPr>
                <w:t>Exhibit 10.2 to our Current Report on Form 8-K filed with the SEC on March 15, 2019).</w:t>
              </w:r>
            </w:hyperlink>
          </w:p>
        </w:tc>
        <w:tc>
          <w:tcPr>
            <w:tcW w:w="370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78">
              <w:r>
                <w:rPr>
                  <w:rFonts w:ascii="Arial" w:cs="Arial" w:eastAsia="Arial" w:hAnsi="Arial"/>
                  <w:sz w:val="18"/>
                  <w:szCs w:val="18"/>
                  <w:u w:val="single" w:color="auto"/>
                  <w:color w:val="0000EE"/>
                </w:rPr>
                <w:t>10.25</w:t>
              </w:r>
            </w:hyperlink>
          </w:p>
        </w:tc>
        <w:tc>
          <w:tcPr>
            <w:tcW w:w="10100" w:type="dxa"/>
            <w:vAlign w:val="bottom"/>
            <w:tcBorders>
              <w:bottom w:val="single" w:sz="8" w:color="0000EE"/>
            </w:tcBorders>
            <w:gridSpan w:val="13"/>
          </w:tcPr>
          <w:p>
            <w:pPr>
              <w:spacing w:after="0"/>
              <w:rPr>
                <w:rFonts w:ascii="Arial" w:cs="Arial" w:eastAsia="Arial" w:hAnsi="Arial"/>
                <w:sz w:val="18"/>
                <w:szCs w:val="18"/>
                <w:color w:val="0000EE"/>
                <w:w w:val="89"/>
              </w:rPr>
            </w:pPr>
            <w:hyperlink r:id="rId78">
              <w:r>
                <w:rPr>
                  <w:rFonts w:ascii="Arial" w:cs="Arial" w:eastAsia="Arial" w:hAnsi="Arial"/>
                  <w:sz w:val="18"/>
                  <w:szCs w:val="18"/>
                  <w:color w:val="0000EE"/>
                  <w:w w:val="89"/>
                </w:rPr>
                <w:t>Securities Purchase Agreement, dated as of July 8, 2019, by and between the Company and Calm.com, Inc. (incorporated by reference from</w:t>
              </w:r>
            </w:hyperlink>
          </w:p>
        </w:tc>
      </w:tr>
      <w:tr>
        <w:trPr>
          <w:trHeight w:val="196"/>
        </w:trPr>
        <w:tc>
          <w:tcPr>
            <w:tcW w:w="1140" w:type="dxa"/>
            <w:vAlign w:val="bottom"/>
          </w:tcPr>
          <w:p>
            <w:pPr>
              <w:spacing w:after="0"/>
              <w:rPr>
                <w:sz w:val="17"/>
                <w:szCs w:val="17"/>
                <w:color w:val="auto"/>
              </w:rPr>
            </w:pPr>
          </w:p>
        </w:tc>
        <w:tc>
          <w:tcPr>
            <w:tcW w:w="61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78">
              <w:r>
                <w:rPr>
                  <w:rFonts w:ascii="Arial" w:cs="Arial" w:eastAsia="Arial" w:hAnsi="Arial"/>
                  <w:sz w:val="18"/>
                  <w:szCs w:val="18"/>
                  <w:color w:val="0000EE"/>
                  <w:w w:val="92"/>
                </w:rPr>
                <w:t>Exhibit 10.1 to our Current Report on Form 8-K filed with the SEC on July 8, 2019).</w:t>
              </w:r>
            </w:hyperlink>
          </w:p>
        </w:tc>
        <w:tc>
          <w:tcPr>
            <w:tcW w:w="3980" w:type="dxa"/>
            <w:vAlign w:val="bottom"/>
            <w:gridSpan w:val="7"/>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79">
              <w:r>
                <w:rPr>
                  <w:rFonts w:ascii="Arial" w:cs="Arial" w:eastAsia="Arial" w:hAnsi="Arial"/>
                  <w:sz w:val="18"/>
                  <w:szCs w:val="18"/>
                  <w:u w:val="single" w:color="auto"/>
                  <w:color w:val="0000EE"/>
                </w:rPr>
                <w:t>10.26</w:t>
              </w:r>
            </w:hyperlink>
          </w:p>
        </w:tc>
        <w:tc>
          <w:tcPr>
            <w:tcW w:w="10100" w:type="dxa"/>
            <w:vAlign w:val="bottom"/>
            <w:gridSpan w:val="13"/>
          </w:tcPr>
          <w:p>
            <w:pPr>
              <w:spacing w:after="0"/>
              <w:rPr>
                <w:rFonts w:ascii="Arial" w:cs="Arial" w:eastAsia="Arial" w:hAnsi="Arial"/>
                <w:sz w:val="18"/>
                <w:szCs w:val="18"/>
                <w:color w:val="0000EE"/>
                <w:w w:val="90"/>
              </w:rPr>
            </w:pPr>
            <w:hyperlink r:id="rId79">
              <w:r>
                <w:rPr>
                  <w:rFonts w:ascii="Arial" w:cs="Arial" w:eastAsia="Arial" w:hAnsi="Arial"/>
                  <w:sz w:val="18"/>
                  <w:szCs w:val="18"/>
                  <w:color w:val="0000EE"/>
                  <w:w w:val="90"/>
                </w:rPr>
                <w:t>Registration Rights Agreement, dated as of July 8, 2019, by and between the Company and Calm.com, Inc. (incorporated by reference from</w:t>
              </w:r>
            </w:hyperlink>
          </w:p>
        </w:tc>
      </w:tr>
      <w:tr>
        <w:trPr>
          <w:trHeight w:val="196"/>
        </w:trPr>
        <w:tc>
          <w:tcPr>
            <w:tcW w:w="1140" w:type="dxa"/>
            <w:vAlign w:val="bottom"/>
          </w:tcPr>
          <w:p>
            <w:pPr>
              <w:spacing w:after="0"/>
              <w:rPr>
                <w:sz w:val="17"/>
                <w:szCs w:val="17"/>
                <w:color w:val="auto"/>
              </w:rPr>
            </w:pPr>
          </w:p>
        </w:tc>
        <w:tc>
          <w:tcPr>
            <w:tcW w:w="61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79">
              <w:r>
                <w:rPr>
                  <w:rFonts w:ascii="Arial" w:cs="Arial" w:eastAsia="Arial" w:hAnsi="Arial"/>
                  <w:sz w:val="18"/>
                  <w:szCs w:val="18"/>
                  <w:color w:val="0000EE"/>
                  <w:w w:val="92"/>
                </w:rPr>
                <w:t>Exhibit 10.2 to our Current Report on Form 8-K filed with the SEC on July 8, 2019).</w:t>
              </w:r>
            </w:hyperlink>
          </w:p>
        </w:tc>
        <w:tc>
          <w:tcPr>
            <w:tcW w:w="396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80">
              <w:r>
                <w:rPr>
                  <w:rFonts w:ascii="Arial" w:cs="Arial" w:eastAsia="Arial" w:hAnsi="Arial"/>
                  <w:sz w:val="18"/>
                  <w:szCs w:val="18"/>
                  <w:u w:val="single" w:color="auto"/>
                  <w:color w:val="0000EE"/>
                </w:rPr>
                <w:t>10.27</w:t>
              </w:r>
            </w:hyperlink>
          </w:p>
        </w:tc>
        <w:tc>
          <w:tcPr>
            <w:tcW w:w="10100" w:type="dxa"/>
            <w:vAlign w:val="bottom"/>
            <w:tcBorders>
              <w:bottom w:val="single" w:sz="8" w:color="0000EE"/>
            </w:tcBorders>
            <w:gridSpan w:val="13"/>
          </w:tcPr>
          <w:p>
            <w:pPr>
              <w:spacing w:after="0"/>
              <w:rPr>
                <w:rFonts w:ascii="Arial" w:cs="Arial" w:eastAsia="Arial" w:hAnsi="Arial"/>
                <w:sz w:val="18"/>
                <w:szCs w:val="18"/>
                <w:color w:val="0000EE"/>
                <w:w w:val="90"/>
              </w:rPr>
            </w:pPr>
            <w:hyperlink r:id="rId80">
              <w:r>
                <w:rPr>
                  <w:rFonts w:ascii="Arial" w:cs="Arial" w:eastAsia="Arial" w:hAnsi="Arial"/>
                  <w:sz w:val="18"/>
                  <w:szCs w:val="18"/>
                  <w:color w:val="0000EE"/>
                  <w:w w:val="90"/>
                </w:rPr>
                <w:t>Amendment No. 3 to Agreement and Plan of Merger, dated as of October 1, 2019, by and between the Company, XpresSpa Holdings, LLC,</w:t>
              </w:r>
            </w:hyperlink>
          </w:p>
        </w:tc>
      </w:tr>
      <w:tr>
        <w:trPr>
          <w:trHeight w:val="196"/>
        </w:trPr>
        <w:tc>
          <w:tcPr>
            <w:tcW w:w="1140" w:type="dxa"/>
            <w:vAlign w:val="bottom"/>
          </w:tcPr>
          <w:p>
            <w:pPr>
              <w:spacing w:after="0"/>
              <w:rPr>
                <w:sz w:val="17"/>
                <w:szCs w:val="17"/>
                <w:color w:val="auto"/>
              </w:rPr>
            </w:pPr>
          </w:p>
        </w:tc>
        <w:tc>
          <w:tcPr>
            <w:tcW w:w="10100" w:type="dxa"/>
            <w:vAlign w:val="bottom"/>
            <w:gridSpan w:val="13"/>
          </w:tcPr>
          <w:p>
            <w:pPr>
              <w:spacing w:after="0" w:line="196"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and Mistral XH Representative, LLC, as representative of the unitholders of the Company (incorporated by reference from Exhibit 10.1 to</w:t>
              </w:r>
            </w:hyperlink>
          </w:p>
        </w:tc>
      </w:tr>
      <w:tr>
        <w:trPr>
          <w:trHeight w:val="196"/>
        </w:trPr>
        <w:tc>
          <w:tcPr>
            <w:tcW w:w="1140" w:type="dxa"/>
            <w:vAlign w:val="bottom"/>
          </w:tcPr>
          <w:p>
            <w:pPr>
              <w:spacing w:after="0"/>
              <w:rPr>
                <w:sz w:val="17"/>
                <w:szCs w:val="17"/>
                <w:color w:val="auto"/>
              </w:rPr>
            </w:pPr>
          </w:p>
        </w:tc>
        <w:tc>
          <w:tcPr>
            <w:tcW w:w="5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80">
              <w:r>
                <w:rPr>
                  <w:rFonts w:ascii="Arial" w:cs="Arial" w:eastAsia="Arial" w:hAnsi="Arial"/>
                  <w:sz w:val="18"/>
                  <w:szCs w:val="18"/>
                  <w:color w:val="0000EE"/>
                  <w:w w:val="91"/>
                </w:rPr>
                <w:t>our Current Report on Form 8-K filed with the SEC on October 3, 2019).</w:t>
              </w:r>
            </w:hyperlink>
          </w:p>
        </w:tc>
        <w:tc>
          <w:tcPr>
            <w:tcW w:w="480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81">
              <w:r>
                <w:rPr>
                  <w:rFonts w:ascii="Arial" w:cs="Arial" w:eastAsia="Arial" w:hAnsi="Arial"/>
                  <w:sz w:val="18"/>
                  <w:szCs w:val="18"/>
                  <w:u w:val="single" w:color="auto"/>
                  <w:color w:val="0000EE"/>
                </w:rPr>
                <w:t>10.28</w:t>
              </w:r>
            </w:hyperlink>
          </w:p>
        </w:tc>
        <w:tc>
          <w:tcPr>
            <w:tcW w:w="10100" w:type="dxa"/>
            <w:vAlign w:val="bottom"/>
            <w:tcBorders>
              <w:bottom w:val="single" w:sz="8" w:color="0000EE"/>
            </w:tcBorders>
            <w:gridSpan w:val="13"/>
          </w:tcPr>
          <w:p>
            <w:pPr>
              <w:spacing w:after="0"/>
              <w:rPr>
                <w:rFonts w:ascii="Arial" w:cs="Arial" w:eastAsia="Arial" w:hAnsi="Arial"/>
                <w:sz w:val="18"/>
                <w:szCs w:val="18"/>
                <w:color w:val="0000EE"/>
                <w:w w:val="90"/>
              </w:rPr>
            </w:pPr>
            <w:hyperlink r:id="rId81">
              <w:r>
                <w:rPr>
                  <w:rFonts w:ascii="Arial" w:cs="Arial" w:eastAsia="Arial" w:hAnsi="Arial"/>
                  <w:sz w:val="18"/>
                  <w:szCs w:val="18"/>
                  <w:color w:val="0000EE"/>
                  <w:w w:val="90"/>
                </w:rPr>
                <w:t>Form of Accounts Receivable Advance, dated as of January 9, 2020, by and between certain subsidiaries of the Company and CC Funding,</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81">
              <w:r>
                <w:rPr>
                  <w:rFonts w:ascii="Arial" w:cs="Arial" w:eastAsia="Arial" w:hAnsi="Arial"/>
                  <w:sz w:val="18"/>
                  <w:szCs w:val="18"/>
                  <w:color w:val="0000EE"/>
                  <w:w w:val="93"/>
                </w:rPr>
                <w:t>a division of Credit Cash NJ, LLC (incorporated by reference from Exhibit 10.1 to our Current Report on Form 8-K filed with the SEC on</w:t>
              </w:r>
            </w:hyperlink>
          </w:p>
        </w:tc>
      </w:tr>
      <w:tr>
        <w:trPr>
          <w:trHeight w:val="196"/>
        </w:trPr>
        <w:tc>
          <w:tcPr>
            <w:tcW w:w="1140" w:type="dxa"/>
            <w:vAlign w:val="bottom"/>
          </w:tcPr>
          <w:p>
            <w:pPr>
              <w:spacing w:after="0"/>
              <w:rPr>
                <w:sz w:val="17"/>
                <w:szCs w:val="17"/>
                <w:color w:val="auto"/>
              </w:rPr>
            </w:pPr>
          </w:p>
        </w:tc>
        <w:tc>
          <w:tcPr>
            <w:tcW w:w="10100" w:type="dxa"/>
            <w:vAlign w:val="bottom"/>
            <w:gridSpan w:val="13"/>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January 14, 2020).</w:t>
              </w:r>
            </w:hyperlink>
          </w:p>
        </w:tc>
      </w:tr>
      <w:tr>
        <w:trPr>
          <w:trHeight w:val="695"/>
        </w:trPr>
        <w:tc>
          <w:tcPr>
            <w:tcW w:w="1140" w:type="dxa"/>
            <w:vAlign w:val="bottom"/>
            <w:tcBorders>
              <w:bottom w:val="single" w:sz="8" w:color="auto"/>
            </w:tcBorders>
          </w:tcPr>
          <w:p>
            <w:pPr>
              <w:spacing w:after="0"/>
              <w:rPr>
                <w:sz w:val="24"/>
                <w:szCs w:val="24"/>
                <w:color w:val="auto"/>
              </w:rPr>
            </w:pPr>
          </w:p>
        </w:tc>
        <w:tc>
          <w:tcPr>
            <w:tcW w:w="1340" w:type="dxa"/>
            <w:vAlign w:val="bottom"/>
            <w:tcBorders>
              <w:top w:val="single" w:sz="8" w:color="0000EE"/>
              <w:bottom w:val="single" w:sz="8" w:color="auto"/>
            </w:tcBorders>
            <w:gridSpan w:val="2"/>
          </w:tcPr>
          <w:p>
            <w:pPr>
              <w:spacing w:after="0"/>
              <w:rPr>
                <w:sz w:val="24"/>
                <w:szCs w:val="24"/>
                <w:color w:val="auto"/>
              </w:rPr>
            </w:pPr>
          </w:p>
        </w:tc>
        <w:tc>
          <w:tcPr>
            <w:tcW w:w="394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8"/>
                <w:szCs w:val="18"/>
                <w:color w:val="auto"/>
              </w:rPr>
              <w:t>19</w:t>
            </w:r>
          </w:p>
        </w:tc>
        <w:tc>
          <w:tcPr>
            <w:tcW w:w="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jc w:val="right"/>
              <w:ind w:right="630"/>
              <w:spacing w:after="0"/>
              <w:rPr>
                <w:rFonts w:ascii="Arial" w:cs="Arial" w:eastAsia="Arial" w:hAnsi="Arial"/>
                <w:sz w:val="18"/>
                <w:szCs w:val="18"/>
                <w:u w:val="single" w:color="auto"/>
                <w:color w:val="0000EE"/>
                <w:w w:val="88"/>
              </w:rPr>
            </w:pPr>
            <w:hyperlink r:id="rId82">
              <w:r>
                <w:rPr>
                  <w:rFonts w:ascii="Arial" w:cs="Arial" w:eastAsia="Arial" w:hAnsi="Arial"/>
                  <w:sz w:val="18"/>
                  <w:szCs w:val="18"/>
                  <w:u w:val="single" w:color="auto"/>
                  <w:color w:val="0000EE"/>
                  <w:w w:val="88"/>
                </w:rPr>
                <w:t>10.29</w:t>
              </w:r>
            </w:hyperlink>
          </w:p>
        </w:tc>
        <w:tc>
          <w:tcPr>
            <w:tcW w:w="10100" w:type="dxa"/>
            <w:vAlign w:val="bottom"/>
            <w:tcBorders>
              <w:bottom w:val="single" w:sz="8" w:color="0000EE"/>
            </w:tcBorders>
            <w:gridSpan w:val="5"/>
          </w:tcPr>
          <w:p>
            <w:pPr>
              <w:spacing w:after="0"/>
              <w:rPr>
                <w:rFonts w:ascii="Arial" w:cs="Arial" w:eastAsia="Arial" w:hAnsi="Arial"/>
                <w:sz w:val="18"/>
                <w:szCs w:val="18"/>
                <w:color w:val="0000EE"/>
                <w:w w:val="89"/>
              </w:rPr>
            </w:pPr>
            <w:hyperlink r:id="rId82">
              <w:r>
                <w:rPr>
                  <w:rFonts w:ascii="Arial" w:cs="Arial" w:eastAsia="Arial" w:hAnsi="Arial"/>
                  <w:sz w:val="18"/>
                  <w:szCs w:val="18"/>
                  <w:color w:val="0000EE"/>
                  <w:w w:val="89"/>
                </w:rPr>
                <w:t>Securities Purchase Agreement, date as of March 19, 2020, by and between the Company and the purchasers party thereto (incorporated by</w:t>
              </w:r>
            </w:hyperlink>
          </w:p>
        </w:tc>
      </w:tr>
      <w:tr>
        <w:trPr>
          <w:trHeight w:val="196"/>
        </w:trPr>
        <w:tc>
          <w:tcPr>
            <w:tcW w:w="1140" w:type="dxa"/>
            <w:vAlign w:val="bottom"/>
          </w:tcPr>
          <w:p>
            <w:pPr>
              <w:spacing w:after="0"/>
              <w:rPr>
                <w:sz w:val="17"/>
                <w:szCs w:val="17"/>
                <w:color w:val="auto"/>
              </w:rPr>
            </w:pPr>
          </w:p>
        </w:tc>
        <w:tc>
          <w:tcPr>
            <w:tcW w:w="81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reference to Exhibit 10.1 to the Company’s Current Report on Form 8-K filed with the SEC on March 19, 2020).</w:t>
              </w:r>
            </w:hyperlink>
          </w:p>
        </w:tc>
        <w:tc>
          <w:tcPr>
            <w:tcW w:w="1980" w:type="dxa"/>
            <w:vAlign w:val="bottom"/>
          </w:tcPr>
          <w:p>
            <w:pPr>
              <w:spacing w:after="0"/>
              <w:rPr>
                <w:sz w:val="17"/>
                <w:szCs w:val="17"/>
                <w:color w:val="auto"/>
              </w:rPr>
            </w:pPr>
          </w:p>
        </w:tc>
      </w:tr>
      <w:tr>
        <w:trPr>
          <w:trHeight w:val="412"/>
        </w:trPr>
        <w:tc>
          <w:tcPr>
            <w:tcW w:w="1140" w:type="dxa"/>
            <w:vAlign w:val="bottom"/>
          </w:tcPr>
          <w:p>
            <w:pPr>
              <w:jc w:val="right"/>
              <w:ind w:right="630"/>
              <w:spacing w:after="0"/>
              <w:rPr>
                <w:rFonts w:ascii="Arial" w:cs="Arial" w:eastAsia="Arial" w:hAnsi="Arial"/>
                <w:sz w:val="18"/>
                <w:szCs w:val="18"/>
                <w:u w:val="single" w:color="auto"/>
                <w:color w:val="0000EE"/>
                <w:w w:val="88"/>
              </w:rPr>
            </w:pPr>
            <w:hyperlink r:id="rId83">
              <w:r>
                <w:rPr>
                  <w:rFonts w:ascii="Arial" w:cs="Arial" w:eastAsia="Arial" w:hAnsi="Arial"/>
                  <w:sz w:val="18"/>
                  <w:szCs w:val="18"/>
                  <w:u w:val="single" w:color="auto"/>
                  <w:color w:val="0000EE"/>
                  <w:w w:val="88"/>
                </w:rPr>
                <w:t>10.30</w:t>
              </w:r>
            </w:hyperlink>
          </w:p>
        </w:tc>
        <w:tc>
          <w:tcPr>
            <w:tcW w:w="10100" w:type="dxa"/>
            <w:vAlign w:val="bottom"/>
            <w:tcBorders>
              <w:bottom w:val="single" w:sz="8" w:color="0000EE"/>
            </w:tcBorders>
            <w:gridSpan w:val="5"/>
          </w:tcPr>
          <w:p>
            <w:pPr>
              <w:spacing w:after="0"/>
              <w:rPr>
                <w:rFonts w:ascii="Arial" w:cs="Arial" w:eastAsia="Arial" w:hAnsi="Arial"/>
                <w:sz w:val="18"/>
                <w:szCs w:val="18"/>
                <w:color w:val="0000EE"/>
                <w:w w:val="92"/>
              </w:rPr>
            </w:pPr>
            <w:hyperlink r:id="rId83">
              <w:r>
                <w:rPr>
                  <w:rFonts w:ascii="Arial" w:cs="Arial" w:eastAsia="Arial" w:hAnsi="Arial"/>
                  <w:sz w:val="18"/>
                  <w:szCs w:val="18"/>
                  <w:color w:val="0000EE"/>
                  <w:w w:val="92"/>
                </w:rPr>
                <w:t>Form of Exchange Agreement, date as of March 19, 2020 (incorporated by reference to Exhibit 10.2 to the Company’s Current Report on</w:t>
              </w:r>
            </w:hyperlink>
          </w:p>
        </w:tc>
      </w:tr>
      <w:tr>
        <w:trPr>
          <w:trHeight w:val="196"/>
        </w:trPr>
        <w:tc>
          <w:tcPr>
            <w:tcW w:w="1140" w:type="dxa"/>
            <w:vAlign w:val="bottom"/>
          </w:tcPr>
          <w:p>
            <w:pPr>
              <w:spacing w:after="0"/>
              <w:rPr>
                <w:sz w:val="17"/>
                <w:szCs w:val="17"/>
                <w:color w:val="auto"/>
              </w:rPr>
            </w:pPr>
          </w:p>
        </w:tc>
        <w:tc>
          <w:tcPr>
            <w:tcW w:w="362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83">
              <w:r>
                <w:rPr>
                  <w:rFonts w:ascii="Arial" w:cs="Arial" w:eastAsia="Arial" w:hAnsi="Arial"/>
                  <w:sz w:val="18"/>
                  <w:szCs w:val="18"/>
                  <w:color w:val="0000EE"/>
                  <w:w w:val="92"/>
                </w:rPr>
                <w:t>Form 8-K filed with the SEC on March 19, 2020).</w:t>
              </w:r>
            </w:hyperlink>
          </w:p>
        </w:tc>
        <w:tc>
          <w:tcPr>
            <w:tcW w:w="6480" w:type="dxa"/>
            <w:vAlign w:val="bottom"/>
            <w:gridSpan w:val="4"/>
          </w:tcPr>
          <w:p>
            <w:pPr>
              <w:spacing w:after="0"/>
              <w:rPr>
                <w:sz w:val="17"/>
                <w:szCs w:val="17"/>
                <w:color w:val="auto"/>
              </w:rPr>
            </w:pPr>
          </w:p>
        </w:tc>
      </w:tr>
      <w:tr>
        <w:trPr>
          <w:trHeight w:val="412"/>
        </w:trPr>
        <w:tc>
          <w:tcPr>
            <w:tcW w:w="1140" w:type="dxa"/>
            <w:vAlign w:val="bottom"/>
          </w:tcPr>
          <w:p>
            <w:pPr>
              <w:jc w:val="right"/>
              <w:ind w:right="630"/>
              <w:spacing w:after="0"/>
              <w:rPr>
                <w:rFonts w:ascii="Arial" w:cs="Arial" w:eastAsia="Arial" w:hAnsi="Arial"/>
                <w:sz w:val="18"/>
                <w:szCs w:val="18"/>
                <w:u w:val="single" w:color="auto"/>
                <w:color w:val="0000EE"/>
                <w:w w:val="88"/>
              </w:rPr>
            </w:pPr>
            <w:hyperlink r:id="rId84">
              <w:r>
                <w:rPr>
                  <w:rFonts w:ascii="Arial" w:cs="Arial" w:eastAsia="Arial" w:hAnsi="Arial"/>
                  <w:sz w:val="18"/>
                  <w:szCs w:val="18"/>
                  <w:u w:val="single" w:color="auto"/>
                  <w:color w:val="0000EE"/>
                  <w:w w:val="88"/>
                </w:rPr>
                <w:t>10.31</w:t>
              </w:r>
            </w:hyperlink>
          </w:p>
        </w:tc>
        <w:tc>
          <w:tcPr>
            <w:tcW w:w="10100" w:type="dxa"/>
            <w:vAlign w:val="bottom"/>
            <w:tcBorders>
              <w:bottom w:val="single" w:sz="8" w:color="0000EE"/>
            </w:tcBorders>
            <w:gridSpan w:val="5"/>
          </w:tcPr>
          <w:p>
            <w:pPr>
              <w:spacing w:after="0"/>
              <w:rPr>
                <w:rFonts w:ascii="Arial" w:cs="Arial" w:eastAsia="Arial" w:hAnsi="Arial"/>
                <w:sz w:val="18"/>
                <w:szCs w:val="18"/>
                <w:color w:val="0000EE"/>
                <w:w w:val="92"/>
              </w:rPr>
            </w:pPr>
            <w:hyperlink r:id="rId84">
              <w:r>
                <w:rPr>
                  <w:rFonts w:ascii="Arial" w:cs="Arial" w:eastAsia="Arial" w:hAnsi="Arial"/>
                  <w:sz w:val="18"/>
                  <w:szCs w:val="18"/>
                  <w:color w:val="0000EE"/>
                  <w:w w:val="92"/>
                </w:rPr>
                <w:t>Voting Agreement, date as of March 19, 2020, by and between the Company and Mistral Spa Holdings LLC (incorporated by reference to</w:t>
              </w:r>
            </w:hyperlink>
          </w:p>
        </w:tc>
      </w:tr>
      <w:tr>
        <w:trPr>
          <w:trHeight w:val="196"/>
        </w:trPr>
        <w:tc>
          <w:tcPr>
            <w:tcW w:w="1140" w:type="dxa"/>
            <w:vAlign w:val="bottom"/>
          </w:tcPr>
          <w:p>
            <w:pPr>
              <w:spacing w:after="0"/>
              <w:rPr>
                <w:sz w:val="17"/>
                <w:szCs w:val="17"/>
                <w:color w:val="auto"/>
              </w:rPr>
            </w:pPr>
          </w:p>
        </w:tc>
        <w:tc>
          <w:tcPr>
            <w:tcW w:w="72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84">
              <w:r>
                <w:rPr>
                  <w:rFonts w:ascii="Arial" w:cs="Arial" w:eastAsia="Arial" w:hAnsi="Arial"/>
                  <w:sz w:val="18"/>
                  <w:szCs w:val="18"/>
                  <w:color w:val="0000EE"/>
                  <w:w w:val="92"/>
                </w:rPr>
                <w:t>Exhibit 10.3 to the Company’s Current Report on Form 8-K filed with the SEC on March 19, 2020).</w:t>
              </w:r>
            </w:hyperlink>
          </w:p>
        </w:tc>
        <w:tc>
          <w:tcPr>
            <w:tcW w:w="2880" w:type="dxa"/>
            <w:vAlign w:val="bottom"/>
            <w:gridSpan w:val="3"/>
          </w:tcPr>
          <w:p>
            <w:pPr>
              <w:spacing w:after="0"/>
              <w:rPr>
                <w:sz w:val="17"/>
                <w:szCs w:val="17"/>
                <w:color w:val="auto"/>
              </w:rPr>
            </w:pPr>
          </w:p>
        </w:tc>
      </w:tr>
      <w:tr>
        <w:trPr>
          <w:trHeight w:val="412"/>
        </w:trPr>
        <w:tc>
          <w:tcPr>
            <w:tcW w:w="1140" w:type="dxa"/>
            <w:vAlign w:val="bottom"/>
          </w:tcPr>
          <w:p>
            <w:pPr>
              <w:jc w:val="right"/>
              <w:ind w:right="630"/>
              <w:spacing w:after="0"/>
              <w:rPr>
                <w:rFonts w:ascii="Arial" w:cs="Arial" w:eastAsia="Arial" w:hAnsi="Arial"/>
                <w:sz w:val="18"/>
                <w:szCs w:val="18"/>
                <w:u w:val="single" w:color="auto"/>
                <w:color w:val="0000EE"/>
                <w:w w:val="88"/>
              </w:rPr>
            </w:pPr>
            <w:hyperlink r:id="rId85">
              <w:r>
                <w:rPr>
                  <w:rFonts w:ascii="Arial" w:cs="Arial" w:eastAsia="Arial" w:hAnsi="Arial"/>
                  <w:sz w:val="18"/>
                  <w:szCs w:val="18"/>
                  <w:u w:val="single" w:color="auto"/>
                  <w:color w:val="0000EE"/>
                  <w:w w:val="88"/>
                </w:rPr>
                <w:t>10.32</w:t>
              </w:r>
            </w:hyperlink>
          </w:p>
        </w:tc>
        <w:tc>
          <w:tcPr>
            <w:tcW w:w="10100" w:type="dxa"/>
            <w:vAlign w:val="bottom"/>
            <w:tcBorders>
              <w:bottom w:val="single" w:sz="8" w:color="0000EE"/>
            </w:tcBorders>
            <w:gridSpan w:val="5"/>
          </w:tcPr>
          <w:p>
            <w:pPr>
              <w:spacing w:after="0"/>
              <w:rPr>
                <w:rFonts w:ascii="Arial" w:cs="Arial" w:eastAsia="Arial" w:hAnsi="Arial"/>
                <w:sz w:val="18"/>
                <w:szCs w:val="18"/>
                <w:color w:val="0000EE"/>
                <w:w w:val="89"/>
              </w:rPr>
            </w:pPr>
            <w:hyperlink r:id="rId85">
              <w:r>
                <w:rPr>
                  <w:rFonts w:ascii="Arial" w:cs="Arial" w:eastAsia="Arial" w:hAnsi="Arial"/>
                  <w:sz w:val="18"/>
                  <w:szCs w:val="18"/>
                  <w:color w:val="0000EE"/>
                  <w:w w:val="89"/>
                </w:rPr>
                <w:t>Securities Purchase Agreement, date as of March 25, 2020, by and between the Company and the purchasers party thereto (incorporated by</w:t>
              </w:r>
            </w:hyperlink>
          </w:p>
        </w:tc>
      </w:tr>
      <w:tr>
        <w:trPr>
          <w:trHeight w:val="196"/>
        </w:trPr>
        <w:tc>
          <w:tcPr>
            <w:tcW w:w="1140" w:type="dxa"/>
            <w:vAlign w:val="bottom"/>
          </w:tcPr>
          <w:p>
            <w:pPr>
              <w:spacing w:after="0"/>
              <w:rPr>
                <w:sz w:val="17"/>
                <w:szCs w:val="17"/>
                <w:color w:val="auto"/>
              </w:rPr>
            </w:pPr>
          </w:p>
        </w:tc>
        <w:tc>
          <w:tcPr>
            <w:tcW w:w="81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reference to Exhibit 10.1 to the Company’s Current Report on Form 8-K filed with the SEC on March 25, 2020).</w:t>
              </w:r>
            </w:hyperlink>
          </w:p>
        </w:tc>
        <w:tc>
          <w:tcPr>
            <w:tcW w:w="1980" w:type="dxa"/>
            <w:vAlign w:val="bottom"/>
          </w:tcPr>
          <w:p>
            <w:pPr>
              <w:spacing w:after="0"/>
              <w:rPr>
                <w:sz w:val="17"/>
                <w:szCs w:val="17"/>
                <w:color w:val="auto"/>
              </w:rPr>
            </w:pPr>
          </w:p>
        </w:tc>
      </w:tr>
      <w:tr>
        <w:trPr>
          <w:trHeight w:val="412"/>
        </w:trPr>
        <w:tc>
          <w:tcPr>
            <w:tcW w:w="1140" w:type="dxa"/>
            <w:vAlign w:val="bottom"/>
          </w:tcPr>
          <w:p>
            <w:pPr>
              <w:jc w:val="right"/>
              <w:ind w:right="630"/>
              <w:spacing w:after="0"/>
              <w:rPr>
                <w:rFonts w:ascii="Arial" w:cs="Arial" w:eastAsia="Arial" w:hAnsi="Arial"/>
                <w:sz w:val="18"/>
                <w:szCs w:val="18"/>
                <w:u w:val="single" w:color="auto"/>
                <w:color w:val="0000EE"/>
                <w:w w:val="88"/>
              </w:rPr>
            </w:pPr>
            <w:hyperlink r:id="rId86">
              <w:r>
                <w:rPr>
                  <w:rFonts w:ascii="Arial" w:cs="Arial" w:eastAsia="Arial" w:hAnsi="Arial"/>
                  <w:sz w:val="18"/>
                  <w:szCs w:val="18"/>
                  <w:u w:val="single" w:color="auto"/>
                  <w:color w:val="0000EE"/>
                  <w:w w:val="88"/>
                </w:rPr>
                <w:t>10.33</w:t>
              </w:r>
            </w:hyperlink>
          </w:p>
        </w:tc>
        <w:tc>
          <w:tcPr>
            <w:tcW w:w="10100" w:type="dxa"/>
            <w:vAlign w:val="bottom"/>
            <w:tcBorders>
              <w:bottom w:val="single" w:sz="8" w:color="0000EE"/>
            </w:tcBorders>
            <w:gridSpan w:val="5"/>
          </w:tcPr>
          <w:p>
            <w:pPr>
              <w:spacing w:after="0"/>
              <w:rPr>
                <w:rFonts w:ascii="Arial" w:cs="Arial" w:eastAsia="Arial" w:hAnsi="Arial"/>
                <w:sz w:val="18"/>
                <w:szCs w:val="18"/>
                <w:color w:val="0000EE"/>
                <w:w w:val="89"/>
              </w:rPr>
            </w:pPr>
            <w:hyperlink r:id="rId86">
              <w:r>
                <w:rPr>
                  <w:rFonts w:ascii="Arial" w:cs="Arial" w:eastAsia="Arial" w:hAnsi="Arial"/>
                  <w:sz w:val="18"/>
                  <w:szCs w:val="18"/>
                  <w:color w:val="0000EE"/>
                  <w:w w:val="89"/>
                </w:rPr>
                <w:t>Securities Purchase Agreement, date as of March 27, 2020, by and between the Company and the purchasers party thereto (incorporated by</w:t>
              </w:r>
            </w:hyperlink>
          </w:p>
        </w:tc>
      </w:tr>
      <w:tr>
        <w:trPr>
          <w:trHeight w:val="196"/>
        </w:trPr>
        <w:tc>
          <w:tcPr>
            <w:tcW w:w="1140" w:type="dxa"/>
            <w:vAlign w:val="bottom"/>
          </w:tcPr>
          <w:p>
            <w:pPr>
              <w:spacing w:after="0"/>
              <w:rPr>
                <w:sz w:val="17"/>
                <w:szCs w:val="17"/>
                <w:color w:val="auto"/>
              </w:rPr>
            </w:pPr>
          </w:p>
        </w:tc>
        <w:tc>
          <w:tcPr>
            <w:tcW w:w="81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reference to Exhibit 10.1 to the Company’s Current Report on Form 8-K filed with the SEC on March 27, 2020).</w:t>
              </w:r>
            </w:hyperlink>
          </w:p>
        </w:tc>
        <w:tc>
          <w:tcPr>
            <w:tcW w:w="1980" w:type="dxa"/>
            <w:vAlign w:val="bottom"/>
          </w:tcPr>
          <w:p>
            <w:pPr>
              <w:spacing w:after="0"/>
              <w:rPr>
                <w:sz w:val="17"/>
                <w:szCs w:val="17"/>
                <w:color w:val="auto"/>
              </w:rPr>
            </w:pPr>
          </w:p>
        </w:tc>
      </w:tr>
      <w:tr>
        <w:trPr>
          <w:trHeight w:val="412"/>
        </w:trPr>
        <w:tc>
          <w:tcPr>
            <w:tcW w:w="1140" w:type="dxa"/>
            <w:vAlign w:val="bottom"/>
          </w:tcPr>
          <w:p>
            <w:pPr>
              <w:jc w:val="right"/>
              <w:ind w:right="630"/>
              <w:spacing w:after="0"/>
              <w:rPr>
                <w:rFonts w:ascii="Arial" w:cs="Arial" w:eastAsia="Arial" w:hAnsi="Arial"/>
                <w:sz w:val="18"/>
                <w:szCs w:val="18"/>
                <w:u w:val="single" w:color="auto"/>
                <w:color w:val="0000EE"/>
                <w:w w:val="88"/>
              </w:rPr>
            </w:pPr>
            <w:hyperlink r:id="rId87">
              <w:r>
                <w:rPr>
                  <w:rFonts w:ascii="Arial" w:cs="Arial" w:eastAsia="Arial" w:hAnsi="Arial"/>
                  <w:sz w:val="18"/>
                  <w:szCs w:val="18"/>
                  <w:u w:val="single" w:color="auto"/>
                  <w:color w:val="0000EE"/>
                  <w:w w:val="88"/>
                </w:rPr>
                <w:t>10.34</w:t>
              </w:r>
            </w:hyperlink>
          </w:p>
        </w:tc>
        <w:tc>
          <w:tcPr>
            <w:tcW w:w="10100" w:type="dxa"/>
            <w:vAlign w:val="bottom"/>
            <w:tcBorders>
              <w:bottom w:val="single" w:sz="8" w:color="0000EE"/>
            </w:tcBorders>
            <w:gridSpan w:val="5"/>
          </w:tcPr>
          <w:p>
            <w:pPr>
              <w:spacing w:after="0"/>
              <w:rPr>
                <w:rFonts w:ascii="Arial" w:cs="Arial" w:eastAsia="Arial" w:hAnsi="Arial"/>
                <w:sz w:val="18"/>
                <w:szCs w:val="18"/>
                <w:color w:val="0000EE"/>
                <w:w w:val="91"/>
              </w:rPr>
            </w:pPr>
            <w:hyperlink r:id="rId87">
              <w:r>
                <w:rPr>
                  <w:rFonts w:ascii="Arial" w:cs="Arial" w:eastAsia="Arial" w:hAnsi="Arial"/>
                  <w:sz w:val="18"/>
                  <w:szCs w:val="18"/>
                  <w:color w:val="0000EE"/>
                  <w:w w:val="91"/>
                </w:rPr>
                <w:t>Securities Purchase Agreement, date as of April 6, 2020, by and between the Company and the purchasers party thereto (incorporated by</w:t>
              </w:r>
            </w:hyperlink>
          </w:p>
        </w:tc>
      </w:tr>
      <w:tr>
        <w:trPr>
          <w:trHeight w:val="196"/>
        </w:trPr>
        <w:tc>
          <w:tcPr>
            <w:tcW w:w="1140" w:type="dxa"/>
            <w:vAlign w:val="bottom"/>
          </w:tcPr>
          <w:p>
            <w:pPr>
              <w:spacing w:after="0"/>
              <w:rPr>
                <w:sz w:val="17"/>
                <w:szCs w:val="17"/>
                <w:color w:val="auto"/>
              </w:rPr>
            </w:pPr>
          </w:p>
        </w:tc>
        <w:tc>
          <w:tcPr>
            <w:tcW w:w="79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87">
              <w:r>
                <w:rPr>
                  <w:rFonts w:ascii="Arial" w:cs="Arial" w:eastAsia="Arial" w:hAnsi="Arial"/>
                  <w:sz w:val="18"/>
                  <w:szCs w:val="18"/>
                  <w:color w:val="0000EE"/>
                  <w:w w:val="92"/>
                </w:rPr>
                <w:t>reference to Exhibit 10.1 to the Company’s Current Report on Form 8-K filed with the SEC on April 7, 2020).</w:t>
              </w:r>
            </w:hyperlink>
          </w:p>
        </w:tc>
        <w:tc>
          <w:tcPr>
            <w:tcW w:w="2160" w:type="dxa"/>
            <w:vAlign w:val="bottom"/>
            <w:gridSpan w:val="2"/>
          </w:tcPr>
          <w:p>
            <w:pPr>
              <w:spacing w:after="0"/>
              <w:rPr>
                <w:sz w:val="17"/>
                <w:szCs w:val="17"/>
                <w:color w:val="auto"/>
              </w:rPr>
            </w:pPr>
          </w:p>
        </w:tc>
      </w:tr>
    </w:tbl>
    <w:p>
      <w:pPr>
        <w:spacing w:after="0" w:line="229" w:lineRule="exact"/>
        <w:rPr>
          <w:sz w:val="20"/>
          <w:szCs w:val="20"/>
          <w:color w:val="auto"/>
        </w:rPr>
      </w:pPr>
    </w:p>
    <w:p>
      <w:pPr>
        <w:ind w:left="1140" w:right="20" w:hanging="1132"/>
        <w:spacing w:after="0" w:line="277" w:lineRule="auto"/>
        <w:tabs>
          <w:tab w:leader="none" w:pos="1140" w:val="left"/>
        </w:tabs>
        <w:numPr>
          <w:ilvl w:val="0"/>
          <w:numId w:val="13"/>
        </w:numPr>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Subsidiaries of XpresSpa Group, Inc. (incorporated by reference to Exhibit 21 to our Annual Report on Form 10-K filed with the SEC on</w:t>
        </w:r>
      </w:hyperlink>
      <w:r>
        <w:rPr>
          <w:rFonts w:ascii="Arial" w:cs="Arial" w:eastAsia="Arial" w:hAnsi="Arial"/>
          <w:sz w:val="18"/>
          <w:szCs w:val="18"/>
          <w:u w:val="single" w:color="auto"/>
          <w:color w:val="0000EE"/>
        </w:rPr>
        <w:t xml:space="preserve"> </w:t>
      </w:r>
      <w:hyperlink r:id="rId88">
        <w:r>
          <w:rPr>
            <w:rFonts w:ascii="Arial" w:cs="Arial" w:eastAsia="Arial" w:hAnsi="Arial"/>
            <w:sz w:val="18"/>
            <w:szCs w:val="18"/>
            <w:u w:val="single" w:color="auto"/>
            <w:color w:val="0000EE"/>
          </w:rPr>
          <w:t>April 20, 2020).</w:t>
        </w:r>
      </w:hyperlink>
    </w:p>
    <w:p>
      <w:pPr>
        <w:spacing w:after="0" w:line="153"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rFonts w:ascii="Arial" w:cs="Arial" w:eastAsia="Arial" w:hAnsi="Arial"/>
                <w:sz w:val="18"/>
                <w:szCs w:val="18"/>
                <w:u w:val="single" w:color="auto"/>
                <w:color w:val="0000EE"/>
              </w:rPr>
            </w:pPr>
            <w:hyperlink r:id="rId89">
              <w:r>
                <w:rPr>
                  <w:rFonts w:ascii="Arial" w:cs="Arial" w:eastAsia="Arial" w:hAnsi="Arial"/>
                  <w:sz w:val="18"/>
                  <w:szCs w:val="18"/>
                  <w:u w:val="single" w:color="auto"/>
                  <w:color w:val="0000EE"/>
                </w:rPr>
                <w:t>23.1</w:t>
              </w:r>
            </w:hyperlink>
          </w:p>
        </w:tc>
        <w:tc>
          <w:tcPr>
            <w:tcW w:w="10100" w:type="dxa"/>
            <w:vAlign w:val="bottom"/>
            <w:tcBorders>
              <w:bottom w:val="single" w:sz="8" w:color="0000EE"/>
            </w:tcBorders>
            <w:gridSpan w:val="6"/>
          </w:tcPr>
          <w:p>
            <w:pPr>
              <w:spacing w:after="0"/>
              <w:rPr>
                <w:rFonts w:ascii="Arial" w:cs="Arial" w:eastAsia="Arial" w:hAnsi="Arial"/>
                <w:sz w:val="18"/>
                <w:szCs w:val="18"/>
                <w:color w:val="0000EE"/>
                <w:w w:val="95"/>
              </w:rPr>
            </w:pPr>
            <w:hyperlink r:id="rId89">
              <w:r>
                <w:rPr>
                  <w:rFonts w:ascii="Arial" w:cs="Arial" w:eastAsia="Arial" w:hAnsi="Arial"/>
                  <w:sz w:val="18"/>
                  <w:szCs w:val="18"/>
                  <w:color w:val="0000EE"/>
                  <w:w w:val="95"/>
                </w:rPr>
                <w:t>Consent of CohnReznick LLP, independent registered public accounting firm (incorporated by reference to Exhibit 23.1 to our Annual</w:t>
              </w:r>
            </w:hyperlink>
          </w:p>
        </w:tc>
      </w:tr>
      <w:tr>
        <w:trPr>
          <w:trHeight w:val="196"/>
        </w:trPr>
        <w:tc>
          <w:tcPr>
            <w:tcW w:w="1140" w:type="dxa"/>
            <w:vAlign w:val="bottom"/>
          </w:tcPr>
          <w:p>
            <w:pPr>
              <w:spacing w:after="0"/>
              <w:rPr>
                <w:sz w:val="17"/>
                <w:szCs w:val="17"/>
                <w:color w:val="auto"/>
              </w:rPr>
            </w:pPr>
          </w:p>
        </w:tc>
        <w:tc>
          <w:tcPr>
            <w:tcW w:w="438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89">
              <w:r>
                <w:rPr>
                  <w:rFonts w:ascii="Arial" w:cs="Arial" w:eastAsia="Arial" w:hAnsi="Arial"/>
                  <w:sz w:val="18"/>
                  <w:szCs w:val="18"/>
                  <w:color w:val="0000EE"/>
                  <w:w w:val="93"/>
                </w:rPr>
                <w:t>Report on Form 10-K filed with the SEC on April 20, 2020).</w:t>
              </w:r>
            </w:hyperlink>
          </w:p>
        </w:tc>
        <w:tc>
          <w:tcPr>
            <w:tcW w:w="5720" w:type="dxa"/>
            <w:vAlign w:val="bottom"/>
            <w:gridSpan w:val="2"/>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31.1*</w:t>
              </w:r>
            </w:hyperlink>
          </w:p>
        </w:tc>
        <w:tc>
          <w:tcPr>
            <w:tcW w:w="1010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23">
              <w:r>
                <w:rPr>
                  <w:rFonts w:ascii="Arial" w:cs="Arial" w:eastAsia="Arial" w:hAnsi="Arial"/>
                  <w:sz w:val="18"/>
                  <w:szCs w:val="18"/>
                  <w:color w:val="0000EE"/>
                  <w:w w:val="98"/>
                </w:rPr>
                <w:t>Certification of Principal Executive Officer pursuant to Exchange Act, Rules 13a – 14(a) and 15d – 14(a), as adopted pursuant to</w:t>
              </w:r>
            </w:hyperlink>
          </w:p>
        </w:tc>
      </w:tr>
      <w:tr>
        <w:trPr>
          <w:trHeight w:val="196"/>
        </w:trPr>
        <w:tc>
          <w:tcPr>
            <w:tcW w:w="1140" w:type="dxa"/>
            <w:vAlign w:val="bottom"/>
          </w:tcPr>
          <w:p>
            <w:pPr>
              <w:spacing w:after="0"/>
              <w:rPr>
                <w:sz w:val="17"/>
                <w:szCs w:val="17"/>
                <w:color w:val="auto"/>
              </w:rPr>
            </w:pPr>
          </w:p>
        </w:tc>
        <w:tc>
          <w:tcPr>
            <w:tcW w:w="34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Section 302 of the Sarbanes-Oxley Act of 2002.</w:t>
              </w:r>
            </w:hyperlink>
          </w:p>
        </w:tc>
        <w:tc>
          <w:tcPr>
            <w:tcW w:w="6620" w:type="dxa"/>
            <w:vAlign w:val="bottom"/>
            <w:gridSpan w:val="3"/>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31.2*</w:t>
              </w:r>
            </w:hyperlink>
          </w:p>
        </w:tc>
        <w:tc>
          <w:tcPr>
            <w:tcW w:w="10100" w:type="dxa"/>
            <w:vAlign w:val="bottom"/>
            <w:gridSpan w:val="6"/>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Certification of Principal Financial Officer pursuant to Exchange Act Rules 13a – 14(a) and 15d – 14(a), as adopted pursuant to Section 302</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of the Sarbanes-Oxley Act of 2002.</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32**</w:t>
              </w:r>
            </w:hyperlink>
          </w:p>
        </w:tc>
        <w:tc>
          <w:tcPr>
            <w:tcW w:w="1010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25">
              <w:r>
                <w:rPr>
                  <w:rFonts w:ascii="Arial" w:cs="Arial" w:eastAsia="Arial" w:hAnsi="Arial"/>
                  <w:sz w:val="18"/>
                  <w:szCs w:val="18"/>
                  <w:color w:val="0000EE"/>
                  <w:w w:val="93"/>
                </w:rPr>
                <w:t>Certifications  of Principal Executive Officer and Principal Financial Officer Pursuant to 18 U.S.C. Section 1350, as adopted pursuant to</w:t>
              </w:r>
            </w:hyperlink>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Section 906 of the Sarbanes-Oxley Act of 2002.</w:t>
              </w:r>
            </w:hyperlink>
          </w:p>
        </w:tc>
        <w:tc>
          <w:tcPr>
            <w:tcW w:w="6640" w:type="dxa"/>
            <w:vAlign w:val="bottom"/>
            <w:gridSpan w:val="4"/>
          </w:tcPr>
          <w:p>
            <w:pPr>
              <w:spacing w:after="0"/>
              <w:rPr>
                <w:sz w:val="17"/>
                <w:szCs w:val="17"/>
                <w:color w:val="auto"/>
              </w:rPr>
            </w:pPr>
          </w:p>
        </w:tc>
      </w:tr>
      <w:tr>
        <w:trPr>
          <w:trHeight w:val="453"/>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6"/>
          </w:tcPr>
          <w:p>
            <w:pPr>
              <w:spacing w:after="0"/>
              <w:rPr>
                <w:sz w:val="20"/>
                <w:szCs w:val="20"/>
                <w:color w:val="auto"/>
              </w:rPr>
            </w:pPr>
            <w:r>
              <w:rPr>
                <w:rFonts w:ascii="Arial" w:cs="Arial" w:eastAsia="Arial" w:hAnsi="Arial"/>
                <w:sz w:val="18"/>
                <w:szCs w:val="18"/>
                <w:color w:val="auto"/>
              </w:rPr>
              <w:t>XBLR Taxonomy Extension Schema Document</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6"/>
          </w:tcPr>
          <w:p>
            <w:pPr>
              <w:spacing w:after="0"/>
              <w:rPr>
                <w:sz w:val="20"/>
                <w:szCs w:val="20"/>
                <w:color w:val="auto"/>
              </w:rPr>
            </w:pPr>
            <w:r>
              <w:rPr>
                <w:rFonts w:ascii="Arial" w:cs="Arial" w:eastAsia="Arial" w:hAnsi="Arial"/>
                <w:sz w:val="18"/>
                <w:szCs w:val="18"/>
                <w:color w:val="auto"/>
              </w:rPr>
              <w:t>XBLR Taxonomy Extension Calculation Linkbase Document</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6"/>
          </w:tcPr>
          <w:p>
            <w:pPr>
              <w:spacing w:after="0"/>
              <w:rPr>
                <w:sz w:val="20"/>
                <w:szCs w:val="20"/>
                <w:color w:val="auto"/>
              </w:rPr>
            </w:pPr>
            <w:r>
              <w:rPr>
                <w:rFonts w:ascii="Arial" w:cs="Arial" w:eastAsia="Arial" w:hAnsi="Arial"/>
                <w:sz w:val="18"/>
                <w:szCs w:val="18"/>
                <w:color w:val="auto"/>
              </w:rPr>
              <w:t>XBLR Taxonomy Extension Definition Linkbase Document</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6"/>
          </w:tcPr>
          <w:p>
            <w:pPr>
              <w:spacing w:after="0"/>
              <w:rPr>
                <w:sz w:val="20"/>
                <w:szCs w:val="20"/>
                <w:color w:val="auto"/>
              </w:rPr>
            </w:pPr>
            <w:r>
              <w:rPr>
                <w:rFonts w:ascii="Arial" w:cs="Arial" w:eastAsia="Arial" w:hAnsi="Arial"/>
                <w:sz w:val="18"/>
                <w:szCs w:val="18"/>
                <w:color w:val="auto"/>
              </w:rPr>
              <w:t>XBLR Taxonomy Extension Label Linkbase Document</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6"/>
          </w:tcPr>
          <w:p>
            <w:pPr>
              <w:spacing w:after="0"/>
              <w:rPr>
                <w:sz w:val="20"/>
                <w:szCs w:val="20"/>
                <w:color w:val="auto"/>
              </w:rPr>
            </w:pPr>
            <w:r>
              <w:rPr>
                <w:rFonts w:ascii="Arial" w:cs="Arial" w:eastAsia="Arial" w:hAnsi="Arial"/>
                <w:sz w:val="18"/>
                <w:szCs w:val="18"/>
                <w:color w:val="auto"/>
              </w:rPr>
              <w:t>XBLR Taxonomy Extension Presentation Linkbase Document</w:t>
            </w:r>
          </w:p>
        </w:tc>
      </w:tr>
    </w:tbl>
    <w:p>
      <w:pPr>
        <w:spacing w:after="0" w:line="202"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2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Douglas Satzman,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Amendment No. 2 to Annual Report on Form 10-K/A of XpresSpa Group,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Dated: June 12, 2020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Douglas Satzman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Douglas Satzman, certify that:</w:t>
      </w:r>
    </w:p>
    <w:p>
      <w:pPr>
        <w:spacing w:after="0" w:line="225"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Amendment No. 2 to Annual Report on Form 10-K/A of XpresSpa Group,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Dated: June 12, 2020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Douglas Satzman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906</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undersigned officer of XpresSpa Group, Inc., a Delaware corporation (the “Company”), does hereby certify, to such officer’s knowledge, that:</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Amendment No. 2 to Annual Report for the year ended December 31, 2019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Dated: June 12, 2020</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SATZMAN</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Chief Executive Officer</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Executive Officer, Principal Financial Officer and Principal</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Accounting Officer)</w:t>
            </w:r>
          </w:p>
        </w:tc>
      </w:tr>
      <w:tr>
        <w:trPr>
          <w:trHeight w:val="67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lowerRoman"/>
      <w:start w:val="2"/>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4"/>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2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90" Type="http://schemas.openxmlformats.org/officeDocument/2006/relationships/image" Target="media/image19.png"/><Relationship Id="rId91" Type="http://schemas.openxmlformats.org/officeDocument/2006/relationships/image" Target="media/image20.png"/><Relationship Id="rId92" Type="http://schemas.openxmlformats.org/officeDocument/2006/relationships/image" Target="media/image21.png"/><Relationship Id="rId93" Type="http://schemas.openxmlformats.org/officeDocument/2006/relationships/image" Target="media/image22.png"/><Relationship Id="rId94" Type="http://schemas.openxmlformats.org/officeDocument/2006/relationships/image" Target="media/image23.png"/><Relationship Id="rId26" Type="http://schemas.openxmlformats.org/officeDocument/2006/relationships/hyperlink" Target="http://www.sec.gov/Archives/edgar/data/1410428/000114420416117230/v446257_ex2-1.htm" TargetMode="External"/><Relationship Id="rId27" Type="http://schemas.openxmlformats.org/officeDocument/2006/relationships/hyperlink" Target="http://www.sec.gov/Archives/edgar/data/1410428/000114420416123414/v448507_ex2-1.htm" TargetMode="External"/><Relationship Id="rId28" Type="http://schemas.openxmlformats.org/officeDocument/2006/relationships/hyperlink" Target="http://www.sec.gov/Archives/edgar/data/1410428/000114420416129472/v451220_ex2-1.htm" TargetMode="External"/><Relationship Id="rId29" Type="http://schemas.openxmlformats.org/officeDocument/2006/relationships/hyperlink" Target="http://www.sec.gov/Archives/edgar/data/1410428/000110465920048780/tm205324d1_ex3-1.htm" TargetMode="External"/><Relationship Id="rId30" Type="http://schemas.openxmlformats.org/officeDocument/2006/relationships/hyperlink" Target="http://www.sec.gov/Archives/edgar/data/1410428/000114420419017496/tv516017_ex3-1.htm" TargetMode="External"/><Relationship Id="rId31" Type="http://schemas.openxmlformats.org/officeDocument/2006/relationships/hyperlink" Target="http://www.sec.gov/Archives/edgar/data/1410428/000114420419017496/tv516017_ex3-2.htm" TargetMode="External"/><Relationship Id="rId32" Type="http://schemas.openxmlformats.org/officeDocument/2006/relationships/hyperlink" Target="http://www.sec.gov/Archives/edgar/data/1410428/000114420415059695/v422196_ex4-1.htm" TargetMode="External"/><Relationship Id="rId33" Type="http://schemas.openxmlformats.org/officeDocument/2006/relationships/hyperlink" Target="http://www.sec.gov/Archives/edgar/data/1410428/000114420415027143/v409292_ex10-3.htm" TargetMode="External"/><Relationship Id="rId34" Type="http://schemas.openxmlformats.org/officeDocument/2006/relationships/hyperlink" Target="http://www.sec.gov/Archives/edgar/data/1410428/000114420419015650/tv516755_ex10-1.htm" TargetMode="External"/><Relationship Id="rId35" Type="http://schemas.openxmlformats.org/officeDocument/2006/relationships/hyperlink" Target="http://www.sec.gov/Archives/edgar/data/1410428/000114420416129474/v449051_s4a.htm" TargetMode="External"/><Relationship Id="rId36" Type="http://schemas.openxmlformats.org/officeDocument/2006/relationships/hyperlink" Target="http://www.sec.gov/Archives/edgar/data/1410428/000114420418028911/tv492938_ex4-1.htm" TargetMode="External"/><Relationship Id="rId37" Type="http://schemas.openxmlformats.org/officeDocument/2006/relationships/hyperlink" Target="http://www.sec.gov/Archives/edgar/data/1410428/000114420419032532/tv524367_ex4-1.htm" TargetMode="External"/><Relationship Id="rId38" Type="http://schemas.openxmlformats.org/officeDocument/2006/relationships/hyperlink" Target="http://www.sec.gov/Archives/edgar/data/1410428/000114420419033939/tv524856_ex4-3.htm" TargetMode="External"/><Relationship Id="rId39" Type="http://schemas.openxmlformats.org/officeDocument/2006/relationships/hyperlink" Target="http://www.sec.gov/Archives/edgar/data/1410428/000110465920003636/tm203197d1_ex4-1.htm" TargetMode="External"/><Relationship Id="rId40" Type="http://schemas.openxmlformats.org/officeDocument/2006/relationships/hyperlink" Target="http://www.sec.gov/Archives/edgar/data/1410428/000110465920029962/tm2011914d1_ex4-1.htm" TargetMode="External"/><Relationship Id="rId41" Type="http://schemas.openxmlformats.org/officeDocument/2006/relationships/hyperlink" Target="http://www.sec.gov/Archives/edgar/data/1410428/000114420418028911/tv492938_ex4-2.htm" TargetMode="External"/><Relationship Id="rId42" Type="http://schemas.openxmlformats.org/officeDocument/2006/relationships/hyperlink" Target="http://www.sec.gov/Archives/edgar/data/1410428/000114420418028911/tv492938_ex4-3.htm" TargetMode="External"/><Relationship Id="rId43" Type="http://schemas.openxmlformats.org/officeDocument/2006/relationships/hyperlink" Target="http://www.sec.gov/Archives/edgar/data/1410428/000114420419027101/tv521899_ex10-1.htm" TargetMode="External"/><Relationship Id="rId44" Type="http://schemas.openxmlformats.org/officeDocument/2006/relationships/hyperlink" Target="http://www.sec.gov/Archives/edgar/data/1410428/000114420419031189/tv523626_ex10-1.htm" TargetMode="External"/><Relationship Id="rId45" Type="http://schemas.openxmlformats.org/officeDocument/2006/relationships/hyperlink" Target="http://www.sec.gov/Archives/edgar/data/1410428/000114420419033939/tv524856_ex4-1.htm" TargetMode="External"/><Relationship Id="rId46" Type="http://schemas.openxmlformats.org/officeDocument/2006/relationships/hyperlink" Target="http://www.sec.gov/Archives/edgar/data/1410428/000114420419033939/tv524856_ex4-2.htm" TargetMode="External"/><Relationship Id="rId47" Type="http://schemas.openxmlformats.org/officeDocument/2006/relationships/hyperlink" Target="http://www.sec.gov/Archives/edgar/data/1410428/000114420419033939/tv524856_ex4-4.htm" TargetMode="External"/><Relationship Id="rId48" Type="http://schemas.openxmlformats.org/officeDocument/2006/relationships/hyperlink" Target="http://www.sec.gov/Archives/edgar/data/1410428/000110465920035631/tm2013177d1_ex4-1.htm" TargetMode="External"/><Relationship Id="rId49" Type="http://schemas.openxmlformats.org/officeDocument/2006/relationships/hyperlink" Target="http://www.sec.gov/Archives/edgar/data/1410428/000110465920038562/tm2013765d1_ex4-1.htm" TargetMode="External"/><Relationship Id="rId50" Type="http://schemas.openxmlformats.org/officeDocument/2006/relationships/hyperlink" Target="http://www.sec.gov/Archives/edgar/data/1410428/000110465920039953/tm2014049d1_ex4-1.htm" TargetMode="External"/><Relationship Id="rId51" Type="http://schemas.openxmlformats.org/officeDocument/2006/relationships/hyperlink" Target="http://www.sec.gov/Archives/edgar/data/1410428/000110465920043879/tm2015133d1_ex4-1.htm" TargetMode="External"/><Relationship Id="rId52" Type="http://schemas.openxmlformats.org/officeDocument/2006/relationships/hyperlink" Target="http://www.sec.gov/Archives/edgar/data/1410428/000110465920048780/tm205324d1_ex4-22.htm" TargetMode="External"/><Relationship Id="rId53" Type="http://schemas.openxmlformats.org/officeDocument/2006/relationships/hyperlink" Target="http://www.sec.gov/Archives/edgar/data/1410428/000110465920048297/tm2016230-1_ex41.htm" TargetMode="External"/><Relationship Id="rId54" Type="http://schemas.openxmlformats.org/officeDocument/2006/relationships/hyperlink" Target="http://www.sec.gov/Archives/edgar/data/1410428/000114420415056596/v420716_def14a.htm" TargetMode="External"/><Relationship Id="rId55" Type="http://schemas.openxmlformats.org/officeDocument/2006/relationships/hyperlink" Target="http://www.sec.gov/Archives/edgar/data/1410428/000119312510069268/dex45.htm" TargetMode="External"/><Relationship Id="rId56" Type="http://schemas.openxmlformats.org/officeDocument/2006/relationships/hyperlink" Target="http://www.sec.gov/Archives/edgar/data/1410428/000114420412041064/v319421_ex99-2.htm" TargetMode="External"/><Relationship Id="rId57" Type="http://schemas.openxmlformats.org/officeDocument/2006/relationships/hyperlink" Target="http://www.sec.gov/Archives/edgar/data/1410428/000114420412041064/v319421_ex99-3.htm" TargetMode="External"/><Relationship Id="rId58" Type="http://schemas.openxmlformats.org/officeDocument/2006/relationships/hyperlink" Target="http://www.sec.gov/Archives/edgar/data/1410428/000114420413016671/v333989_ex10-24.htm" TargetMode="External"/><Relationship Id="rId59" Type="http://schemas.openxmlformats.org/officeDocument/2006/relationships/hyperlink" Target="http://www.sec.gov/Archives/edgar/data/1410428/000114420416136736/v454026_ex10-1.htm" TargetMode="External"/><Relationship Id="rId60" Type="http://schemas.openxmlformats.org/officeDocument/2006/relationships/hyperlink" Target="http://www.sec.gov/Archives/edgar/data/1410428/000114420416141154/v455681_ex10-1.htm" TargetMode="External"/><Relationship Id="rId61" Type="http://schemas.openxmlformats.org/officeDocument/2006/relationships/hyperlink" Target="http://www.sec.gov/Archives/edgar/data/1410428/000114420417027519/v466214_ex10-2.htm" TargetMode="External"/><Relationship Id="rId62" Type="http://schemas.openxmlformats.org/officeDocument/2006/relationships/hyperlink" Target="http://www.sec.gov/Archives/edgar/data/1410428/000114420418028911/tv492938_ex10-1.htm" TargetMode="External"/><Relationship Id="rId63" Type="http://schemas.openxmlformats.org/officeDocument/2006/relationships/hyperlink" Target="http://www.sec.gov/Archives/edgar/data/1410428/000114420418028911/tv492938_ex10-2.htm" TargetMode="External"/><Relationship Id="rId64" Type="http://schemas.openxmlformats.org/officeDocument/2006/relationships/hyperlink" Target="http://www.sec.gov/Archives/edgar/data/1410428/000114420418028911/tv492938_ex10-3.htm" TargetMode="External"/><Relationship Id="rId65" Type="http://schemas.openxmlformats.org/officeDocument/2006/relationships/hyperlink" Target="http://www.sec.gov/Archives/edgar/data/1410428/000114420418028911/tv492938_ex10-4.htm" TargetMode="External"/><Relationship Id="rId66" Type="http://schemas.openxmlformats.org/officeDocument/2006/relationships/hyperlink" Target="http://www.sec.gov/Archives/edgar/data/1410428/000114420419033939/tv524856_ex10-3.htm" TargetMode="External"/><Relationship Id="rId67" Type="http://schemas.openxmlformats.org/officeDocument/2006/relationships/hyperlink" Target="http://www.sec.gov/Archives/edgar/data/1410428/000114420419033939/tv524856_ex10-4.htm" TargetMode="External"/><Relationship Id="rId68" Type="http://schemas.openxmlformats.org/officeDocument/2006/relationships/hyperlink" Target="http://www.sec.gov/Archives/edgar/data/1410428/000114420419041673/tv528277_ex10-1.htm" TargetMode="External"/><Relationship Id="rId69" Type="http://schemas.openxmlformats.org/officeDocument/2006/relationships/hyperlink" Target="http://www.sec.gov/Archives/edgar/data/1410428/000110465920003636/tm203197d1_ex10-2.htm" TargetMode="External"/><Relationship Id="rId70" Type="http://schemas.openxmlformats.org/officeDocument/2006/relationships/hyperlink" Target="http://www.sec.gov/Archives/edgar/data/1410428/000110465920029962/tm2011914d1_ex10-1.htm" TargetMode="External"/><Relationship Id="rId71" Type="http://schemas.openxmlformats.org/officeDocument/2006/relationships/hyperlink" Target="http://www.sec.gov/Archives/edgar/data/1410428/000114420418028911/tv492938_ex10-8.htm" TargetMode="External"/><Relationship Id="rId72" Type="http://schemas.openxmlformats.org/officeDocument/2006/relationships/hyperlink" Target="http://www.sec.gov/Archives/edgar/data/1410428/000114420418028911/tv492938_ex10-9.htm" TargetMode="External"/><Relationship Id="rId73" Type="http://schemas.openxmlformats.org/officeDocument/2006/relationships/hyperlink" Target="http://www.sec.gov/Archives/edgar/data/1410428/000114420419033939/tv524856_ex10-5.htm" TargetMode="External"/><Relationship Id="rId74" Type="http://schemas.openxmlformats.org/officeDocument/2006/relationships/hyperlink" Target="http://www.sec.gov/Archives/edgar/data/1410428/000114420419017496/tv516017_ex10-28.htm" TargetMode="External"/><Relationship Id="rId75" Type="http://schemas.openxmlformats.org/officeDocument/2006/relationships/hyperlink" Target="http://www.sec.gov/Archives/edgar/data/1410428/000110465919064328/tm1919635d1_ex108.htm" TargetMode="External"/><Relationship Id="rId76" Type="http://schemas.openxmlformats.org/officeDocument/2006/relationships/hyperlink" Target="http://www.sec.gov/Archives/edgar/data/1410428/000114420419014325/tv516349_ex10-1.htm" TargetMode="External"/><Relationship Id="rId77" Type="http://schemas.openxmlformats.org/officeDocument/2006/relationships/hyperlink" Target="http://www.sec.gov/Archives/edgar/data/1410428/000114420419014325/tv516349_ex10-2.htm" TargetMode="External"/><Relationship Id="rId78" Type="http://schemas.openxmlformats.org/officeDocument/2006/relationships/hyperlink" Target="http://www.sec.gov/Archives/edgar/data/1410428/000114420419033939/tv524856_ex10-1.htm" TargetMode="External"/><Relationship Id="rId79" Type="http://schemas.openxmlformats.org/officeDocument/2006/relationships/hyperlink" Target="http://www.sec.gov/Archives/edgar/data/1410428/000114420419033939/tv524856_ex10-2.htm" TargetMode="External"/><Relationship Id="rId80" Type="http://schemas.openxmlformats.org/officeDocument/2006/relationships/hyperlink" Target="http://www.sec.gov/Archives/edgar/data/1410428/000114420419047032/tv530541_ex10-1.htm" TargetMode="External"/><Relationship Id="rId81" Type="http://schemas.openxmlformats.org/officeDocument/2006/relationships/hyperlink" Target="http://www.sec.gov/Archives/edgar/data/1410428/000110465920003636/tm203197d1_ex10-1.htm" TargetMode="External"/><Relationship Id="rId82" Type="http://schemas.openxmlformats.org/officeDocument/2006/relationships/hyperlink" Target="http://www.sec.gov/Archives/edgar/data/1410428/000110465920035631/tm2013177d1_ex10-1.htm" TargetMode="External"/><Relationship Id="rId83" Type="http://schemas.openxmlformats.org/officeDocument/2006/relationships/hyperlink" Target="http://www.sec.gov/Archives/edgar/data/1410428/000110465920035631/tm2013177d1_ex10-2.htm" TargetMode="External"/><Relationship Id="rId84" Type="http://schemas.openxmlformats.org/officeDocument/2006/relationships/hyperlink" Target="http://www.sec.gov/Archives/edgar/data/1410428/000110465920035631/tm2013177d1_ex10-3.htm" TargetMode="External"/><Relationship Id="rId85" Type="http://schemas.openxmlformats.org/officeDocument/2006/relationships/hyperlink" Target="http://www.sec.gov/Archives/edgar/data/1410428/000110465920038562/tm2013765d1_ex10-1.htm" TargetMode="External"/><Relationship Id="rId86" Type="http://schemas.openxmlformats.org/officeDocument/2006/relationships/hyperlink" Target="http://www.sec.gov/Archives/edgar/data/1410428/000110465920039953/tm2014049d1_ex10-1.htm" TargetMode="External"/><Relationship Id="rId87" Type="http://schemas.openxmlformats.org/officeDocument/2006/relationships/hyperlink" Target="http://www.sec.gov/Archives/edgar/data/1410428/000110465920043879/tm2015133d1_ex10-1.htm" TargetMode="External"/><Relationship Id="rId88" Type="http://schemas.openxmlformats.org/officeDocument/2006/relationships/hyperlink" Target="http://www.sec.gov/Archives/edgar/data/1410428/000114420419017496/tv516017_ex21.htm" TargetMode="External"/><Relationship Id="rId89" Type="http://schemas.openxmlformats.org/officeDocument/2006/relationships/hyperlink" Target="http://www.sec.gov/Archives/edgar/data/1410428/000114420419017496/tv516017_ex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2020-06-15T05:09:31Z</dcterms:created>
  <dcterms:modified xsi:type="dcterms:W3CDTF">2020-06-15T05:09:31Z</dcterms:modified>
</cp:coreProperties>
</file>