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10,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4"/>
        </w:trPr>
        <w:tc>
          <w:tcPr>
            <w:tcW w:w="656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254 West 31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Street,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28"/>
        </w:trPr>
        <w:tc>
          <w:tcPr>
            <w:tcW w:w="6560" w:type="dxa"/>
            <w:vAlign w:val="bottom"/>
            <w:tcBorders>
              <w:top w:val="single" w:sz="8" w:color="auto"/>
            </w:tcBorders>
            <w:gridSpan w:val="3"/>
          </w:tcPr>
          <w:p>
            <w:pPr>
              <w:ind w:left="23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XWEL</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Attached hereto as Exhibit 99.1 is a copy of a press release of XWELL, Inc., dated November 10, 2022, announcing certain operating results for the fiscal quarter ended September 30, 2022. The information in the press release is incorporated by reference into this Item 2.02 of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on Form 8-K, the information set forth under this Item 2.02 of this Current Report on Form 8-K, including the press release attached to attached as an exhibit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Quarterly Reports on Form 10-Q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spacing w:after="0" w:line="19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November 10, 2022</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XWELL, Inc.</w:t>
            </w:r>
          </w:p>
        </w:tc>
        <w:tc>
          <w:tcPr>
            <w:tcW w:w="0" w:type="dxa"/>
            <w:vAlign w:val="bottom"/>
          </w:tcPr>
          <w:p>
            <w:pPr>
              <w:spacing w:after="0"/>
              <w:rPr>
                <w:sz w:val="1"/>
                <w:szCs w:val="1"/>
                <w:color w:val="auto"/>
              </w:rPr>
            </w:pP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2022</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Scott R. Milford</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40" w:type="dxa"/>
            <w:vAlign w:val="bottom"/>
            <w:vMerge w:val="restart"/>
          </w:tcPr>
          <w:p>
            <w:pPr>
              <w:ind w:left="188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760" w:type="dxa"/>
            <w:vAlign w:val="bottom"/>
          </w:tcPr>
          <w:p>
            <w:pPr>
              <w:spacing w:after="0"/>
              <w:rPr>
                <w:sz w:val="16"/>
                <w:szCs w:val="16"/>
                <w:color w:val="auto"/>
              </w:rPr>
            </w:pPr>
          </w:p>
        </w:tc>
        <w:tc>
          <w:tcPr>
            <w:tcW w:w="2440" w:type="dxa"/>
            <w:vAlign w:val="bottom"/>
            <w:vMerge w:val="continue"/>
          </w:tcPr>
          <w:p>
            <w:pPr>
              <w:spacing w:after="0"/>
              <w:rPr>
                <w:sz w:val="16"/>
                <w:szCs w:val="16"/>
                <w:color w:val="auto"/>
              </w:rPr>
            </w:pP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Scott R. Milford</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675"/>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302895</wp:posOffset>
            </wp:positionV>
            <wp:extent cx="3394710" cy="505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9471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XWELL, Inc. Reports Third Quarter 2022 Results</w:t>
      </w: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Strengthening Direction as Leading Authority in Wellness for ‘People on the Go’</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Rebranded as XWELL to Reflect Wellness Evolution</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Early Successes Evolving Retail Segment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Refreshing Core Spa Business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Continued Success Expanding CDC Collaboration</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Laying Foundation for Profitability</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NEW YORK, November 10, 2022 -- XWELL, Inc. (Nasdaq: XWEL), a leading global health and wellness holding company, today reported results for the third quarter ending September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We’re continuing to evolve our organization and, reflecting the Company’s commitment to better serve clients, optimize efficiencies, and deliver long-term growth, management has recently:</w:t>
      </w:r>
    </w:p>
    <w:p>
      <w:pPr>
        <w:spacing w:after="0" w:line="162" w:lineRule="exact"/>
        <w:rPr>
          <w:sz w:val="20"/>
          <w:szCs w:val="20"/>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Rebranded to XWELL, reflecting the Company’s wellness evolution</w:t>
      </w:r>
    </w:p>
    <w:p>
      <w:pPr>
        <w:spacing w:after="0" w:line="2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Reopened a refreshed XpresSpa® location at JFK’s Terminal 4</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a new Treat™ location in Salt Lake City International Airport</w:t>
      </w:r>
    </w:p>
    <w:p>
      <w:pPr>
        <w:spacing w:after="0" w:line="9" w:lineRule="exact"/>
        <w:rPr>
          <w:rFonts w:ascii="Times New Roman" w:cs="Times New Roman" w:eastAsia="Times New Roman" w:hAnsi="Times New Roman"/>
          <w:sz w:val="18"/>
          <w:szCs w:val="18"/>
          <w:color w:val="auto"/>
        </w:rPr>
      </w:pPr>
    </w:p>
    <w:p>
      <w:pPr>
        <w:ind w:left="660" w:hanging="247"/>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three XpresSpa locations at Turkey’s Istanbul Airport, with two additional Istanbul locations expected to open by year-end, and additional growth in Abu Dhabi in 2023</w:t>
      </w:r>
    </w:p>
    <w:p>
      <w:pPr>
        <w:ind w:left="660" w:hanging="247"/>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Scaled new retail products, integrated innovative health and wellness technologies, and introducing a new XWELL Loyalty Rewards Program, each designed to drive customer engagement, strengthen brand presence, and increase foot traffic</w:t>
      </w:r>
    </w:p>
    <w:p>
      <w:pPr>
        <w:ind w:left="660" w:hanging="247"/>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support and expand the Centers for Disease Control and Prevention (CDC) traveler-based genomic surveillance program through its partnership with Ginkgo Bioworks</w:t>
      </w:r>
    </w:p>
    <w:p>
      <w:pPr>
        <w:ind w:left="660" w:hanging="247"/>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cash operating costs by $1 million a month; shuttered five unprofitable XpresCheck® locations during the third quarter with plans to close another seven during the fourth quarter</w:t>
      </w: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Retained the services of Benchmark to help identify potential acquisition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XWELL, Inc. Reports Third Quarter 2022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8"/>
          <w:szCs w:val="18"/>
          <w:color w:val="auto"/>
        </w:rPr>
        <w:t>“We’re aggressively executing on our strategic objectives and, since the end of the second quarter, have continued to make meaningful progress expanding internationally, rolling out our new retail strategy, adding new customers, and reducing infrastructure costs,” commented Scott Milford, XWELL’s Chief Executive Officer. “We also recently introduced our new corporate identity, XWELL, further aligning our focus and reflecting our position as a global health and wellness authority for people on the go.”</w:t>
      </w:r>
    </w:p>
    <w:p>
      <w:pPr>
        <w:spacing w:after="0" w:line="180" w:lineRule="exact"/>
        <w:rPr>
          <w:sz w:val="20"/>
          <w:szCs w:val="20"/>
          <w:color w:val="auto"/>
        </w:rPr>
      </w:pPr>
    </w:p>
    <w:p>
      <w:pPr>
        <w:jc w:val="both"/>
        <w:ind w:left="420"/>
        <w:spacing w:after="0" w:line="282" w:lineRule="auto"/>
        <w:rPr>
          <w:sz w:val="20"/>
          <w:szCs w:val="20"/>
          <w:color w:val="auto"/>
        </w:rPr>
      </w:pPr>
      <w:r>
        <w:rPr>
          <w:rFonts w:ascii="Times New Roman" w:cs="Times New Roman" w:eastAsia="Times New Roman" w:hAnsi="Times New Roman"/>
          <w:sz w:val="18"/>
          <w:szCs w:val="18"/>
          <w:color w:val="auto"/>
        </w:rPr>
        <w:t>Mr. Milford added, “Looking ahead, we believe the Company is entering 2023 as a leaner business with a path to returned profitability. We’re well positioned to achieve our growth goals and I’m quite excited about our path ahead."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Business Update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XpresSpa®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currently 20 operating XpresSpa domestic locations. Internationally, there are 9 XpresSpa locations currently operating. These consist of three at Dubai International Airport in the UAE, three at Schiphol Amsterdam Airport in the Netherlands, and three at Istanbul Airport in Turkey. We expect to open another two locations in Istanbul by year-end. This expansion allows XWELL the opportunity to further leverage its expertise in providing premium wellness services to more international passengers who appreciate health and wellness services and are willing to spend more in pursuit of their well-being.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Bolstered by renewed interest in wellness services among travelers, along with a willingness to spend additional dollars on products and services that will improve their well-being while they travel, the Company is executing its new retail strategy to drive more foot traffic into its airport locations and augment its on-line presence. This includes bringing new technologies and trends, including new tech-forward equipment, adding new products in-store and on-line, as well as deploying plans to refresh the look and appearance of some XpresSpa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XWELL, Inc. Reports Third Quarter 2022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Treat is a travel health and wellness brand and a fully integrated concept blending technology with traditional brick and mortar offerings to provide a holistic approach to physical and mental well-being for travelers. Treat’s on-site centers are currently located at JFK International Airport in New York, Phoenix Sky Harbor International Airport in Arizona, and Salt Lake City International Airport in Utah.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Treat teams provide travel-related diagnostic testing for virus, cold, flu and other illnesses as well as hydration therapy, IV drips, and vitamin injections. Travelers can purchase time blocks to use the Company’s wellness rooms to engage in interactive services like self-guided yoga, meditation, and low impact weight exercises or to relax and unplug from the hectic pace of the airport and renew themselves before or after their trip. Treat also offers a website (www.treat.com) and mobile app to complement the offering with relevant health and wellness content designed to help people on the go with information that could impact their travel.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XpresCheck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XWELL’s XpresTest, Inc. subsidiary (“XpresCheck”) provides medical diagnostic testing services, including COVID-19 testing for its customers.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discussed, as countries have continued to relax their testing requirements, testing volumes at the Company’s XpresCheck locations have decreased. Based on the evolution of testing globally, and the creation of longer term biosurveillance efforts coupled with the current performance of its XpresCheck segment, the Company is closing unprofitable XpresCheck locations without compromising its biosurveillance apparatus.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the Company closed five unprofitable XpresCheck locations and commenced plans to close another seven locations during the fourth quarter. Looking ahead to 2023, the Company expects to operate two XpresCheck locations and five biosurveillance stations serving the XpresCheck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Biosurveillance Partnership with Ginkgo Bioworks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late 2021, in collaboration with the Centers for Disease Control and Prevention (“CDC”) and Ginkgo Bioworks (NYSE: DNA), XpresCheck began conducting biosurveillance monitoring aimed at identifying existing and new SARS-CoV-2 variants at four major U.S. airports (JFK International Airport, Newark Liberty International Airport, San Francisco International Airport, and Hartsfield-Jackson Atlanta International Airport).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XWELL, Inc. Reports Third Quarter 2022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2022, XpresCheck, in partnership with Ginkgo Bioworks (and in continuation of their support to the CDC’s traveler-based SARS-CoV-2 genomic surveillance program) were awarded a new contract. The partnership is expected to support public health and biosecurity services totaling approximately $16 million, with an overall potential to reach $61 million based on CDC program options and public health priorities. As COVID-19 sublineages and other biological threats continue to emerge, the partners plan to expand the program footprint incorporate innovative modalities and offerings, such as monitoring of wastewater from aircraft lavatories.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HyperPointe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2022, the Company announced and closed on the acquisition of GCG Connect, LLC d/b/a HyperPointe. HyperPointe is a leading digital healthcare and data analytics relationship marketing agency, servicing the global healthcare and pharmaceutical industry. HyperPointe has significant experience in patient and healthcare professional marketing and deep technological experience with CXM (customer experience management) and data analytics.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June 2020, HyperPointe’s management team and suite of services and technology have been utilized to develop and deploy the technological infrastructure necessary to scale the growth of our XpresCheck business. HyperPointe’s experience in this space continues to serve the XpresCheck business and will play a critical role in the expansion of ongoing biosurveillance efforts created in partnership with Ginkgo Bioworks and the CDC.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9, 2022, approximately 0.8 million shares remain available under the Company’s 25-million share repurchase program that was announced on August 31, 2021 and subsequently increased on May 20,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Year-to-date, the Company has repurchased approximately 19.5 million shares. During the third quarter of 2022, the Company continued to execute on its share repurchase program, repurchasing approximately 11.0 million shares at average price of $1.03 per share, for a total of $11.4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XWELL, Inc. Reports Third Quarter 2022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the Company had cash and cash equivalents, excluding restricted cash, of $49.4 million and no long-term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Third Quarter 2022 Financial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 during the three months ended September 30, 2022, was $10.7 million compared to $26.8 million in the corresponding period in 2021. The revenue for the quarter primarily consisted of $4.0 million in revenue from our reopened XpresSpa locations and Treat locations, $4.3 million from XpresCheck locations, $1.8 million in revenue from our bio-surveillance partnership, and $0.7 million from HyperPointe.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sales decreased to $9.3 million in the third quarter of 2022 from $13.7 million in the prior year third quarter, primarily as a result of the Company closing underperforming XpresCheck locations during the quarter.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$6.4 million in the three months ended September 30, 2022, compared to $5.2 million for the year ago comparable period. The increase was primarily due to certain non-recurring credits that were recorded in the third quarter of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 was $7.65 million in the third quarter of 2022 compared to income from operations of $7.1 million in the prior year third quarter.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Common Shareholders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loss attributable to common shareholders was $7.2 million in the third quarter of 2022 compared to net income attributable to common shareholders of $5.6 million in the prior year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XWELL, Inc. Reports Third Quarter 2022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XpresCheck Operational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Patients by Quarter</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5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Q1 2021</w:t>
            </w:r>
          </w:p>
        </w:tc>
        <w:tc>
          <w:tcPr>
            <w:tcW w:w="3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37,589</w:t>
            </w:r>
          </w:p>
        </w:tc>
        <w:tc>
          <w:tcPr>
            <w:tcW w:w="336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Q2 2021</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92,415</w:t>
            </w:r>
          </w:p>
        </w:tc>
        <w:tc>
          <w:tcPr>
            <w:tcW w:w="3360" w:type="dxa"/>
            <w:vAlign w:val="bottom"/>
            <w:tcBorders>
              <w:bottom w:val="single" w:sz="8" w:color="auto"/>
              <w:right w:val="single" w:sz="8" w:color="auto"/>
            </w:tcBorders>
          </w:tcPr>
          <w:p>
            <w:pPr>
              <w:spacing w:after="0"/>
              <w:rPr>
                <w:sz w:val="18"/>
                <w:szCs w:val="18"/>
                <w:color w:val="auto"/>
              </w:rPr>
            </w:pPr>
          </w:p>
        </w:tc>
      </w:tr>
      <w:tr>
        <w:trPr>
          <w:trHeight w:val="210"/>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Q3 2021</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113,212</w:t>
            </w:r>
          </w:p>
        </w:tc>
        <w:tc>
          <w:tcPr>
            <w:tcW w:w="3360" w:type="dxa"/>
            <w:vAlign w:val="bottom"/>
            <w:tcBorders>
              <w:bottom w:val="single" w:sz="8" w:color="auto"/>
              <w:right w:val="single" w:sz="8" w:color="auto"/>
            </w:tcBorders>
          </w:tcPr>
          <w:p>
            <w:pPr>
              <w:spacing w:after="0"/>
              <w:rPr>
                <w:sz w:val="18"/>
                <w:szCs w:val="18"/>
                <w:color w:val="auto"/>
              </w:rPr>
            </w:pPr>
          </w:p>
        </w:tc>
      </w:tr>
      <w:tr>
        <w:trPr>
          <w:trHeight w:val="209"/>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Q4 2021</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104,805</w:t>
            </w:r>
          </w:p>
        </w:tc>
        <w:tc>
          <w:tcPr>
            <w:tcW w:w="3360" w:type="dxa"/>
            <w:vAlign w:val="bottom"/>
            <w:tcBorders>
              <w:bottom w:val="single" w:sz="8" w:color="auto"/>
              <w:right w:val="single" w:sz="8" w:color="auto"/>
            </w:tcBorders>
          </w:tcPr>
          <w:p>
            <w:pPr>
              <w:spacing w:after="0"/>
              <w:rPr>
                <w:sz w:val="18"/>
                <w:szCs w:val="18"/>
                <w:color w:val="auto"/>
              </w:rPr>
            </w:pPr>
          </w:p>
        </w:tc>
      </w:tr>
      <w:tr>
        <w:trPr>
          <w:trHeight w:val="209"/>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Q1 2022</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78,976</w:t>
            </w:r>
          </w:p>
        </w:tc>
        <w:tc>
          <w:tcPr>
            <w:tcW w:w="3360" w:type="dxa"/>
            <w:vAlign w:val="bottom"/>
            <w:tcBorders>
              <w:bottom w:val="single" w:sz="8" w:color="auto"/>
              <w:right w:val="single" w:sz="8" w:color="auto"/>
            </w:tcBorders>
          </w:tcPr>
          <w:p>
            <w:pPr>
              <w:spacing w:after="0"/>
              <w:rPr>
                <w:sz w:val="18"/>
                <w:szCs w:val="18"/>
                <w:color w:val="auto"/>
              </w:rPr>
            </w:pPr>
          </w:p>
        </w:tc>
      </w:tr>
      <w:tr>
        <w:trPr>
          <w:trHeight w:val="210"/>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Q2 2022</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30,601</w:t>
            </w:r>
          </w:p>
        </w:tc>
        <w:tc>
          <w:tcPr>
            <w:tcW w:w="3360" w:type="dxa"/>
            <w:vAlign w:val="bottom"/>
            <w:tcBorders>
              <w:bottom w:val="single" w:sz="8" w:color="auto"/>
              <w:right w:val="single" w:sz="8" w:color="auto"/>
            </w:tcBorders>
          </w:tcPr>
          <w:p>
            <w:pPr>
              <w:spacing w:after="0"/>
              <w:rPr>
                <w:sz w:val="18"/>
                <w:szCs w:val="18"/>
                <w:color w:val="auto"/>
              </w:rPr>
            </w:pPr>
          </w:p>
        </w:tc>
      </w:tr>
      <w:tr>
        <w:trPr>
          <w:trHeight w:val="209"/>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Q3 2022</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18,452</w:t>
            </w:r>
          </w:p>
        </w:tc>
        <w:tc>
          <w:tcPr>
            <w:tcW w:w="3360" w:type="dxa"/>
            <w:vAlign w:val="bottom"/>
            <w:tcBorders>
              <w:bottom w:val="single" w:sz="8" w:color="auto"/>
              <w:right w:val="single" w:sz="8" w:color="auto"/>
            </w:tcBorders>
          </w:tcPr>
          <w:p>
            <w:pPr>
              <w:spacing w:after="0"/>
              <w:rPr>
                <w:sz w:val="18"/>
                <w:szCs w:val="18"/>
                <w:color w:val="auto"/>
              </w:rPr>
            </w:pPr>
          </w:p>
        </w:tc>
      </w:tr>
      <w:tr>
        <w:trPr>
          <w:trHeight w:val="42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Rapid Test (Antigen and PCR) / Percent of Total Patients by Quarter</w:t>
            </w:r>
          </w:p>
        </w:tc>
        <w:tc>
          <w:tcPr>
            <w:tcW w:w="3360" w:type="dxa"/>
            <w:vAlign w:val="bottom"/>
          </w:tcPr>
          <w:p>
            <w:pPr>
              <w:spacing w:after="0"/>
              <w:rPr>
                <w:sz w:val="24"/>
                <w:szCs w:val="24"/>
                <w:color w:val="auto"/>
              </w:rPr>
            </w:pPr>
          </w:p>
        </w:tc>
      </w:tr>
      <w:tr>
        <w:trPr>
          <w:trHeight w:val="216"/>
        </w:trPr>
        <w:tc>
          <w:tcPr>
            <w:tcW w:w="45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r>
      <w:tr>
        <w:trPr>
          <w:trHeight w:val="209"/>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Q1 2021</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27,651</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74%</w:t>
            </w:r>
          </w:p>
        </w:tc>
      </w:tr>
      <w:tr>
        <w:trPr>
          <w:trHeight w:val="210"/>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Q2 2021</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75,788</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82%</w:t>
            </w:r>
          </w:p>
        </w:tc>
      </w:tr>
      <w:tr>
        <w:trPr>
          <w:trHeight w:val="209"/>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Q3 2021</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110,376</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97%</w:t>
            </w:r>
          </w:p>
        </w:tc>
      </w:tr>
      <w:tr>
        <w:trPr>
          <w:trHeight w:val="209"/>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Q4 2021</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103,000</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98%</w:t>
            </w:r>
          </w:p>
        </w:tc>
      </w:tr>
      <w:tr>
        <w:trPr>
          <w:trHeight w:val="210"/>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Q1 2022</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78,524</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99%</w:t>
            </w:r>
          </w:p>
        </w:tc>
      </w:tr>
      <w:tr>
        <w:trPr>
          <w:trHeight w:val="209"/>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Q2 2022</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30,746</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09"/>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Q3 2022</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18,441</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426"/>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Rapid PCR Tests / Percent of Total Rapid Tests by Quarter</w:t>
            </w: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6"/>
        </w:trPr>
        <w:tc>
          <w:tcPr>
            <w:tcW w:w="45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r>
      <w:tr>
        <w:trPr>
          <w:trHeight w:val="210"/>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Q1 2021</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114</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Q2 2021</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32,382</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Q3 2021</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74,090</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67%</w:t>
            </w:r>
          </w:p>
        </w:tc>
      </w:tr>
      <w:tr>
        <w:trPr>
          <w:trHeight w:val="209"/>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Q4 2021</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101,526</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99%</w:t>
            </w:r>
          </w:p>
        </w:tc>
      </w:tr>
      <w:tr>
        <w:trPr>
          <w:trHeight w:val="210"/>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Q1 2022</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78,261</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99%</w:t>
            </w:r>
          </w:p>
        </w:tc>
      </w:tr>
      <w:tr>
        <w:trPr>
          <w:trHeight w:val="210"/>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Q2 2022</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30,690</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Q3 2022</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18,440</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Metrics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 non-GAAP basis, Adjusted EBITDA was $(4.56 million) during the third quarter 2022, compared to Adjusted EBITDA of $8.7 million in the prior year third quarter.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Adjusted EBITDA as earnings before interest, taxes, depreciation and amortization expense, non-cash charges, and stock-based compensation expense.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Adjusted EBITDA to be an important indicator for the performance of our operating business, XpresCheck. In particular, we believe that it is useful for analysts and investors to understand that Adjusted EBITDA excludes certain transactions not related to core cash operating activities, which are primarily related to XpresCheck. We believe that excluding these transactions allows investors to meaningfully analyze the performance of core cash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XWELL, Inc. Reports Third Quarter 2022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operating loss presented in accordance with GAAP for the three-month periods ended September 30, 2022 and 2021 to Adjusted EBITDA (loss) is presented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0"/>
        </w:trPr>
        <w:tc>
          <w:tcPr>
            <w:tcW w:w="5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(7,654)</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7,057</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Add back:</w:t>
            </w:r>
          </w:p>
        </w:tc>
        <w:tc>
          <w:tcPr>
            <w:tcW w:w="2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40" w:type="dxa"/>
            <w:vAlign w:val="bottom"/>
          </w:tcPr>
          <w:p>
            <w:pPr>
              <w:spacing w:after="0"/>
              <w:rPr>
                <w:sz w:val="18"/>
                <w:szCs w:val="18"/>
                <w:color w:val="auto"/>
              </w:rPr>
            </w:pPr>
          </w:p>
        </w:tc>
        <w:tc>
          <w:tcPr>
            <w:tcW w:w="18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1,564</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852</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40" w:type="dxa"/>
            <w:vAlign w:val="bottom"/>
          </w:tcPr>
          <w:p>
            <w:pPr>
              <w:spacing w:after="0"/>
              <w:rPr>
                <w:sz w:val="18"/>
                <w:szCs w:val="18"/>
                <w:color w:val="auto"/>
              </w:rPr>
            </w:pPr>
          </w:p>
        </w:tc>
        <w:tc>
          <w:tcPr>
            <w:tcW w:w="18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677</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2040" w:type="dxa"/>
            <w:vAlign w:val="bottom"/>
          </w:tcPr>
          <w:p>
            <w:pPr>
              <w:spacing w:after="0"/>
              <w:rPr>
                <w:sz w:val="18"/>
                <w:szCs w:val="18"/>
                <w:color w:val="auto"/>
              </w:rPr>
            </w:pPr>
          </w:p>
        </w:tc>
        <w:tc>
          <w:tcPr>
            <w:tcW w:w="18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325</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operating lease right-to-use assets</w:t>
            </w:r>
          </w:p>
        </w:tc>
        <w:tc>
          <w:tcPr>
            <w:tcW w:w="2040" w:type="dxa"/>
            <w:vAlign w:val="bottom"/>
          </w:tcPr>
          <w:p>
            <w:pPr>
              <w:spacing w:after="0"/>
              <w:rPr>
                <w:sz w:val="18"/>
                <w:szCs w:val="18"/>
                <w:color w:val="auto"/>
              </w:rPr>
            </w:pPr>
          </w:p>
        </w:tc>
        <w:tc>
          <w:tcPr>
            <w:tcW w:w="18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38</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40" w:type="dxa"/>
            <w:vAlign w:val="bottom"/>
          </w:tcPr>
          <w:p>
            <w:pPr>
              <w:spacing w:after="0"/>
              <w:rPr>
                <w:sz w:val="18"/>
                <w:szCs w:val="18"/>
                <w:color w:val="auto"/>
              </w:rPr>
            </w:pPr>
          </w:p>
        </w:tc>
        <w:tc>
          <w:tcPr>
            <w:tcW w:w="18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483</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790</w:t>
            </w: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/(Loss)</w:t>
            </w:r>
          </w:p>
        </w:tc>
        <w:tc>
          <w:tcPr>
            <w:tcW w:w="2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(4,567)</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8,699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Today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XWELL will host a webcast and conference call at 4:30 p.m. Eastern Time today. We encourage investors and all interested parties to listen via webcast as there is a limited capacity to access the conference call by dialing 1-201-689-8263. To submit a question, please email ir@xwell.com.</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live and later archived webcast can be accessed from the Investor Relations section of the Company’s website at </w:t>
      </w:r>
      <w:r>
        <w:rPr>
          <w:rFonts w:ascii="Times New Roman" w:cs="Times New Roman" w:eastAsia="Times New Roman" w:hAnsi="Times New Roman"/>
          <w:sz w:val="18"/>
          <w:szCs w:val="18"/>
          <w:u w:val="single" w:color="auto"/>
          <w:color w:val="auto"/>
        </w:rPr>
        <w:t>http://xwell.com</w:t>
      </w:r>
      <w:r>
        <w:rPr>
          <w:rFonts w:ascii="Times New Roman" w:cs="Times New Roman" w:eastAsia="Times New Roman" w:hAnsi="Times New Roman"/>
          <w:sz w:val="18"/>
          <w:szCs w:val="18"/>
          <w:color w:val="auto"/>
        </w:rPr>
        <w:t>. Visitors to the website should select the “Investors” tab and navigate to the “Events” link to access the webcast.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XWELL, Inc.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XWELL, Inc. (Nasdaq: XWEL) is a leading global health and wellness holding company operating four brands: XpresSpa®, Treat™, XpresCheck® and HyperPointe.</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XpresSpa is a leading airport retailer of wellness services and related products, with 29 locations in 14 airports globally.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 is a travel health and wellness brand and a fully integrated concept blending technology with traditional brick and mortar offerings to provide a holistic approach to physical and mental well-being for travelers, currently located in three airports.</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XpresCheck is a leading provider of COVID-19 screening and diagnostic testing in partnership with the CDC and Concentric by Ginkgo, conducting bio-surveillance monitoring in its airport locations to identify new SARS-CoV2 variants of interest and concern as well as other pathogens entering the country from across the world.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HyperPointe is a leading digital healthcare and data analytics relationship company serving the global healthcare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XWELL, Inc. Reports Third Quarter 2022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XWELL as of today's date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Securities and Exchange Commission filings (which reports were filed under the Company’s former name, XpresSpa Group, Inc., prior to its previously announced name change effective October 25, 2022).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Heather Tidwell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htidwell@mww.com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Calabrese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ir@xwell.com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2022-11-10T16:47:21Z</dcterms:created>
  <dcterms:modified xsi:type="dcterms:W3CDTF">2022-11-10T16:47:21Z</dcterms:modified>
</cp:coreProperties>
</file>