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9"/>
          </w:tcPr>
          <w:p>
            <w:pPr>
              <w:spacing w:after="0"/>
              <w:rPr>
                <w:sz w:val="20"/>
                <w:szCs w:val="20"/>
                <w:color w:val="auto"/>
              </w:rPr>
            </w:pPr>
            <w:r>
              <w:rPr>
                <w:rFonts w:ascii="Arial" w:cs="Arial" w:eastAsia="Arial" w:hAnsi="Arial"/>
                <w:sz w:val="14"/>
                <w:szCs w:val="14"/>
                <w:color w:val="auto"/>
                <w:w w:val="95"/>
              </w:rPr>
              <w:t xml:space="preserve">2. Issuer Name </w:t>
            </w:r>
            <w:r>
              <w:rPr>
                <w:rFonts w:ascii="Arial" w:cs="Arial" w:eastAsia="Arial" w:hAnsi="Arial"/>
                <w:sz w:val="14"/>
                <w:szCs w:val="14"/>
                <w:b w:val="1"/>
                <w:bCs w:val="1"/>
                <w:color w:val="auto"/>
                <w:w w:val="95"/>
              </w:rPr>
              <w:t>and</w:t>
            </w:r>
            <w:r>
              <w:rPr>
                <w:rFonts w:ascii="Arial" w:cs="Arial" w:eastAsia="Arial" w:hAnsi="Arial"/>
                <w:sz w:val="14"/>
                <w:szCs w:val="14"/>
                <w:color w:val="auto"/>
                <w:w w:val="95"/>
              </w:rPr>
              <w:t xml:space="preserve"> Ticker or Trading Symbol</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10"/>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48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7"/>
          </w:tcPr>
          <w:p>
            <w:pPr>
              <w:ind w:left="160"/>
              <w:spacing w:after="0"/>
              <w:rPr>
                <w:sz w:val="20"/>
                <w:szCs w:val="20"/>
                <w:color w:val="auto"/>
              </w:rPr>
            </w:pPr>
            <w:r>
              <w:rPr>
                <w:rFonts w:ascii="Arial" w:cs="Arial" w:eastAsia="Arial" w:hAnsi="Arial"/>
                <w:sz w:val="18"/>
                <w:szCs w:val="18"/>
                <w:color w:val="0000FF"/>
                <w:w w:val="99"/>
              </w:rPr>
              <w:t>12/21/2011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1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13"/>
            <w:vMerge w:val="continue"/>
          </w:tcPr>
          <w:p>
            <w:pPr>
              <w:spacing w:after="0"/>
              <w:rPr>
                <w:sz w:val="13"/>
                <w:szCs w:val="13"/>
                <w:color w:val="auto"/>
              </w:rPr>
            </w:pPr>
          </w:p>
        </w:tc>
        <w:tc>
          <w:tcPr>
            <w:tcW w:w="33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6"/>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6"/>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260" w:type="dxa"/>
            <w:vAlign w:val="bottom"/>
            <w:gridSpan w:val="2"/>
          </w:tcPr>
          <w:p>
            <w:pPr>
              <w:jc w:val="center"/>
              <w:ind w:left="319"/>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60" w:type="dxa"/>
            <w:vAlign w:val="bottom"/>
            <w:gridSpan w:val="2"/>
          </w:tcPr>
          <w:p>
            <w:pPr>
              <w:jc w:val="center"/>
              <w:ind w:left="279"/>
              <w:spacing w:after="0" w:line="133"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9"/>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1260" w:type="dxa"/>
            <w:vAlign w:val="bottom"/>
            <w:gridSpan w:val="2"/>
          </w:tcPr>
          <w:p>
            <w:pPr>
              <w:jc w:val="center"/>
              <w:ind w:left="359"/>
              <w:spacing w:after="0" w:line="135"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vMerge w:val="restart"/>
          </w:tcPr>
          <w:p>
            <w:pPr>
              <w:ind w:left="12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60" w:type="dxa"/>
            <w:vAlign w:val="bottom"/>
            <w:gridSpan w:val="3"/>
            <w:vMerge w:val="restart"/>
          </w:tcPr>
          <w:p>
            <w:pPr>
              <w:ind w:left="400"/>
              <w:spacing w:after="0"/>
              <w:rPr>
                <w:sz w:val="20"/>
                <w:szCs w:val="20"/>
                <w:color w:val="auto"/>
              </w:rPr>
            </w:pPr>
            <w:r>
              <w:rPr>
                <w:rFonts w:ascii="Arial" w:cs="Arial" w:eastAsia="Arial" w:hAnsi="Arial"/>
                <w:sz w:val="18"/>
                <w:szCs w:val="18"/>
                <w:color w:val="0000FF"/>
                <w:w w:val="93"/>
              </w:rPr>
              <w:t>12/21/2011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440" w:type="dxa"/>
            <w:vAlign w:val="bottom"/>
          </w:tcPr>
          <w:p>
            <w:pPr>
              <w:spacing w:after="0"/>
              <w:rPr>
                <w:sz w:val="22"/>
                <w:szCs w:val="22"/>
                <w:color w:val="auto"/>
              </w:rPr>
            </w:pPr>
          </w:p>
        </w:tc>
        <w:tc>
          <w:tcPr>
            <w:tcW w:w="840" w:type="dxa"/>
            <w:vAlign w:val="bottom"/>
            <w:vMerge w:val="restart"/>
          </w:tcPr>
          <w:p>
            <w:pPr>
              <w:ind w:left="200"/>
              <w:spacing w:after="0"/>
              <w:rPr>
                <w:sz w:val="20"/>
                <w:szCs w:val="20"/>
                <w:color w:val="auto"/>
              </w:rPr>
            </w:pPr>
            <w:r>
              <w:rPr>
                <w:rFonts w:ascii="Arial" w:cs="Arial" w:eastAsia="Arial" w:hAnsi="Arial"/>
                <w:sz w:val="18"/>
                <w:szCs w:val="18"/>
                <w:color w:val="0000FF"/>
              </w:rPr>
              <w:t>9,000</w:t>
            </w:r>
          </w:p>
        </w:tc>
        <w:tc>
          <w:tcPr>
            <w:tcW w:w="280" w:type="dxa"/>
            <w:vAlign w:val="bottom"/>
            <w:vMerge w:val="restart"/>
          </w:tcPr>
          <w:p>
            <w:pPr>
              <w:ind w:left="140"/>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2"/>
                <w:szCs w:val="2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1.1601</w:t>
            </w:r>
            <w:r>
              <w:rPr>
                <w:rFonts w:ascii="Arial" w:cs="Arial" w:eastAsia="Arial" w:hAnsi="Arial"/>
                <w:sz w:val="22"/>
                <w:szCs w:val="22"/>
                <w:color w:val="008000"/>
                <w:w w:val="84"/>
                <w:vertAlign w:val="superscript"/>
              </w:rPr>
              <w:t>(4)</w:t>
            </w:r>
          </w:p>
        </w:tc>
        <w:tc>
          <w:tcPr>
            <w:tcW w:w="1660" w:type="dxa"/>
            <w:vAlign w:val="bottom"/>
            <w:gridSpan w:val="5"/>
            <w:vMerge w:val="restart"/>
          </w:tcPr>
          <w:p>
            <w:pPr>
              <w:ind w:left="180"/>
              <w:spacing w:after="0"/>
              <w:rPr>
                <w:sz w:val="20"/>
                <w:szCs w:val="20"/>
                <w:color w:val="auto"/>
              </w:rPr>
            </w:pPr>
            <w:r>
              <w:rPr>
                <w:rFonts w:ascii="Arial" w:cs="Arial" w:eastAsia="Arial" w:hAnsi="Arial"/>
                <w:sz w:val="35"/>
                <w:szCs w:val="35"/>
                <w:color w:val="0000FF"/>
                <w:vertAlign w:val="subscript"/>
              </w:rPr>
              <w:t>884,803</w:t>
            </w:r>
            <w:r>
              <w:rPr>
                <w:rFonts w:ascii="Arial" w:cs="Arial" w:eastAsia="Arial" w:hAnsi="Arial"/>
                <w:sz w:val="11"/>
                <w:szCs w:val="11"/>
                <w:color w:val="008000"/>
              </w:rPr>
              <w:t>(1)(2)(3)</w:t>
            </w:r>
          </w:p>
        </w:tc>
        <w:tc>
          <w:tcPr>
            <w:tcW w:w="480" w:type="dxa"/>
            <w:vAlign w:val="bottom"/>
            <w:vMerge w:val="restart"/>
          </w:tcPr>
          <w:p>
            <w:pPr>
              <w:jc w:val="center"/>
              <w:ind w:right="312"/>
              <w:spacing w:after="0"/>
              <w:rPr>
                <w:sz w:val="20"/>
                <w:szCs w:val="20"/>
                <w:color w:val="auto"/>
              </w:rPr>
            </w:pPr>
            <w:r>
              <w:rPr>
                <w:rFonts w:ascii="Arial" w:cs="Arial" w:eastAsia="Arial" w:hAnsi="Arial"/>
                <w:sz w:val="18"/>
                <w:szCs w:val="18"/>
                <w:color w:val="0000FF"/>
              </w:rPr>
              <w:t>I</w:t>
            </w:r>
          </w:p>
        </w:tc>
        <w:tc>
          <w:tcPr>
            <w:tcW w:w="460" w:type="dxa"/>
            <w:vAlign w:val="bottom"/>
          </w:tcPr>
          <w:p>
            <w:pPr>
              <w:ind w:left="120"/>
              <w:spacing w:after="0"/>
              <w:rPr>
                <w:sz w:val="20"/>
                <w:szCs w:val="20"/>
                <w:color w:val="auto"/>
              </w:rPr>
            </w:pPr>
            <w:r>
              <w:rPr>
                <w:rFonts w:ascii="Arial" w:cs="Arial" w:eastAsia="Arial" w:hAnsi="Arial"/>
                <w:sz w:val="18"/>
                <w:szCs w:val="18"/>
                <w:color w:val="0000FF"/>
                <w:w w:val="99"/>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gridSpan w:val="3"/>
            <w:vMerge w:val="restart"/>
          </w:tcPr>
          <w:p>
            <w:pPr>
              <w:ind w:left="120"/>
              <w:spacing w:after="0" w:line="278" w:lineRule="exact"/>
              <w:rPr>
                <w:sz w:val="20"/>
                <w:szCs w:val="20"/>
                <w:color w:val="auto"/>
              </w:rPr>
            </w:pPr>
            <w:r>
              <w:rPr>
                <w:rFonts w:ascii="Arial" w:cs="Arial" w:eastAsia="Arial" w:hAnsi="Arial"/>
                <w:sz w:val="32"/>
                <w:szCs w:val="32"/>
                <w:color w:val="0000FF"/>
                <w:w w:val="86"/>
                <w:vertAlign w:val="subscript"/>
              </w:rPr>
              <w:t>Footnote</w:t>
            </w:r>
            <w:r>
              <w:rPr>
                <w:rFonts w:ascii="Arial" w:cs="Arial" w:eastAsia="Arial" w:hAnsi="Arial"/>
                <w:sz w:val="11"/>
                <w:szCs w:val="11"/>
                <w:color w:val="008000"/>
                <w:w w:val="86"/>
              </w:rPr>
              <w:t>(1)(2)(3)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3"/>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gridSpan w:val="20"/>
          </w:tcPr>
          <w:p>
            <w:pPr>
              <w:jc w:val="center"/>
              <w:ind w:right="21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2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8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Silverman Joshua</w:t>
              </w:r>
            </w:hyperlink>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Abbe Richard</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0000FF"/>
        </w:rPr>
        <w:t>641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2924175" cy="1136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13601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8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634,048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1" w:lineRule="exact"/>
        <w:rPr>
          <w:rFonts w:ascii="Arial" w:cs="Arial" w:eastAsia="Arial" w:hAnsi="Arial"/>
          <w:sz w:val="14"/>
          <w:szCs w:val="14"/>
          <w:color w:val="008000"/>
        </w:rPr>
      </w:pPr>
    </w:p>
    <w:p>
      <w:pPr>
        <w:ind w:right="16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weighted average sale price of $1.1601 per share, at prices ranging from $1.13 to $1.17 per share. Upon request by the staff of the Securities and Exchange Commission, the Issuer, or a security holder of the Issuer, full information regarding the number of shares sold at each separate price will be provided.</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12/22/2011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12/22/2011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12/22/2011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81867"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524858" TargetMode="External"/><Relationship Id="rId15"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2019-12-18T02:30:48Z</dcterms:created>
  <dcterms:modified xsi:type="dcterms:W3CDTF">2019-12-18T02:30:48Z</dcterms:modified>
</cp:coreProperties>
</file>