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18, 2010</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4812</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Medved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62"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Barry I. Grossman,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Kenneth R. Koch, Esq.</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6"/>
              </w:rPr>
              <w:t>David Selengut,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Mintz Levin Cohn Ferris Glovsky and Popeo P.C.</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Ellenoff Grossman &amp; Schole LLP</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1"/>
              </w:rPr>
              <w:t>Chrysler Center</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7"/>
              </w:rPr>
              <w:t>150 East 42nd Street, 11</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666 Third Avenue</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New York, New York 10017</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New York, New York 10017</w:t>
            </w:r>
          </w:p>
        </w:tc>
      </w:tr>
      <w:tr>
        <w:trPr>
          <w:trHeight w:val="216"/>
        </w:trPr>
        <w:tc>
          <w:tcPr>
            <w:tcW w:w="3140" w:type="dxa"/>
            <w:vAlign w:val="bottom"/>
          </w:tcPr>
          <w:p>
            <w:pPr>
              <w:jc w:val="right"/>
              <w:ind w:right="1252"/>
              <w:spacing w:after="0"/>
              <w:rPr>
                <w:sz w:val="20"/>
                <w:szCs w:val="20"/>
                <w:color w:val="auto"/>
              </w:rPr>
            </w:pPr>
            <w:r>
              <w:rPr>
                <w:rFonts w:ascii="Arial" w:cs="Arial" w:eastAsia="Arial" w:hAnsi="Arial"/>
                <w:sz w:val="18"/>
                <w:szCs w:val="18"/>
                <w:b w:val="1"/>
                <w:bCs w:val="1"/>
                <w:color w:val="auto"/>
              </w:rPr>
              <w:t>(212) 370-1300</w:t>
            </w:r>
          </w:p>
        </w:tc>
        <w:tc>
          <w:tcPr>
            <w:tcW w:w="5900" w:type="dxa"/>
            <w:vAlign w:val="bottom"/>
          </w:tcPr>
          <w:p>
            <w:pPr>
              <w:jc w:val="right"/>
              <w:ind w:right="1232"/>
              <w:spacing w:after="0"/>
              <w:rPr>
                <w:sz w:val="20"/>
                <w:szCs w:val="20"/>
                <w:color w:val="auto"/>
              </w:rPr>
            </w:pPr>
            <w:r>
              <w:rPr>
                <w:rFonts w:ascii="Arial" w:cs="Arial" w:eastAsia="Arial" w:hAnsi="Arial"/>
                <w:sz w:val="18"/>
                <w:szCs w:val="18"/>
                <w:b w:val="1"/>
                <w:bCs w:val="1"/>
                <w:color w:val="auto"/>
              </w:rPr>
              <w:t>(212) 935-3000</w:t>
            </w:r>
          </w:p>
        </w:tc>
      </w:tr>
      <w:tr>
        <w:trPr>
          <w:trHeight w:val="228"/>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(212) 370-7889—Facsimile</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(212) 983-3115—Facsimile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this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456"/>
        <w:spacing w:after="0" w:line="230" w:lineRule="exact"/>
        <w:rPr>
          <w:sz w:val="20"/>
          <w:szCs w:val="20"/>
          <w:color w:val="auto"/>
        </w:rPr>
      </w:pPr>
      <w:r>
        <w:rPr>
          <w:rFonts w:ascii="Arial" w:cs="Arial" w:eastAsia="Arial" w:hAnsi="Arial"/>
          <w:sz w:val="16"/>
          <w:szCs w:val="16"/>
          <w:color w:val="auto"/>
        </w:rPr>
        <w:t xml:space="preserve">If this Form is being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5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7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5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w w:val="91"/>
              </w:rPr>
              <w:t>Smaller reporting company</w:t>
            </w:r>
          </w:p>
        </w:tc>
        <w:tc>
          <w:tcPr>
            <w:tcW w:w="17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Calculation of Registration Fee</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40" w:type="dxa"/>
            <w:vAlign w:val="bottom"/>
          </w:tcPr>
          <w:p>
            <w:pPr>
              <w:jc w:val="center"/>
              <w:ind w:left="78"/>
              <w:spacing w:after="0" w:line="117" w:lineRule="exact"/>
              <w:rPr>
                <w:sz w:val="20"/>
                <w:szCs w:val="20"/>
                <w:color w:val="auto"/>
              </w:rPr>
            </w:pPr>
            <w:r>
              <w:rPr>
                <w:rFonts w:ascii="Arial" w:cs="Arial" w:eastAsia="Arial" w:hAnsi="Arial"/>
                <w:sz w:val="12"/>
                <w:szCs w:val="12"/>
                <w:b w:val="1"/>
                <w:bCs w:val="1"/>
                <w:color w:val="auto"/>
              </w:rPr>
              <w:t>Proposed Maximum</w:t>
            </w:r>
          </w:p>
        </w:tc>
        <w:tc>
          <w:tcPr>
            <w:tcW w:w="100" w:type="dxa"/>
            <w:vAlign w:val="bottom"/>
            <w:tcBorders>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94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center"/>
              <w:ind w:left="16"/>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4"/>
                <w:szCs w:val="14"/>
                <w:b w:val="1"/>
                <w:bCs w:val="1"/>
                <w:color w:val="auto"/>
                <w:w w:val="90"/>
              </w:rPr>
              <w:t>Price (1)</w:t>
            </w:r>
          </w:p>
        </w:tc>
        <w:tc>
          <w:tcPr>
            <w:tcW w:w="10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7"/>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Units, each consisting of one share of common stock, par value $0.01 per share, and two warrants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8"/>
              <w:spacing w:after="0"/>
              <w:rPr>
                <w:sz w:val="20"/>
                <w:szCs w:val="20"/>
                <w:color w:val="auto"/>
              </w:rPr>
            </w:pPr>
            <w:r>
              <w:rPr>
                <w:rFonts w:ascii="Arial" w:cs="Arial" w:eastAsia="Arial" w:hAnsi="Arial"/>
                <w:sz w:val="18"/>
                <w:szCs w:val="18"/>
                <w:color w:val="auto"/>
                <w:w w:val="87"/>
              </w:rPr>
              <w:t>$13,800,000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$983.94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8"/>
              <w:spacing w:after="0"/>
              <w:rPr>
                <w:sz w:val="20"/>
                <w:szCs w:val="20"/>
                <w:color w:val="auto"/>
              </w:rPr>
            </w:pPr>
            <w:r>
              <w:rPr>
                <w:rFonts w:ascii="Arial" w:cs="Arial" w:eastAsia="Arial" w:hAnsi="Arial"/>
                <w:sz w:val="18"/>
                <w:szCs w:val="18"/>
                <w:color w:val="auto"/>
                <w:w w:val="87"/>
              </w:rPr>
              <w:t>$30,360,000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87"/>
              </w:rPr>
              <w:t>$2,164.67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automatic conversion of Convertible Notes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$4,373,600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$311.84</w:t>
            </w:r>
          </w:p>
        </w:tc>
        <w:tc>
          <w:tcPr>
            <w:tcW w:w="0" w:type="dxa"/>
            <w:vAlign w:val="bottom"/>
          </w:tcPr>
          <w:p>
            <w:pPr>
              <w:spacing w:after="0"/>
              <w:rPr>
                <w:sz w:val="1"/>
                <w:szCs w:val="1"/>
                <w:color w:val="auto"/>
              </w:rPr>
            </w:pPr>
          </w:p>
        </w:tc>
      </w:tr>
      <w:tr>
        <w:trPr>
          <w:trHeight w:val="201"/>
        </w:trPr>
        <w:tc>
          <w:tcPr>
            <w:tcW w:w="740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Shares of common stock issuable upon exercise of warrants issuable upon automatic conversion of</w:t>
            </w:r>
          </w:p>
        </w:tc>
        <w:tc>
          <w:tcPr>
            <w:tcW w:w="300" w:type="dxa"/>
            <w:vAlign w:val="bottom"/>
            <w:tcBorders>
              <w:right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Convertible Notes (5)</w:t>
            </w:r>
          </w:p>
        </w:tc>
        <w:tc>
          <w:tcPr>
            <w:tcW w:w="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$9,621,920</w:t>
            </w:r>
          </w:p>
        </w:tc>
        <w:tc>
          <w:tcPr>
            <w:tcW w:w="1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$686.05</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of common stock issuable upon exercise of Special Bridge Warrants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$2,186,800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$155.92</w:t>
            </w:r>
          </w:p>
        </w:tc>
        <w:tc>
          <w:tcPr>
            <w:tcW w:w="0" w:type="dxa"/>
            <w:vAlign w:val="bottom"/>
          </w:tcPr>
          <w:p>
            <w:pPr>
              <w:spacing w:after="0"/>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jc w:val="center"/>
              <w:ind w:left="98"/>
              <w:spacing w:after="0"/>
              <w:rPr>
                <w:sz w:val="20"/>
                <w:szCs w:val="20"/>
                <w:color w:val="auto"/>
              </w:rPr>
            </w:pPr>
            <w:r>
              <w:rPr>
                <w:rFonts w:ascii="Arial" w:cs="Arial" w:eastAsia="Arial" w:hAnsi="Arial"/>
                <w:sz w:val="18"/>
                <w:szCs w:val="18"/>
                <w:b w:val="1"/>
                <w:bCs w:val="1"/>
                <w:color w:val="auto"/>
                <w:w w:val="87"/>
              </w:rPr>
              <w:t>$60,342,320</w:t>
            </w:r>
          </w:p>
        </w:tc>
        <w:tc>
          <w:tcPr>
            <w:tcW w:w="100" w:type="dxa"/>
            <w:vAlign w:val="bottom"/>
            <w:tcBorders>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$4,302.42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pursuant to the Registrant’s initial public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being registered for resale that will be acquired upon the conversion of convertible notes issued to the selling securityholders and that may be acquired upon the exercise of certain warrants issued to the selling securityholders named in this registration 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forms of prospectus, as set forth below.</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Public Offering Prospectus. </w:t>
      </w:r>
      <w:r>
        <w:rPr>
          <w:rFonts w:ascii="Arial" w:cs="Arial" w:eastAsia="Arial" w:hAnsi="Arial"/>
          <w:sz w:val="16"/>
          <w:szCs w:val="16"/>
          <w:color w:val="auto"/>
        </w:rPr>
        <w:t>A prospectus to be used for the initial public offering by the registrant of $12,000,000 of units (and an additional</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$1,800,000 of units which may be sold upon exercise of the underwriters’ over-allotment option) (the “Public Offering Prospectus”) through the underwriters named on the cover page of the Public Offering Prospectus.</w:t>
      </w:r>
    </w:p>
    <w:p>
      <w:pPr>
        <w:spacing w:after="0" w:line="56"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Selling Securityholder Prospectus. </w:t>
      </w:r>
      <w:r>
        <w:rPr>
          <w:rFonts w:ascii="Arial" w:cs="Arial" w:eastAsia="Arial" w:hAnsi="Arial"/>
          <w:sz w:val="16"/>
          <w:szCs w:val="16"/>
          <w:color w:val="auto"/>
        </w:rPr>
        <w:t>A prospectus to be used in connection with the potential resale by certain selling securityholders of up to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795,200 shares of the registrant’s common stock issuable upon conversion of the registrant’s outstanding convertible notes upon the effectiveness of the registration statement of which this prospectus forms a part and 2,385,600 shares of the registrant’s common stock issuable upon the exercise of certain of the registrant’s outstanding warrants (the “Selling Securityholder Prospectus”).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Public Offering Prospectus and the Selling Securityholder Prospectus will be identical in all respects except for the following principal points:</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front covers;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Use of Proceeds sections;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Shares Registered for Resale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Selling Securityholders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section from the Public Offering Prospectus is deleted from the Selling Securityholder Prospectus and a Plan of Distribution section is inserted in its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 Matters section in the Selling Securityholder Prospectus deletes the reference to counsel for the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back covers.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registrant has included in this registration statement, after the financial statements, a set of alternate pages to reflect the foregoing differences between the Selling Securityholder Prospectus and the Public Offering Prospectus.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DE1A1E"/>
        </w:rPr>
        <w:t>The information in this prospectus is not complete and may be changed. We may not sell these securities until after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18,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125730</wp:posOffset>
            </wp:positionV>
            <wp:extent cx="73723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is the initial public offering of our units. We are offering $12,000,000 of units, with each unit consisting of: (i) one share of common stock and (ii) two warrants. Each warrant entitles the holder to purchase one share of our common stock at a price equal to 110% of the offering price of the units in our initial public offering. Each warrant will become exercisable upon the consummation of our initial public offering and will expire five years after the date of this prospectus.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expect the initial public offering price of the units to be between $4.50 and $5.50 per unit. Currently, no public market exists for our securities. We have applied to list our units on the NYSE Amex under the symbol “VRNGU”. Once the securities comprising the units begin separate trading, the units will continue to trade under the symbol “VRNGU” and the common stock and warrants will be listed on the NYSE Amex under the symbols “VRNG” and “VRNGW,” respectively. The common stock and warrants comprising the units will begin separate trading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 No assurance can be given that such listing will be approved.</w:t>
      </w:r>
    </w:p>
    <w:p>
      <w:pPr>
        <w:spacing w:after="0" w:line="96"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300" w:type="dxa"/>
            <w:vAlign w:val="bottom"/>
          </w:tcPr>
          <w:p>
            <w:pP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Underwriter discounts and commissions (1)</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c>
          <w:tcPr>
            <w:tcW w:w="39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r>
      <w:tr>
        <w:trPr>
          <w:trHeight w:val="228"/>
        </w:trPr>
        <w:tc>
          <w:tcPr>
            <w:tcW w:w="7180" w:type="dxa"/>
            <w:vAlign w:val="bottom"/>
            <w:gridSpan w:val="2"/>
          </w:tcPr>
          <w:p>
            <w:pPr>
              <w:spacing w:after="0"/>
              <w:rPr>
                <w:sz w:val="20"/>
                <w:szCs w:val="20"/>
                <w:color w:val="auto"/>
              </w:rPr>
            </w:pPr>
            <w:r>
              <w:rPr>
                <w:rFonts w:ascii="Arial" w:cs="Arial" w:eastAsia="Arial" w:hAnsi="Arial"/>
                <w:sz w:val="18"/>
                <w:szCs w:val="18"/>
                <w:color w:val="auto"/>
                <w:w w:val="93"/>
              </w:rPr>
              <w:t>(1)   Does not include a corporate finance fee in the amount of 1.75% of the gross proceeds, or $</w:t>
            </w:r>
          </w:p>
        </w:tc>
        <w:tc>
          <w:tcPr>
            <w:tcW w:w="3940" w:type="dxa"/>
            <w:vAlign w:val="bottom"/>
            <w:gridSpan w:val="3"/>
          </w:tcPr>
          <w:p>
            <w:pPr>
              <w:ind w:left="280"/>
              <w:spacing w:after="0"/>
              <w:rPr>
                <w:sz w:val="20"/>
                <w:szCs w:val="20"/>
                <w:color w:val="auto"/>
              </w:rPr>
            </w:pPr>
            <w:r>
              <w:rPr>
                <w:rFonts w:ascii="Arial" w:cs="Arial" w:eastAsia="Arial" w:hAnsi="Arial"/>
                <w:sz w:val="18"/>
                <w:szCs w:val="18"/>
                <w:color w:val="auto"/>
              </w:rPr>
              <w:t>per share, payable to Maxim Group LLC, the</w:t>
            </w:r>
          </w:p>
        </w:tc>
        <w:tc>
          <w:tcPr>
            <w:tcW w:w="300" w:type="dxa"/>
            <w:vAlign w:val="bottom"/>
          </w:tcPr>
          <w:p>
            <w:pPr>
              <w:spacing w:after="0"/>
              <w:rPr>
                <w:sz w:val="19"/>
                <w:szCs w:val="19"/>
                <w:color w:val="auto"/>
              </w:rPr>
            </w:pPr>
          </w:p>
        </w:tc>
      </w:tr>
      <w:tr>
        <w:trPr>
          <w:trHeight w:val="222"/>
        </w:trPr>
        <w:tc>
          <w:tcPr>
            <w:tcW w:w="7180" w:type="dxa"/>
            <w:vAlign w:val="bottom"/>
            <w:gridSpan w:val="2"/>
          </w:tcPr>
          <w:p>
            <w:pPr>
              <w:ind w:left="460"/>
              <w:spacing w:after="0"/>
              <w:rPr>
                <w:sz w:val="20"/>
                <w:szCs w:val="20"/>
                <w:color w:val="auto"/>
              </w:rPr>
            </w:pPr>
            <w:r>
              <w:rPr>
                <w:rFonts w:ascii="Arial" w:cs="Arial" w:eastAsia="Arial" w:hAnsi="Arial"/>
                <w:sz w:val="18"/>
                <w:szCs w:val="18"/>
                <w:color w:val="auto"/>
              </w:rPr>
              <w:t>representative of the underwriters.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5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an over-allotment option to the underwriters, under which they may elect to purchase up to an additional $1,800,000 of units from us at the public offering price, less the estimated underwriting discounts and commissions, within 45 days from the date of this prospectus to cover over-allotments, if any.</w:t>
      </w:r>
    </w:p>
    <w:p>
      <w:pPr>
        <w:spacing w:after="0" w:line="134"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459" w:right="239" w:bottom="1440" w:gutter="0" w:footer="0" w:header="0"/>
        </w:sectPr>
      </w:pP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a firm commitment underwriting. The underwriters expect to deliver the units to purchasers on or prior to</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2010.</w:t>
      </w:r>
    </w:p>
    <w:p>
      <w:pPr>
        <w:spacing w:after="0" w:line="185" w:lineRule="exact"/>
        <w:rPr>
          <w:sz w:val="20"/>
          <w:szCs w:val="20"/>
          <w:color w:val="auto"/>
        </w:rPr>
      </w:pPr>
    </w:p>
    <w:p>
      <w:pPr>
        <w:sectPr>
          <w:pgSz w:w="11900" w:h="16838" w:orient="portrait"/>
          <w:cols w:equalWidth="0" w:num="2">
            <w:col w:w="8600" w:space="720"/>
            <w:col w:w="21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23"/>
          <w:szCs w:val="23"/>
          <w:b w:val="1"/>
          <w:bCs w:val="1"/>
          <w:color w:val="auto"/>
        </w:rPr>
        <w:t>Maxim Group LLC</w:t>
      </w:r>
    </w:p>
    <w:p>
      <w:pPr>
        <w:sectPr>
          <w:pgSz w:w="11900" w:h="16838" w:orient="portrait"/>
          <w:cols w:equalWidth="0" w:num="1">
            <w:col w:w="11420"/>
          </w:cols>
          <w:pgMar w:left="240" w:top="459" w:right="2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Chardan Capital Markets,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Ladenburg Thalmann &amp; Co. Inc.</w:t>
      </w:r>
    </w:p>
    <w:p>
      <w:pPr>
        <w:spacing w:after="0" w:line="200" w:lineRule="exact"/>
        <w:rPr>
          <w:sz w:val="20"/>
          <w:szCs w:val="20"/>
          <w:color w:val="auto"/>
        </w:rPr>
      </w:pPr>
    </w:p>
    <w:p>
      <w:pPr>
        <w:sectPr>
          <w:pgSz w:w="11900" w:h="16838" w:orient="portrait"/>
          <w:cols w:equalWidth="0" w:num="2">
            <w:col w:w="7640" w:space="720"/>
            <w:col w:w="3060"/>
          </w:cols>
          <w:pgMar w:left="240" w:top="459" w:right="239" w:bottom="1440" w:gutter="0" w:footer="0" w:header="0"/>
          <w:type w:val="continuous"/>
        </w:sectPr>
      </w:pPr>
    </w:p>
    <w:p>
      <w:pPr>
        <w:spacing w:after="0" w:line="6"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2010.</w:t>
      </w:r>
    </w:p>
    <w:p>
      <w:pPr>
        <w:sectPr>
          <w:pgSz w:w="11900" w:h="16838" w:orient="portrait"/>
          <w:cols w:equalWidth="0" w:num="2">
            <w:col w:w="6240" w:space="720"/>
            <w:col w:w="446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SUMMARY CONSOLIDATED FINANCIAL DATA</w:t>
              </w:r>
            </w:hyperlink>
          </w:p>
        </w:tc>
        <w:tc>
          <w:tcPr>
            <w:tcW w:w="61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OFFERING</w:t>
              </w:r>
            </w:hyperlink>
          </w:p>
        </w:tc>
        <w:tc>
          <w:tcPr>
            <w:tcW w:w="8680" w:type="dxa"/>
            <w:vAlign w:val="bottom"/>
            <w:gridSpan w:val="1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USE OF PROCEEDS</w:t>
              </w:r>
            </w:hyperlink>
          </w:p>
        </w:tc>
        <w:tc>
          <w:tcPr>
            <w:tcW w:w="83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DILUTION</w:t>
              </w:r>
            </w:hyperlink>
          </w:p>
        </w:tc>
        <w:tc>
          <w:tcPr>
            <w:tcW w:w="90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BUSINESS</w:t>
              </w:r>
            </w:hyperlink>
          </w:p>
        </w:tc>
        <w:tc>
          <w:tcPr>
            <w:tcW w:w="7860" w:type="dxa"/>
            <w:vAlign w:val="bottom"/>
            <w:tcBorders>
              <w:top w:val="single" w:sz="8" w:color="0000EE"/>
            </w:tcBorders>
            <w:gridSpan w:val="18"/>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MANAGEMENT</w:t>
              </w:r>
            </w:hyperlink>
          </w:p>
        </w:tc>
        <w:tc>
          <w:tcPr>
            <w:tcW w:w="866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4"/>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6"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the lesser of (i) $3.75 and (ii) 75% of the offering price of the units in this offering;</w:t>
      </w:r>
    </w:p>
    <w:p>
      <w:pPr>
        <w:spacing w:after="0" w:line="62"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795,200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144"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Until recently, our product has been offered for free to consumers. We are now moving to a paid service model together with mobile carriers and other partners around the world. The initial revenue model for our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24 patent applications for our platform (none of which has been issued to date) and we continue to create new intellectual property.</w:t>
      </w:r>
    </w:p>
    <w:p>
      <w:pPr>
        <w:spacing w:after="0" w:line="143"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 However, as video ringtones are a nascent market, we do not possess authoritative data regarding the market size for our service.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78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6780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24 patent applications for our platform (none of which has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448-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8210.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1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7010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(as restated) and 2008, are derived from our audited consolidated financial statements included elsewhere in this prospectus. The consolidated balance sheet data as of March 31, 2010, and the results of operation data for the three months ended March 31, 2010 and 2009 and for the period from inception through March 31, 2010, are derived from our unaudited consolidated financial statements included elsewhere in this prospectus. The per share figures in this section are historical and do not give effect to the anticipated 1-for-6 reverse stock split.</w:t>
      </w:r>
    </w:p>
    <w:p>
      <w:pPr>
        <w:spacing w:after="0" w:line="144"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1,975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1,568</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1,361</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5,306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770</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1,519</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1,997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1,538</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6,149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(0.91)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(2.79)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7"/>
              </w:rPr>
              <w:t>Weighted average number of shares used in computing basic and diluted net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common share</w:t>
            </w: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2,200,694</w:t>
            </w:r>
          </w:p>
        </w:tc>
        <w:tc>
          <w:tcPr>
            <w:tcW w:w="3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2,200,694</w:t>
            </w:r>
          </w:p>
        </w:tc>
        <w:tc>
          <w:tcPr>
            <w:tcW w:w="11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2,200,694</w:t>
            </w:r>
          </w:p>
        </w:tc>
        <w:tc>
          <w:tcPr>
            <w:tcW w:w="11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2,200,694</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2,125,926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5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120" w:type="dxa"/>
            <w:vAlign w:val="bottom"/>
            <w:gridSpan w:val="4"/>
            <w:vMerge w:val="continue"/>
            <w:shd w:val="clear" w:color="auto" w:fill="CCEEFF"/>
          </w:tcPr>
          <w:p>
            <w:pPr>
              <w:spacing w:after="0"/>
              <w:rPr>
                <w:sz w:val="7"/>
                <w:szCs w:val="7"/>
                <w:color w:val="auto"/>
              </w:rPr>
            </w:pPr>
          </w:p>
        </w:tc>
        <w:tc>
          <w:tcPr>
            <w:tcW w:w="1180" w:type="dxa"/>
            <w:vAlign w:val="bottom"/>
            <w:gridSpan w:val="3"/>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Long-term deposit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5,143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4,719</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temporary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11,970</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w w:val="95"/>
              </w:rPr>
              <w:t>(18,311)</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(16,378)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21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Proposed NYSE Amex symbols for:</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$12,000,000 of units, each unit consisting of:</w:t>
      </w:r>
    </w:p>
    <w:p>
      <w:pPr>
        <w:spacing w:after="0" w:line="97"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below and elsewhere in this prospectus regarding the number of units to be issued in this offering and the number of our outstanding securities subsequent to the offering assumes a $5.00 per unit public offering price, the mid-point of the $4.50 to $5.50 price range for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2,400,000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2,631,213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5,031,213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1,803,455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7,993,610</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the fifth anniversary of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of the offering price of the units sold in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that such listing will be approved.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226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07"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$10,200,000, is as follows: $750,000 for capital expenditures, $2,500,000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$2,000,000 for research and development, $2,200,000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$2,750,000 for general corporate purposes, including working capital and repayment of a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4060" w:space="340"/>
            <w:col w:w="6860"/>
          </w:cols>
          <w:pgMar w:left="240" w:top="459" w:right="39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 xml:space="preserve">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other information included in this prospectus for a discussion of factors</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you should carefully consider before deciding to invest in our units.</w:t>
      </w:r>
    </w:p>
    <w:p>
      <w:pPr>
        <w:spacing w:after="0" w:line="165"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2,631,213 shares of common stock outstanding on March 31, 2010 and also:</w:t>
      </w:r>
    </w:p>
    <w:p>
      <w:pPr>
        <w:spacing w:after="0" w:line="51" w:lineRule="exact"/>
        <w:rPr>
          <w:sz w:val="20"/>
          <w:szCs w:val="20"/>
          <w:color w:val="auto"/>
        </w:rPr>
      </w:pPr>
    </w:p>
    <w:p>
      <w:pPr>
        <w:ind w:left="1060" w:right="68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offering price of $5.00, the mid-point of the $4.50 to $5.50 price range for this offering;</w:t>
      </w:r>
    </w:p>
    <w:p>
      <w:pPr>
        <w:spacing w:after="0" w:line="90" w:lineRule="exact"/>
        <w:rPr>
          <w:rFonts w:ascii="Arial" w:cs="Arial" w:eastAsia="Arial" w:hAnsi="Arial"/>
          <w:sz w:val="18"/>
          <w:szCs w:val="18"/>
          <w:color w:val="auto"/>
        </w:rPr>
      </w:pPr>
    </w:p>
    <w:p>
      <w:pPr>
        <w:ind w:left="1060" w:right="180" w:hanging="323"/>
        <w:spacing w:after="0" w:line="357"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exchange of all of our outstanding preferred stock into 1,469,231 shares of common stock upon the closing of this offering and termination of outstanding warrants held by holders of our Series B Convertible Preferred Stock to purchase 200,245 shares of common stock;</w:t>
      </w:r>
    </w:p>
    <w:p>
      <w:pPr>
        <w:ind w:left="1060" w:hanging="323"/>
        <w:spacing w:after="0"/>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automatic conversion of the Bridge Notes into an aggregate of 795,200 shares of common stock upon the closing of this offering; and</w:t>
      </w:r>
    </w:p>
    <w:p>
      <w:pPr>
        <w:spacing w:after="0" w:line="124" w:lineRule="exact"/>
        <w:rPr>
          <w:rFonts w:ascii="Arial" w:cs="Arial" w:eastAsia="Arial" w:hAnsi="Arial"/>
          <w:sz w:val="15"/>
          <w:szCs w:val="15"/>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360,000 units.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240" w:hanging="323"/>
        <w:spacing w:after="0" w:line="370"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247,393 shares of common stock issuable upon the exercise of stock options outstanding as of March 31, 2010 at a weighted average exercise price of $2.71 per share and 20,000 shares of common stock issuable upon exercise of outstanding warrants with an exercise price of $1.50;</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42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842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2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1,590,400 shares of common stock issuable upon exercise of warrants to be issued to the investors in the Bridge Financing, upon conversion of the Bridge Notes, with an exercise price equal to 110% of the offering price of the units in this offering, or $5.50 assuming a $5.00 per unit public offering price;</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the Special Bridge Warrants, with an exercise price of $2.75;</w:t>
      </w:r>
    </w:p>
    <w:p>
      <w:pPr>
        <w:spacing w:after="0" w:line="9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55,664 shares of common stock issuable upon exercise of warrants issued to the placement agent in connection with the Bridge Financing with an exercise price of $4.12 assuming a $5.00 per unit public offering price;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482,346 shares of common stock issuable upon exercise of warrants issued to the lead investors in connection with the Bridge Financing with an exercise price of $0.01;</w:t>
      </w:r>
    </w:p>
    <w:p>
      <w:pPr>
        <w:spacing w:after="0" w:line="5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warrants issued to our senior lenders in connection with the Bridge Financing with an exercise price of $2.75;</w:t>
      </w:r>
    </w:p>
    <w:p>
      <w:pPr>
        <w:spacing w:after="0" w:line="5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1,794,027 shares of common stock issuable upon the exercise of stock options issuable to management in connection with this offering with an exercise price of $0.01;</w:t>
      </w:r>
    </w:p>
    <w:p>
      <w:pPr>
        <w:spacing w:after="0" w:line="5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1,794,027 shares of common stock issuable upon the exercise of stock options issuable to management in connection with this offering with an exercise price of $5.50;</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4,800,000 shares of common stock issuable upon the exercise of warrants underlying the units sold in this offering;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1,080,000 shares of common stock issuable upon exercise in full of the over-allotment option by the underwriters.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three months ended March 31, 2010 and the years ended December 31, 2009 and 2008, we incurred a net loss of approximately $2.0 million, $6.1 million and $7.3 million, respectively, and used cash in operations of approximately $1.7 million, $4.9 million and $7.3 million, respectively, in connection with the development of our software for mobile phones and the operations of our subsidiary. As of March 31, 2010, we had unrestricted cash and cash equivalents of approximately $1.4 million and an accumulated deficit of approximately $22.1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30 content license agreements with various content providers, none of which requires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Furthermore, our independent registered public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firm will be required to report separately on whether it believes that we have maintained, in all material respects, effective internal control over financial reporting.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We have identified a material weakness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This material weakness has resulted in the restatement of our consolidated financial statements as of December 31, 2009. We are in the process of remediating this material weakness by hiring additional qualified personnel to assist in the preparation of these calculations as well as other aspects of our financial statements.</w:t>
      </w:r>
    </w:p>
    <w:p>
      <w:pPr>
        <w:spacing w:after="0" w:line="19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NYSE Amex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NYSE Amex,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8.8% and 16.7%, respectively, of our voting interest. Our officers and directors (excluding our founders) will beneficially own approximately 4.7%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Although we have applied to list our securities on the NYSE Amex,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$3.65 (or 73%) in net tangible book value per share from the price you paid, based upon the initial public offering price of $5.00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this offering, we are registering the resale of 3,180,800 shares of our common stock held by investors who participated in the Bridge Financing. In addition, certain of our other stockholders may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1,090,117 shares of common stock eligible for trading in the public market. If our securityholders sell all of the foregoing shares, the market price of our common stock may be adversely affected.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After this offering (and assuming exchange of all preferred stock and the conversion of the Bridge Notes), we will have 5,031,213 shares of common stock issued and outstanding, excluding shares of common stock issuable upon exercise of options or warrants. This number includes 2,400,000 shares of common stock included in the units we are selling in this offering (assuming a $5.00 per unit public offering price), which may be resold in the public market immediately. The remaining 2,631,213 shares will become available for resale in the public market as shown in the chart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1,191,628/24%</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1,439,585/29%</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addition, as of the date hereof, we had outstanding options to purchase 247,393 shares of common stock. In connection with this offering, we will be issuing warrants to purchase 4,800,000 shares of common stock. In addition, we (i) will grant to our management, in connection with this offering, options to purchase 3,588,054 shares of common stock (of which 2,852,000 shares have been allocated as of the date hereof) ,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reserved 20,000 shares of common stock issuable upon exercise of other existing warrants, and (vi) have agreed to issue up to an additional 1,080,000 shares of common stock issuable upon exercise in full of the over-allotment option by the underwriters.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$4.12 per share, which is significantly below the mid-point of the price range for this offering. Such securities, when exercised, will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215"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b w:val="1"/>
          <w:bCs w:val="1"/>
          <w:color w:val="auto"/>
        </w:rPr>
        <w:t>If we cannot satisfy, or continue to satisfy, the NYSE Amex’s listing requirements and other rules, including NYSE Amex’s director independence requirements, our securities may not be listed or may be delisted, which could negatively impact the price of our securities and your ability to sell them.</w:t>
      </w:r>
    </w:p>
    <w:p>
      <w:pPr>
        <w:ind w:right="100" w:firstLine="456"/>
        <w:spacing w:after="0" w:line="259" w:lineRule="auto"/>
        <w:rPr>
          <w:sz w:val="20"/>
          <w:szCs w:val="20"/>
          <w:color w:val="auto"/>
        </w:rPr>
      </w:pPr>
      <w:r>
        <w:rPr>
          <w:rFonts w:ascii="Arial" w:cs="Arial" w:eastAsia="Arial" w:hAnsi="Arial"/>
          <w:sz w:val="18"/>
          <w:szCs w:val="18"/>
          <w:color w:val="auto"/>
        </w:rPr>
        <w:t>We will seek to have our securities approved for listing on the NYSE Amex upon consummation of this offering. Upon completion of this offering, we expect our securities to trade on the NYSE Amex. We can provide no assurance that our NYSE Amex listing application will be approved. In order to qualify for initial listing on the NYSE Amex upon the completion of this offering, we must meet the following criteria:</w:t>
      </w:r>
    </w:p>
    <w:p>
      <w:pPr>
        <w:spacing w:after="0" w:line="59" w:lineRule="exact"/>
        <w:rPr>
          <w:sz w:val="20"/>
          <w:szCs w:val="20"/>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have been in operation for at least two years, must have stockholders’ equity of at least $4,000,000 and the market value for our securities held by non-affiliates must equal or exceed $15,000,000;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our shares held by non-affiliates must equal at least 1,000,000;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minimum bid price for our shares must be at least $3.00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have at least 400 public shareholders; and</w:t>
      </w:r>
    </w:p>
    <w:p>
      <w:pPr>
        <w:spacing w:after="0" w:line="90" w:lineRule="exact"/>
        <w:rPr>
          <w:rFonts w:ascii="Arial" w:cs="Arial" w:eastAsia="Arial" w:hAnsi="Arial"/>
          <w:sz w:val="18"/>
          <w:szCs w:val="18"/>
          <w:color w:val="auto"/>
        </w:rPr>
      </w:pPr>
    </w:p>
    <w:p>
      <w:pPr>
        <w:ind w:left="900" w:right="560" w:hanging="325"/>
        <w:spacing w:after="0" w:line="370"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cannot assure you that we will be able to meet these initial listing requirements. In particular, there is no assurance that we will have a market value for our securities held by non-affiliates of at least $15,000,000 or that the minimum bid price for our shares will equal or exceed $3.00, as those thresholds will depend in part on the trading of our shares subsequent to this offering. In addition, our stockholders’ equity may not meet the requisite threshold of the NYSE Amex. Even if we meet the quantitative thresholds of the NYSE Amex, there is no assurance that the NYSE Amex will accept our securities for listing.</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anticipate that our securities will trade on the NYSE Amex upon closing of this offering, investors should be aware that they will be required to commit their investment funds prior to the approval or disapproval of our listing application by the NYSE Amex. In addition, we have relied on an exemption to the blue sky registration requirements afforded to “covered securities”. Securities listed on the NYSE Amex are “covered securities.” If we were unable to meet the NYSE Amex’s listing standards, then we would be unable to rely on the covered securities exemption to blue sky registration requirements and we would need to register the offering in each state in which we planned to sell shares.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plan to utilize the phase-in provisions afforded new public companies under Section 809 of the NYSE Amex Company Guide with respect to the director independence and independent committee requirements of the NYSE Amex. As a result, we will have 90 days from the date that our securities become listed on the NYSE Amex to have a majority of independent members on our board committees and we will have one year from the date of such listing to have a majority of independent directors and have fully independent board committees. Therefore, during such phase-in period, there may be times when we will not have a board of directors comprised of a majority of independent directors or fully independent board committees, which will leave us subject to the control of our existing non-independent directors. Moreover, if we are unable to comply with the director independence and independent committee requirements in the time period provided, we could be delisted from the NYSE Amex.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Even if we initially meet the listing requirements of the NYSE Amex and other applicable NYSE Amex rules, we may not be able to continue to satisfy these requirements and rules. If we are unable to satisfy the NYSE Amex criteria for maintaining our listing, our securities could be subject to delisting. To qualify for continued listing on the NYSE Amex, we must meet the following criteria:</w:t>
      </w:r>
    </w:p>
    <w:p>
      <w:pPr>
        <w:spacing w:after="0" w:line="59" w:lineRule="exact"/>
        <w:rPr>
          <w:sz w:val="20"/>
          <w:szCs w:val="20"/>
          <w:color w:val="auto"/>
        </w:rPr>
      </w:pPr>
    </w:p>
    <w:p>
      <w:pPr>
        <w:jc w:val="both"/>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Our shareholders’ equity must be at least $2,000,000 and we must not have sustained losses from continuing operations and/or net losses in two of our three most recent fiscal years; or (ii) our shareholders’ equity must be at least $4,000,000 and we must not have sustained losses from continuing operations and/or net losses in three of our four most recent fiscal years; or (iii) our shareholders’ equity must be at least $6,000,000 and we must not have sustained losses from continuing operations and/or net losses in our five most recent fiscal years;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our securities held by non-affiliates must equal at least 200,000;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securities must not be less than $1,000,000 for 90 consecutive days;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300 shareholders; and</w:t>
      </w:r>
    </w:p>
    <w:p>
      <w:pPr>
        <w:spacing w:after="0" w:line="90" w:lineRule="exact"/>
        <w:rPr>
          <w:rFonts w:ascii="Arial" w:cs="Arial" w:eastAsia="Arial" w:hAnsi="Arial"/>
          <w:sz w:val="18"/>
          <w:szCs w:val="18"/>
          <w:color w:val="auto"/>
        </w:rPr>
      </w:pPr>
    </w:p>
    <w:p>
      <w:pPr>
        <w:ind w:left="900" w:right="540" w:hanging="325"/>
        <w:spacing w:after="0" w:line="370"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the NYSE Amex does not list our securities, or subsequently delists our securities from trading, we could face significant consequences, including:</w:t>
      </w:r>
    </w:p>
    <w:p>
      <w:pPr>
        <w:spacing w:after="0" w:line="11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20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the NYSE Amex does not list our securities, any market that develops in shares of our common stock may be subject to the penny stock restrictions which will reduce the liquidity of our securities and make trading difficult or impossible.</w:t>
      </w:r>
    </w:p>
    <w:p>
      <w:pPr>
        <w:spacing w:after="0" w:line="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SEC Rule 15g-9 establishes the definition of a “penny stock,” for purposes relevant to us, as any equity security that has a market price of less than $5.00 per share or with an exercise price of less than $5.00 per share, subject to a limited number of exceptions. In the event the price of our units falls below $5.00 per share, our units will be considered to be penny stocks, which classification would severely and adversely affects the market liquidity for our securities. For any transaction involving a penny stock, unless exempt, the penny stock rules require that a broker-dealer approve a person’s account for transactions in penny stocks and the broker-dealer receive from the investor a written agreement to the transaction setting forth the identity and quantity of the penny stock to be purchased.</w:t>
      </w:r>
    </w:p>
    <w:p>
      <w:pPr>
        <w:spacing w:after="0" w:line="10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approve a person’s account for transactions in penny stocks, the broker-dealer must obtain financial information and investment experience and objectives of the person and make a reasonable determination that the transactions in penny stocks are suitable for that person and that person has sufficient knowledge and experience in financial matters to be capable of evaluating the risks of transactions in penny stocks.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broker-dealer must also deliver, prior to any transaction in a penny stock, a disclosure schedule prepared by the SEC relating to the penny stock market, which, in highlight form, sets forth:</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basis on which the broker-dealer made the suitability determination,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the broker-dealer received a signed, written agreement from the investor prior to the transaction.</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Disclosure also has to be made about the risks of investing in penny stock in both public offerings and in secondary trading and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these regulations, broker-dealers may not wish to engage in the above-referenced necessary paperwork and disclosures and/or may encounter difficulties in their attempt to sell securities subject to the penny stock rules. If the NYSE Amex does not list our securities, our selling stockholders or other holders of our securities may have difficulty selling their shares in the secondary market due to the reduced level of trading activity in the secondary market. These additional sales practice and disclosure requirements could impede the sale of our securities, if and when our securities become publicly traded. In addition, the liquidity for our securities may decrease, with a corresponding decrease in the price of our securities. If the NYSE Amex does not list our securities, our shares will likely be subject to the penny stock rules for the foreseeable future and our stockholders will, in all likelihood, find it difficult to sell their securities.</w:t>
      </w:r>
    </w:p>
    <w:p>
      <w:pPr>
        <w:spacing w:after="0" w:line="19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facility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have our securities listed for trading on the NYSE Amex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that our net proceeds from this offering will be approximately $10,200,000 after deducting the estimated underwriting discounts and estimated offering expenses of $1,800,000 payable by us. If the underwriters exercise their over-allotment option in full, we estimate that we will receive additional net proceeds of approximately $1,800,000.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9"/>
              </w:rPr>
              <w:t>Approximate Allocation</w:t>
            </w:r>
          </w:p>
        </w:tc>
        <w:tc>
          <w:tcPr>
            <w:tcW w:w="300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of Net Proceeds</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10,200,000</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hanging="452"/>
        <w:spacing w:after="0" w:line="28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18%.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$1.75 million for the twelve months subsequent to the consummation of this offering will be approximately $145,000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5620" w:right="2660" w:hanging="5045"/>
        <w:spacing w:after="0" w:line="440" w:lineRule="auto"/>
        <w:tabs>
          <w:tab w:leader="none" w:pos="8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 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Historical net tangible book value per share is determined by dividing our total tangible assets less total liabilities by the actual number of shares of common stock outstanding. Before giving effect to this offering, our pro forma net tangible book value as of March 31, 2010 was approximately ($3.89 million), or ($1.48) per share of common stock, based on 2,631,213 shares of common stock outstanding after giving effect to the: (i) exchange of all of our convertible preferred stock into 1,469,231 shares of common stock upon the closing of this offering, and (ii) automatic conversion of all of our outstanding Bridge Notes into 795,200 shares of common stock. Pro forma net tangible book value per share is determined by dividing our total tangible assets less total liabilities by the pro forma number of shares of common stock outstanding at March 31, 2010 before giving retroactive effect to this offering.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giving effect to our sale of $12,000,000 of units in this offering less estimated underwriting discounts and commissions and estimated offering expenses payable by us, our pro forma as adjusted net tangible book value as of March 31, 2010 would have been $6.3 million, or $1.25 per share. This represents an immediate increase in pro forma net tangible book value of $2.73 per share, or 185%, to existing stockholders and an immediate dilution of $3.75 per share, or 75%, to new investors. Dilution per share represents the difference between the amount per share paid by purchasers of shares of our common stock in this offering and the net tangible book value per share of our common stock immediately afterwards, after giving effect to the sale of $12,000,000 of units after deducting estimated underwriting discounts and commissions and estimated offering expenses payable by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book value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$1,800,000 of additional units (or 360,000 units assuming a $5.00 per unit public offering price) in this offering in full, the pro forma net tangible book value per share after the offering would be $1.50 per share, the additional and total increase in the pro forma as adjusted net tangible book value per share to existing stockholders would be $0.25 and $2.98, respectively, per share and the dilution to new investors purchasing common stock in this offering would be $3.50 per share or 70%.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following table summarizes, on a pro forma basis as of March 31, 2010,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an assumed public offering price of $5.00 per share, the mid-point of the $4.50 to $5.50 price range for the offering, calculated before deduction of estimated underwriting discounts and commissions and estimated offering expenses payable by 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4"/>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2,631,213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$17,453,974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2,400,000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w:t>
            </w:r>
          </w:p>
        </w:tc>
        <w:tc>
          <w:tcPr>
            <w:tcW w:w="88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12,000,000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5,031,213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29,453,974</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March 31, 2010 and assumes no exercise of the underwriters’ over-allotment option to purchase up to an additional 360,000 units. If the underwriters’ over-allotment option is exercised in full, the number of shares of common stock held by existing stockholders would be reduced to 49% of the total number of shares of common stock outstanding after this offering and the number of shares of common stock held by new investors would be increased to 2,760,000 or 51% of the total number of shares of common stock outstanding after this offering.</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information also assumes no exercise of any outstanding stock options or warrants or any management options to be issued in connection with this offering. As of March 31, 2010, there were 247,293 options outstanding at a weighted average exercise price of $2.71. In connection with this offering, we will issue 3,588,054 management options (of which 2,852,000 shares have been allocated as of the date hereof) at a weighted average exercise price of $2.76. To the extent that any of these options are exercised, there would be further dilution to new investors. If all of these options had been exercised as of March 31, 2010, net tangible book value per share after this offering, on a pro forma basis, would have been $0.71 and total dilution per share to new investors, on a pro forma basis, would have been $4.29 or 86%.</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the consummation of this offering, there would be 7,993,610 warrants outstanding at a weighted average exercise price of $4.79. To the extent that any of these warrants would be exercised at a price less than $4.00, there would be further dilution to new investors. If all of these warrants had been exercised as of March 31, 2010, net tangible book value per share after this offering, on a pro forma basis, would have been $0.37 and total dilution per share to new investors, on a pro forma basis, would be $4.63 or 93%.</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March 31, 2010, net tangible book value per share after this offering, on a pro forma basis, would have been $0.45 and total dilution per share to new investors, on a pro forma basis, would have been $4.55 or 91%.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March 31, 2010:</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1,469,231 shares of common stock based upon an assumed offering price of $5.00 per share the mid-point of the $4.50 to $5.50 price range for the offering, and (ii) conversion upon the closing of this offering of the Bridge Notes into 795,200 shares of common stock based upon an initial public offering price of $5.00 per share; and</w:t>
      </w:r>
    </w:p>
    <w:p>
      <w:pPr>
        <w:spacing w:after="0" w:line="62"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as adjusted basis to give effect to the pro forma adjustments described above and the sale of $12,000,000 of units in this offering after deducting underwriting discounts and commissions and estimated offering expenses payable by us.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8"/>
              </w:rPr>
              <w:t>As of March 31, 2010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4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7,488</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28,000,000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18,643</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(22,122)</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(22,122)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(18,311)</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58,400 currently subscribe to our service, including 13,400 subscribers to our service with Vivacell on a free-trial basis. As of the fourth quarter of 2009, we began to recognize revenues from our carrier subscription service. We are negotiating with additional mobile carriers in a number of different countries and we expect to scale our carrier business in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 liabilities in the normal course of business. We had approximately $1.4 million of cash and cash equivalents at March 31, 2010. Our average monthly burn rate from operations for the three months ended March 31, 2010 and the year ended December 31, 2009, was $0.6 million and $0.4 million, respectively. On April 1, 2009, we commenced repayment of a $5.0 million loan over a thirty-six month period (resulting in repayments amounting to approximately $88,000 and $0.8 million during the three months ended March 31, 2010 and the year ended December 31, 2009, respectively). This loan was subsequently modified to permit us to defer principal payments due during and subsequent to February 2010 until the earlier of June 29, 2010 or the consummation of this offering.</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which will be converted into equity upon the closing of this offering. These amounts have been used to finance our operations until now as we have not yet generated any significant revenues. From inception until March 31, 2010, we recorded losses of $22.1 million and a net cash outflow from operations of $19.3 million.</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transaction gains (losses) from foreign exchange rate differences. In addition, non-operating expenses include a loss of $180,000 (as restated) recorded as a result of the extinguishment of debt related to the loan modification agreement signed on December 29, 2009 with Silicon Valley Bank and Gold Hill. We expect non-operating expenses to significantly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during the first half of 2010 as a result of the additional interest expense relating to the Bridge Financing as a result of the recording of the fair value of the Special Bridge Warrants and the recording of a liability, which significantly reduces the value of the Bridge Notes on our balance sheet as at December 31,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March 31,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Our subsidiary generates net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three months ended March 31, 2010 and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Three Months Ended March 31, 2010 and 2009 and the development stage period (cumulative from inception through March 31, 2010)</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months ended March 31, 2010 to the results of operations for the three months ended March 31, 2009 and the results of our operations from inception through March 31,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three months ended March 31, 2010, we recorded revenues of $30,000, which represents an increase of $30,000 from our revenues for the three months ended March 31, 2009. Approximately $9,000 of the recorded revenue resulted from our revenue-sharing agreement with Vivacell for services in Armenia. In addition, we recognized $10,000 from the launching of our services in the United Arab Emirates, which represents two months of monthly minimum guarantees. Furthermore, we recognized $9,000 from our monthly revenue-sharing agreement in Malaysia and $2,000 from our revenue-sharing agreement in Turkey. We expect to continue to generate a substantial portion of our revenues for the coming quarters from: (i) the revenue-sharing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with Vivacell in Armenia, (ii) minimum monthly guarantees relating to our service launch in the United Arab Emirates and (iii) our revenue-sharing agreements in Turkey and Malaysia. From inception through March 31, 2010, we have recorded revenues of $50,000, which amount includes $27,000 from our services in Armenia, $10,000 from our services in the United Arab Emirates, $10,000 from our services in Malaysia and $3,000 from our services in Turkey. We did not record any revenues for the three months ended March 31, 2009, as we were mainly focused on our research and development activities during that period and we did not begin to record revenue until the third quarter of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March 31, 2010, our cost of revenue was $34,000, which represents an increase of $34,000 from our cost of revenue for the three months ended March 31, 2009. Cost of revenue is comprised of services related to the provision of content to end-users and servers needed to support the service in markets where we have launched our services. As our service grows and we launch in other territories, we expect that cost of revenue will increase as we provide more content and other services to the users of our service. As some of these costs are fixed irrespective of our revenues, we expect our gross margin to increase over time. We believe that we currently have enough server capacity to service up to two million global users before we need to expand our server capacity. From inception through March 31, 2010, our total cost of revenue was $65,000. We did not record any cost of revenues for the three months ended March 31, 2009, as we were mainly focused on our research and development activities during that period and we did not begin to record revenue until the third quarter of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research and development expenses decreased $31,000, or 5%, to $540,000, from $571,000 in the three months ended March 31, 2009. From inception through March 31, 2010, research and development expenses amounted to $8.9 million. Of this amount, approximately $6.3 million was attributed to salaries and related expenses, $1.2 million was attributed to sub-contracting and consulting services and $0.4 million was attributed to patent expenses.</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research and development expenses remained stable for the three months ended March 31, 2010 as compared with the three months ended March 31, 2009. While we continue to develop and expand our product line, we have not increased our research and development costs over the last 12 months as we have refrained from initiating any new significant projects or using expensive outsourced resources due to our reduced liquidity. As a result of this offering, we expect to increase our research and development expenses as we seek to expand our technology to more mobile handsets and to launch our services in more mobile markets. In addition, we expect to increase the number of our employees at our research and development facility in Israel. As our business matures and our revenues increase, we expect that our research and development expenses will grow at a slower rate than our corresponding revenues and marketing expenses.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months ended March 31, 2010, marketing expenses decreased $51,000, or 10%, to $441,000, from $492,000 in the three months ended March 31, 2009. From inception through March 31, 2010, marketing expenses totaled $7.0 million. Of this amount, approximately $3.0 million was attributed to salaries and related expenses, $1.0 million was attributed to sub-contracting and consulting services, $0.6 million was attributed to public relations services and customer acquisition expenses and $1.3 million was attributed to travel and tradeshows.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marketing expenses for the three months ended March 31, 2010 reflected our progression from a research and development company to a company that is launching services with various global partners. A significant portion of our marketing activity related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expect an increase in marketing expenses after the consummation of this offering as we continue launching our service in different global markets. In certain markets, our marketing efforts will include hiring local personnel to introduce us to the market and purchasing relevant local content. As our market reach grows, we expect our marketing expenses to continue to increase our visibility to potential partners.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50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5"/>
              </w:rPr>
              <w:t>($ -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2010, general and administrative expenses decreased $17,000, or 6%, to $281,000, from $298,000 in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2009. From inception through March 31, 2010, general and administrative expenses totaled $4.7 million. Of this amount,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was attributed to salaries and related expenses, $0.5 million was attributed to rent, $1.1 million was attributed to professional fees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$208,740 and $170,000 for placement agent fees and the fair value of the placement agent warrant, respectively) and $0.3 million was attributed to depreciation.</w:t>
      </w:r>
    </w:p>
    <w:p>
      <w:pPr>
        <w:spacing w:after="0" w:line="1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General and administrative expenses for the three months ended March 31, 2010, were generally consistent with such expenses for the three months ended March 31, 2009. Most of the professional fees relating to this offering have been capitalized and have not affected the operational expenses. Our rental costs for our headquarters in New York decreased significantly due to our relocation to smaller premises upon the termination of our lease in September 2009. This reduction was offset by the employment of an additional employee to prepare for our obligations under the Sarbanes-Oxley Act. We expect our general and administrative expenses to increase significantly during 2010 due to the costs of being a public company. These costs will be reflected in increased accounting, legal and insurance costs as well as increased costs to hire additional personnel to meet our obligations under the Sarbanes-Oxley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restart"/>
          </w:tcPr>
          <w:p>
            <w:pPr>
              <w:jc w:val="center"/>
              <w:ind w:right="222"/>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3"/>
            <w:vMerge w:val="restart"/>
          </w:tcPr>
          <w:p>
            <w:pPr>
              <w:jc w:val="center"/>
              <w:ind w:left="87"/>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ind w:right="222"/>
              <w:spacing w:after="0" w:line="142" w:lineRule="exact"/>
              <w:rPr>
                <w:sz w:val="20"/>
                <w:szCs w:val="20"/>
                <w:color w:val="auto"/>
              </w:rPr>
            </w:pPr>
            <w:r>
              <w:rPr>
                <w:rFonts w:ascii="Arial" w:cs="Arial" w:eastAsia="Arial" w:hAnsi="Arial"/>
                <w:sz w:val="14"/>
                <w:szCs w:val="14"/>
                <w:b w:val="1"/>
                <w:bCs w:val="1"/>
                <w:color w:val="auto"/>
                <w:w w:val="87"/>
              </w:rPr>
              <w:t>($ - in thousands)</w:t>
            </w: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March 31, 2010, non-operating expense, net, increased $0.6 million, or 371%, to $0.7 million, from $0.2 million in the three months ended March 31, 2009. The change in non-operating expense, net was due primarily to $0.5 million of additional interest expense as a result of the Bridge Financing. Since the warrants issued in the Bridge Financing were classified as a derivative liability and recorded at fair value, the Bridge Notes were consequently recorded at an amount less than their nominal value (i.e., their residual value). As a result, our interest costs for the Bridge Notes equaled $0.5 million for the three months ended March 31, 2010 and will total $1.1 million prior to the conversion of the Bridge Notes. We recorded an additional $0.2 million in interest expense as a result of the warrants granted to SVB/Gold Hill as part of the loan modification agreement. We have also continued to pay interest (approximately $32,000 monthly) on the SVB/Gold Hill loan drawn in September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March 31, 2010, non-operating expenses totaled $1.5 million. Of this amount, we recorded income from interest on deposits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interest expense on the SVB/Gold Hill loan of $0.7 million. In addition, we recorded $0.14 million of debt extinguishment expense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$0.2 million of debt extinguishment expenses as a result of the loan modification agreement with SVB/Gold Hill, $0.3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warrant amortization and $0.5 million of additional interest expense from the Bridge Notes. We expect to incur $1.1 million in additional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 the first half of 2010 as a result of recording additional interest expense from the Bridge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108"/>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March 31, 2009, taxes on income increased $1,000, or 5%, to $20,000, from $19,000 in the three months ended March 31, 2009.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March 31, 2010, taxes on income totaled $14,000.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(as restated) Compared to Year Ended December 31, 2008</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preparation of the March 31, 2010 financial statements, management discovered an error in the valuation of the fair market value of the shares of common stock as of December 31, 2009, which upon correction resulted in the restatement of the consolidated financial statements as of December 31, 2009.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correction of the error affected several accounts including the Bridge Loan, the Special Bridge Warrants, the Venture Loan, general and administrative expenses, share-based compensation to consultants and the loss on extinguishment of debt.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 agreement. We also recorded approximately $1,000 of revenue from each of our revenue-sharing agreements in Turkey and Malaysia.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year ended December 31, 2009, our cost of revenue was $31,000, which represents a $31,000 increase from the year ended December 31, 2008. Cost of revenue is comprised of services related to the 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57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9540"/>
        <w:spacing w:after="0"/>
        <w:tabs>
          <w:tab w:leader="none" w:pos="10180" w:val="left"/>
          <w:tab w:leader="none" w:pos="1078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694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research and development expenses increased $569,000, or 22%, to $3.1 million from $2.5 million in the year ended December 31, 2007.</w:t>
      </w:r>
    </w:p>
    <w:p>
      <w:pPr>
        <w:spacing w:after="0" w:line="19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 consultants, including a full-time consulting company for the first nine months of 2008 equivalent to two full-time employees.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207"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664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540"/>
        <w:spacing w:after="0"/>
        <w:tabs>
          <w:tab w:leader="none" w:pos="10200" w:val="left"/>
          <w:tab w:leader="none" w:pos="108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702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1,752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(1,017)</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 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20" w:type="dxa"/>
            <w:vAlign w:val="bottom"/>
            <w:gridSpan w:val="4"/>
          </w:tcPr>
          <w:p>
            <w:pPr>
              <w:jc w:val="center"/>
              <w:ind w:left="372"/>
              <w:spacing w:after="0"/>
              <w:rPr>
                <w:sz w:val="20"/>
                <w:szCs w:val="20"/>
                <w:color w:val="auto"/>
              </w:rPr>
            </w:pPr>
            <w:r>
              <w:rPr>
                <w:rFonts w:ascii="Arial" w:cs="Arial" w:eastAsia="Arial" w:hAnsi="Arial"/>
                <w:sz w:val="14"/>
                <w:szCs w:val="14"/>
                <w:b w:val="1"/>
                <w:bCs w:val="1"/>
                <w:color w:val="auto"/>
                <w:w w:val="88"/>
              </w:rPr>
              <w:t>Twelve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72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200" w:type="dxa"/>
            <w:vAlign w:val="bottom"/>
            <w:vMerge w:val="restart"/>
          </w:tcPr>
          <w:p>
            <w:pPr>
              <w:jc w:val="right"/>
              <w:ind w:right="3072"/>
              <w:spacing w:after="0"/>
              <w:rPr>
                <w:sz w:val="20"/>
                <w:szCs w:val="20"/>
                <w:color w:val="auto"/>
              </w:rPr>
            </w:pPr>
            <w:r>
              <w:rPr>
                <w:rFonts w:ascii="Arial" w:cs="Arial" w:eastAsia="Arial" w:hAnsi="Arial"/>
                <w:sz w:val="18"/>
                <w:szCs w:val="18"/>
                <w:color w:val="auto"/>
              </w:rPr>
              <w:t>38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2009, general and administrative expenses increased $159,000, or 11%, to $1.6 million, from $1.4 million in the year ended December 31, 2008. During the year ended December 31, 2008, general and administrative expenses increased $384,000, or 38%, to $1.4 million, from $1.0 million in the year ended December 31, 2007.</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increase in general and administrative expenses was due primarily to an increase in expenditures relating to the loan modification agreement with SVB and Gold Hill and the concurrent Bridge Financing. These expenses included approximately $80,000 of legal expenses, $40,000 of accounting and other professional fees, a charge of $208,740 (7% of the proceeds from the Bridge Financing) to the placement agent for facilitating the Bridge Financing and a further $60,000 of expenses recorded as a result of the warrant issued to the placement agent. This increase in expenses was offset by a reduction in salary of certain employees and a decline in rental expenses in our U.S. offices from a monthly expense of approximately $13,000 during 2008 to a monthly expense of $4,000 from January 2009 to August 2009 and a further reduction to $2,000 beginning September 1, 2009. The reduction in rental costs was due to a reduction in our workforce as discussed above and our relocation to smaller premises upon the termination of the lease for our U.S. premises in September 2009. The change in general and administrative expenses in 2008 was due to a number of factors including an increase in salary related expenses of approximately $100,000 resulting from an increase in the salaries, benefits and overhead costs of general and administrative personnel, an opening of a U.S. office in September 2007 and the increase of space at our U.S. office during 2008. Other factors include an increase of approximately $65,000 in legal expenses as a result of the SVB/Gold Hill loan, and an increase in recruitment expenses. General and administrative expenses are expected to rise significantly in 2010 due to the costs of being a public company which will be reflected in higher accounting and legal expenses as well as higher insurance costs and the need to employ additional personnel to meet our obligations under the Sarbanes-Oxley Act.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900" w:type="dxa"/>
            <w:vAlign w:val="bottom"/>
          </w:tcPr>
          <w:p>
            <w:pPr>
              <w:spacing w:after="0"/>
              <w:rPr>
                <w:sz w:val="11"/>
                <w:szCs w:val="11"/>
                <w:color w:val="auto"/>
              </w:rPr>
            </w:pPr>
          </w:p>
        </w:tc>
        <w:tc>
          <w:tcPr>
            <w:tcW w:w="720" w:type="dxa"/>
            <w:vAlign w:val="bottom"/>
          </w:tcPr>
          <w:p>
            <w:pPr>
              <w:jc w:val="right"/>
              <w:ind w:right="167"/>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1"/>
              </w:rPr>
              <w:t>(as restated)</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 in</w:t>
            </w: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74"/>
              </w:rPr>
              <w:t>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year ended December 31, 2009, non-operating expense (income), net increased $0.7 million to $1.1 from $51,000 in the year ended December 31, 2008. During the year ended December 31, 2008, non-operating expense (income), net increased $76,000 to $51,000 from ($25,000) in the year ended December 31, 2007.</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change in non-operating expense (income), net was due primarily to the payment of interest connected with the SVB/Gold Hill loan during the fourth quarter of 2008 and a reduction of our cash balance, together with a general reduction in money market yields during 2009. The change in non-operating expense (income), net in 2008 was due primarily to the payment of interest connected with the SVB/Gold Hill loan during the fourth quarter of 2008 and a reduction of the cash balance of the Company, together with a general reduction in money market yields during 2008. The increase in non-operating income in 2007 was due to better yields on more cash invested in money market funds especially as a result of the Series B financing in July 2007. This increase in non-operating income in 2007 was partly offset by a $141,000 loss on extinguished debt.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Twelve Months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March 31, 2010, we had a cash position of $1.4 million and a deficiency in net working capital of $3.25 million. The increase in cash of $0.7 million for the three months ended March 31, 2010 compared to the year ended December 31, 2009 was due to the receipt of proceeds from the Bridge Financing released from escrow upon filing of the registration statement for this offering, partially offset by the negative cash flow from operations. The Bridge Notes are due in full on June 29, 2010. Without the proceeds from this offering, we believe that we have sufficient cash to continue operations through the end of the second quarter of 2010. As a result of this offering, we believe we will have sufficient cash to meet our planned operating needs for at least the next eighteen months. In the three months ended March 31, 2010, we received the remaining $2.6 million proceeds from the Bridge Financing, of which $209,000 was paid to the placement agent for the Bridge Financing. The increase in net cash outflow from operations for the three months ended March 31, 2010 compared to the year ended December 31, 2009 reflects payments related to this offering, including approximately $150,000 to our auditors and legal counsel. The reduction in expenses in 2009 is reflected in the decrease in net cash used for operations over the course of 2009 as compared to 2008.</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Upon the consummation of this offering, the Series A Convertible Preferred Stock and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Series B Convertible Preferred Stock will be exchanged for shares of common stock and the notes issued in the Bridge Financing will be converted into shares of common stock. For the dilutive effect of this financing, please see section entitled “Dilution” on page 27.</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March 31, 2010, we had 30 full time employees and two part-time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three months ended March 31, 2010 and 2009</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-5715</wp:posOffset>
            </wp:positionV>
            <wp:extent cx="15519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9000"/>
        <w:spacing w:after="0"/>
        <w:tabs>
          <w:tab w:leader="none" w:pos="9960" w:val="left"/>
          <w:tab w:leader="none" w:pos="108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-6985</wp:posOffset>
            </wp:positionV>
            <wp:extent cx="3429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-6985</wp:posOffset>
            </wp:positionV>
            <wp:extent cx="342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95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40" w:type="dxa"/>
            <w:vAlign w:val="bottom"/>
          </w:tcPr>
          <w:p>
            <w:pPr>
              <w:jc w:val="right"/>
              <w:ind w:right="212"/>
              <w:spacing w:after="0"/>
              <w:rPr>
                <w:sz w:val="20"/>
                <w:szCs w:val="20"/>
                <w:color w:val="auto"/>
              </w:rPr>
            </w:pPr>
            <w:r>
              <w:rPr>
                <w:rFonts w:ascii="Arial" w:cs="Arial" w:eastAsia="Arial" w:hAnsi="Arial"/>
                <w:sz w:val="18"/>
                <w:szCs w:val="18"/>
                <w:color w:val="auto"/>
              </w:rPr>
              <w:t>2,559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c>
          <w:tcPr>
            <w:tcW w:w="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During the three months ended March 31, 2010, net cash used in operating activities totaled $1.7 million. During the three months ended March 31, 2009, net cash used in operating activities totaled $1.5 million. This increase of $0.2 million was due to payments to service providers in connection with the Bridge Financing and this offering, including the placement agent, auditors and legal counsel. We expect that net cash used in operating activities will increase in the twelve months following this offering in connection with the increase in our expenses as we hire additional personnel and increase spending on sales and marketing activities in markets in which we have launched our services. As we move towards greater revenue generation, we expect some of these amounts will be offset by revenue. Since we receive most of our revenues directly from carriers whose payment schedules are generally at net 60 days or net 90 days, and our suppliers’ payment schedules are generally net 30 days, we do not expect the increase in revenue will initially increase our net cash from operating activities.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three months ended March 31, 2010, net cash provided by investing activities totaled $2.6 million. During the three months ended March 31, 2009, net cash used in investing activities totaled $8,000. This increase of $2.6 million in investing activities is primarily due to the release of proceeds from the Bridge Financing from escrow, which was slightly offset by the purchase of fixed assets. Fixed asset purchases in the three months ended March 31, 2010 amounted to $23,000 compared to $8,000 for the three months ended March 31, 2009. The increase in fixed asset purchases was due to the need to replace certain fixed assets that had fully depreciated and to improve the servers in the research and development facility of our Israeli subsidiary. We expect that net cash used in investing activities will increase in the twelve months following the offering as we intend to use a portion of the investment proceeds from the offering on capital expenditures. As we hire new personnel, we will need to purchase fixed assets, such as computers, software and office furniture, to serve these employees. Moreover, as our service continues to grow, we will need to increase our server capacity to meet the needs of our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net cash used in financing activities totaled $145,000, which related to payments on the venture loan (prior to the moratorium on principal payments). During the three months ended March 31, 2009, we did not have any financing activities. Notwithstanding the proceeds from this offering, we expect to continue to experience a net cash outflow from financing activities in the twelve months following the offering as we continue to repay our venture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795,200 shares of common stock for an aggregate purchase price of $3.0 million (the “Bridge Financing”). Upon the closing of this offering, the Bridge Notes will convert into an aggregate of 795,200 shares of common stock and warrants to purchase 1,590,400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drawn down on a loan facility for $5.0 million. The loan facility bears interest at a rate of 9.5% per annum and an effective interest rate of 18%.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Future loan payments on the facility, including principal and interest will amount to approximately $145,000 per month.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We have a non-cancellable operating lease for our subsidiary’s offices in Israel for which we pay approximately $5,000 monthly. This commitment is for the period ending May 31, 2012. We pay $3,900 monthly for our U.S. lease. Our U.S. lease is cancellable upon 45 days notice and expires on August 31, 2010.</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prepaid. Total monthly expenses for these leases amount to $3,000. Expiration dates for the leases are on various dates from December 2010 through August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64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2009 and 2008 and our unaudited consolidated financial statements for the three months ended March 31, 2010,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 model used an expected life of three years, a risk-fee interest rate of 2.87% and 60.6% volatility. Our common stock valuation for March 31, 2010 valued our common stock at $0.43 before giving effect to the reverse split, or $2.58 on a post reverse-split basis. The valuation assumed the consummation of this offering based upon an assumed offering price of $5.00, the mid-point of the $4.50 to $5.50 price range for the offering. 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income (loss) and net earnings (loss) per share, could have been significantly different.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management estimating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60.6% expected volatility, a risk-free interest rate of 2.87%, estimated life of 5 years and no dividend yield. The fair value of the common stock was estimated at $0.43 per share before giving effect to the reverse split, or $2.58 on a post reverse-split basis. As a result of an error in our valuation of the Special Bridge Warrants, we have restated the balance of the Special Bridge Warrants and, consequently, the balance of the Bridge Notes (which were recorded at residual value as of December 31,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However, as video ringtones are a nascent market, we do not possess authoritative data regarding the market size for our service.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996,000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540" w:hanging="452"/>
        <w:spacing w:after="0" w:line="275"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60" w:hanging="325"/>
        <w:spacing w:after="0" w:line="298"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3293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line="258"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118110</wp:posOffset>
            </wp:positionV>
            <wp:extent cx="4939665" cy="3799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3966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452"/>
        <w:spacing w:after="0" w:line="258"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24 patent applications for our platform (none of which has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Avea is a mobile carrier in Turkey with 12.1 million subscribers, of which there are 8,500 subscribers to our paid service. We launched our services with Avea in November 2009. Our agreement with Avea provided for a 12-month term with automatic renewals for additional 12-month terms. Avea may terminate its rights under the agreement at any time and for any reason, upon 30 days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Maxis is a mobile carrier in Malaysia with 11.4 million subscribers, of which there are 34,000 subscribers to our paid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on a free-trial basis.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2,500 subscribers to our paid service.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PlugRTL brand. Users could sign up for a free one week trial, after which they will be charged on a weekly basis. The service, which will be promoted via advertising on all three of RTL’s TV networks as well as its websites and WAP sites, launched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85"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filed 24 patent applications for our platform (none of which has been issued to date) and we continue to create new intellectual property.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2480" w:type="dxa"/>
            <w:vAlign w:val="bottom"/>
          </w:tcPr>
          <w:p>
            <w:pPr>
              <w:ind w:left="1360"/>
              <w:spacing w:after="0"/>
              <w:rPr>
                <w:sz w:val="20"/>
                <w:szCs w:val="20"/>
                <w:color w:val="auto"/>
              </w:rPr>
            </w:pPr>
            <w:r>
              <w:rPr>
                <w:rFonts w:ascii="Arial" w:cs="Arial" w:eastAsia="Arial" w:hAnsi="Arial"/>
                <w:sz w:val="14"/>
                <w:szCs w:val="14"/>
                <w:b w:val="1"/>
                <w:bCs w:val="1"/>
                <w:color w:val="auto"/>
              </w:rPr>
              <w:t>Appl. #</w:t>
            </w:r>
          </w:p>
        </w:tc>
        <w:tc>
          <w:tcPr>
            <w:tcW w:w="414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Title</w:t>
            </w:r>
          </w:p>
        </w:tc>
        <w:tc>
          <w:tcPr>
            <w:tcW w:w="28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Application Status</w:t>
            </w: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11/997,000</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Synchronized Voice and Data System</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11/544,938</w:t>
            </w:r>
          </w:p>
        </w:tc>
        <w:tc>
          <w:tcPr>
            <w:tcW w:w="4140" w:type="dxa"/>
            <w:vAlign w:val="bottom"/>
          </w:tcPr>
          <w:p>
            <w:pPr>
              <w:ind w:left="300"/>
              <w:spacing w:after="0"/>
              <w:rPr>
                <w:sz w:val="20"/>
                <w:szCs w:val="20"/>
                <w:color w:val="auto"/>
              </w:rPr>
            </w:pPr>
            <w:r>
              <w:rPr>
                <w:rFonts w:ascii="Arial" w:cs="Arial" w:eastAsia="Arial" w:hAnsi="Arial"/>
                <w:sz w:val="18"/>
                <w:szCs w:val="18"/>
                <w:color w:val="auto"/>
                <w:w w:val="90"/>
              </w:rPr>
              <w:t>Personalization Content Sharing System and Method</w:t>
            </w:r>
          </w:p>
        </w:tc>
        <w:tc>
          <w:tcPr>
            <w:tcW w:w="2860" w:type="dxa"/>
            <w:vAlign w:val="bottom"/>
          </w:tcPr>
          <w:p>
            <w:pPr>
              <w:ind w:left="140"/>
              <w:spacing w:after="0"/>
              <w:rPr>
                <w:sz w:val="20"/>
                <w:szCs w:val="20"/>
                <w:color w:val="auto"/>
              </w:rPr>
            </w:pPr>
            <w:r>
              <w:rPr>
                <w:rFonts w:ascii="Arial" w:cs="Arial" w:eastAsia="Arial" w:hAnsi="Arial"/>
                <w:sz w:val="18"/>
                <w:szCs w:val="18"/>
                <w:color w:val="auto"/>
              </w:rPr>
              <w:t>Allowed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07706046.5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11/744,917</w:t>
            </w:r>
          </w:p>
        </w:tc>
        <w:tc>
          <w:tcPr>
            <w:tcW w:w="4140" w:type="dxa"/>
            <w:vAlign w:val="bottom"/>
          </w:tcPr>
          <w:p>
            <w:pPr>
              <w:ind w:left="300"/>
              <w:spacing w:after="0"/>
              <w:rPr>
                <w:sz w:val="20"/>
                <w:szCs w:val="20"/>
                <w:color w:val="auto"/>
              </w:rPr>
            </w:pPr>
            <w:r>
              <w:rPr>
                <w:rFonts w:ascii="Arial" w:cs="Arial" w:eastAsia="Arial" w:hAnsi="Arial"/>
                <w:sz w:val="18"/>
                <w:szCs w:val="18"/>
                <w:color w:val="auto"/>
              </w:rPr>
              <w:t>(Continuation-in-part of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08738326.1</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11/549,658</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Content at the End of Communication</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11/768,989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User-Chosen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07766818.4</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11/775,249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Pushed Media Content Delivery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07766888.7</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11/773,417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System and Method for Digital Rights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12/186,592</w:t>
            </w:r>
          </w:p>
        </w:tc>
        <w:tc>
          <w:tcPr>
            <w:tcW w:w="4140" w:type="dxa"/>
            <w:vAlign w:val="bottom"/>
          </w:tcPr>
          <w:p>
            <w:pPr>
              <w:ind w:left="300"/>
              <w:spacing w:after="0"/>
              <w:rPr>
                <w:sz w:val="20"/>
                <w:szCs w:val="20"/>
                <w:color w:val="auto"/>
              </w:rPr>
            </w:pPr>
            <w:r>
              <w:rPr>
                <w:rFonts w:ascii="Arial" w:cs="Arial" w:eastAsia="Arial" w:hAnsi="Arial"/>
                <w:sz w:val="18"/>
                <w:szCs w:val="18"/>
                <w:color w:val="auto"/>
              </w:rPr>
              <w:t>Advertisement-Based Dialing</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11/776,689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Group Sharing of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11/853,117</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Playing on Another Device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11/853,193</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Personalized Installation Files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11/923,831</w:t>
            </w:r>
          </w:p>
        </w:tc>
        <w:tc>
          <w:tcPr>
            <w:tcW w:w="4140" w:type="dxa"/>
            <w:vAlign w:val="bottom"/>
          </w:tcPr>
          <w:p>
            <w:pPr>
              <w:ind w:left="300"/>
              <w:spacing w:after="0"/>
              <w:rPr>
                <w:sz w:val="20"/>
                <w:szCs w:val="20"/>
                <w:color w:val="auto"/>
              </w:rPr>
            </w:pPr>
            <w:r>
              <w:rPr>
                <w:rFonts w:ascii="Arial" w:cs="Arial" w:eastAsia="Arial" w:hAnsi="Arial"/>
                <w:sz w:val="18"/>
                <w:szCs w:val="18"/>
                <w:color w:val="auto"/>
              </w:rPr>
              <w:t>Method to Play Vendor Videos</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12/028,938</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Triggering Events for Video Ringtones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12/043,974</w:t>
            </w:r>
          </w:p>
        </w:tc>
        <w:tc>
          <w:tcPr>
            <w:tcW w:w="4140" w:type="dxa"/>
            <w:vAlign w:val="bottom"/>
          </w:tcPr>
          <w:p>
            <w:pPr>
              <w:ind w:left="300"/>
              <w:spacing w:after="0"/>
              <w:rPr>
                <w:sz w:val="20"/>
                <w:szCs w:val="20"/>
                <w:color w:val="auto"/>
              </w:rPr>
            </w:pPr>
            <w:r>
              <w:rPr>
                <w:rFonts w:ascii="Arial" w:cs="Arial" w:eastAsia="Arial" w:hAnsi="Arial"/>
                <w:sz w:val="18"/>
                <w:szCs w:val="18"/>
                <w:color w:val="auto"/>
              </w:rPr>
              <w:t>Smart Contact List</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12/186,547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Mobile Video Dating Service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12/193,785</w:t>
            </w:r>
          </w:p>
        </w:tc>
        <w:tc>
          <w:tcPr>
            <w:tcW w:w="4140" w:type="dxa"/>
            <w:vAlign w:val="bottom"/>
          </w:tcPr>
          <w:p>
            <w:pPr>
              <w:ind w:left="300"/>
              <w:spacing w:after="0"/>
              <w:rPr>
                <w:sz w:val="20"/>
                <w:szCs w:val="20"/>
                <w:color w:val="auto"/>
              </w:rPr>
            </w:pPr>
            <w:r>
              <w:rPr>
                <w:rFonts w:ascii="Arial" w:cs="Arial" w:eastAsia="Arial" w:hAnsi="Arial"/>
                <w:sz w:val="18"/>
                <w:szCs w:val="18"/>
                <w:color w:val="auto"/>
              </w:rPr>
              <w:t>Roaming Detection</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08"/>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12/367,525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Contact Matching of Changing Content Across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24"/>
        </w:trPr>
        <w:tc>
          <w:tcPr>
            <w:tcW w:w="19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Platforms</w:t>
            </w:r>
          </w:p>
        </w:tc>
        <w:tc>
          <w:tcPr>
            <w:tcW w:w="2860" w:type="dxa"/>
            <w:vAlign w:val="bottom"/>
            <w:shd w:val="clear" w:color="auto" w:fill="CCEEFF"/>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61/226,718</w:t>
            </w:r>
          </w:p>
        </w:tc>
        <w:tc>
          <w:tcPr>
            <w:tcW w:w="4140" w:type="dxa"/>
            <w:vAlign w:val="bottom"/>
          </w:tcPr>
          <w:p>
            <w:pPr>
              <w:ind w:left="300"/>
              <w:spacing w:after="0"/>
              <w:rPr>
                <w:sz w:val="20"/>
                <w:szCs w:val="20"/>
                <w:color w:val="auto"/>
              </w:rPr>
            </w:pPr>
            <w:r>
              <w:rPr>
                <w:rFonts w:ascii="Arial" w:cs="Arial" w:eastAsia="Arial" w:hAnsi="Arial"/>
                <w:sz w:val="18"/>
                <w:szCs w:val="18"/>
                <w:color w:val="auto"/>
              </w:rPr>
              <w:t>Voting System with Content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61/289,454</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Alternative Ringtones for Mobile Telephones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w:t>
            </w:r>
          </w:p>
        </w:tc>
      </w:tr>
      <w:tr>
        <w:trPr>
          <w:trHeight w:val="208"/>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61/298,933</w:t>
            </w:r>
          </w:p>
        </w:tc>
        <w:tc>
          <w:tcPr>
            <w:tcW w:w="4140" w:type="dxa"/>
            <w:vAlign w:val="bottom"/>
          </w:tcPr>
          <w:p>
            <w:pPr>
              <w:ind w:left="300"/>
              <w:spacing w:after="0"/>
              <w:rPr>
                <w:sz w:val="20"/>
                <w:szCs w:val="20"/>
                <w:color w:val="auto"/>
              </w:rPr>
            </w:pPr>
            <w:r>
              <w:rPr>
                <w:rFonts w:ascii="Arial" w:cs="Arial" w:eastAsia="Arial" w:hAnsi="Arial"/>
                <w:sz w:val="18"/>
                <w:szCs w:val="18"/>
                <w:color w:val="auto"/>
                <w:w w:val="95"/>
              </w:rPr>
              <w:t>Generation of Video Clips From a Friend’s Recent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22"/>
        </w:trPr>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Social Stream</w:t>
            </w:r>
          </w:p>
        </w:tc>
        <w:tc>
          <w:tcPr>
            <w:tcW w:w="2860" w:type="dxa"/>
            <w:vAlign w:val="bottom"/>
          </w:tcPr>
          <w:p>
            <w:pPr>
              <w:spacing w:after="0"/>
              <w:rPr>
                <w:sz w:val="19"/>
                <w:szCs w:val="19"/>
                <w:color w:val="auto"/>
              </w:rPr>
            </w:pPr>
          </w:p>
        </w:tc>
      </w:tr>
      <w:tr>
        <w:trPr>
          <w:trHeight w:val="365"/>
        </w:trPr>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57</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 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three months ended March 31, 2010 and March 31, 2009, we spent $0.5 million and $0.6 million on research and development activities, respectively. 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30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*(1)(2)(3)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Philip Serlin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Gary Ginsberg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Seth M. Siegel </w:t>
      </w:r>
      <w:r>
        <w:rPr>
          <w:rFonts w:ascii="Arial" w:cs="Arial" w:eastAsia="Arial" w:hAnsi="Arial"/>
          <w:sz w:val="18"/>
          <w:szCs w:val="18"/>
          <w:color w:val="auto"/>
        </w:rPr>
        <w:t>has served as a director since May 2006 and as chairman of the board since March 2010. Mr. Siegel has been working in the corporate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as our President since April 2010. From February 2009 to March 2010, Mr. Perlman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a 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Gary Ginsberg </w:t>
      </w:r>
      <w:r>
        <w:rPr>
          <w:rFonts w:ascii="Arial" w:cs="Arial" w:eastAsia="Arial" w:hAnsi="Arial"/>
          <w:sz w:val="16"/>
          <w:szCs w:val="16"/>
          <w:color w:val="auto"/>
        </w:rPr>
        <w:t>has served as a director since May 2010. Since April 2010, he has served as executive vice president of Time Warner Inc (NYSE:TWX).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1999 to December 2009, Mr. Ginsberg served as an executive vice president at News Corporation (NasdaqGS: NWS), most recently serving as executive vice president of global marketing and corporate affairs. Mr. Ginsberg served as managing director at Clark &amp; Weinstock, a strategic consulting firm, from November 1996 to December 1998. He served as senior editor and counsel of George Magazine from March 1995 to November 1996. Mr. Ginsberg served as an assistant counsel to President Clinton and as a senior counsel at the U.S. Department of Justice from January 1993 to November 1994. Mr. Ginsberg holds a Bachelor of Arts in History from Brown University and a Juris Doctorate from Columbia Law School.</w:t>
      </w:r>
    </w:p>
    <w:p>
      <w:pPr>
        <w:spacing w:after="0" w:line="120" w:lineRule="exact"/>
        <w:rPr>
          <w:sz w:val="20"/>
          <w:szCs w:val="20"/>
          <w:color w:val="auto"/>
        </w:rPr>
      </w:pPr>
    </w:p>
    <w:p>
      <w:pPr>
        <w:ind w:left="460" w:right="160"/>
        <w:spacing w:after="0" w:line="417" w:lineRule="auto"/>
        <w:rPr>
          <w:sz w:val="20"/>
          <w:szCs w:val="20"/>
          <w:color w:val="auto"/>
        </w:rPr>
      </w:pPr>
      <w:r>
        <w:rPr>
          <w:rFonts w:ascii="Arial" w:cs="Arial" w:eastAsia="Arial" w:hAnsi="Arial"/>
          <w:sz w:val="15"/>
          <w:szCs w:val="15"/>
          <w:color w:val="auto"/>
        </w:rPr>
        <w:t xml:space="preserve">We believe Mr. Ginsberg’s experience as an executive officer at Time Warner Inc. and News Corporation qualifies him to serve on our board of directors. </w:t>
      </w:r>
      <w:r>
        <w:rPr>
          <w:rFonts w:ascii="Arial" w:cs="Arial" w:eastAsia="Arial" w:hAnsi="Arial"/>
          <w:sz w:val="15"/>
          <w:szCs w:val="15"/>
          <w:b w:val="1"/>
          <w:bCs w:val="1"/>
          <w:i w:val="1"/>
          <w:iCs w:val="1"/>
          <w:color w:val="auto"/>
        </w:rPr>
        <w:t xml:space="preserve">David Corre </w:t>
      </w:r>
      <w:r>
        <w:rPr>
          <w:rFonts w:ascii="Arial" w:cs="Arial" w:eastAsia="Arial" w:hAnsi="Arial"/>
          <w:sz w:val="15"/>
          <w:szCs w:val="15"/>
          <w:color w:val="auto"/>
        </w:rPr>
        <w:t>has served as Vice President, Finance and Administration since June 2006. Mr. Corre has audit experience in a variety of research and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in International Relations from the Hebrew University of Jerusalem. Mr. Corre is a certified public accountant in Israel and was admitted into the Institute of Certified Public Accountants in Israel in 2005.</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activity that are strategic to us. In addition to individual meetings or phone conferences with members of the Advisory Board, we intend to conduct bi-annual meetings with the Advisory Board to discuss our strategy and industry trends.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 Board each quarter and to make themselves available for at least four hours per quarter (in addition to time spent attending meetings of the Advisory Board) to consult with our management, employees and advisors and to serve as our liaison with our current and prospective clients and strategic partners. As of the date hereof, we have issued to members of the Advisory Board options to purchase an aggregate of approximately 6,500 shares of common stock with a weighted average exercise price of $0.125 per share, which are included within the options to purchase 247,393 shares of common stock outstanding as of the date hereof. Upon the consummation of this offering, we expect to issue to members of the Advisory Board options to purchase an aggregate of (i) 30,000 shares of common stock with an exercise price of $0.01 and (ii) 30,000 shares of common stock with an exercise price of $5.50. These options will vest in annual installments over four years, with the first portion vesting on the first anniversary of the consummation of this offering. The foregoing options are included within the options to purchase 3,686,938 shares of common stock issuable to management in connection with this offering (of which 2,852,000 shares have been allocated as of the date hereof).</w:t>
      </w:r>
    </w:p>
    <w:p>
      <w:pPr>
        <w:spacing w:after="0" w:line="12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Mr. Siegel, Mr. Simon, Mr. Serlin and Mr. Ginsberg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 We intend that within 90 days from the consummation of this offering, all members of the committees of the board of directors will be independent.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will be posted on our website.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has established a Compensation Committee, comprised of Mr. Siegel, Mr. Simon and Mr. Medved. All of the members of the Compensation Committee are independent, other than Mr. Medved. We intend to appoint an additional independent director to the Compensation Committee to replace Mr. Medved within 90 days following completion of this offering. Mr. Siegel serves as chairman of the Compensation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board of directors has established an Audit Committee, comprised of Mr. Serlin and Mr. Siegel. All of the members of the Compensation Committee are independent. Mr. Serlin serves as chairman of the Audit Committee. Our board of directors has determined that Mr. Serlin is an “audit committee financial expert” as defined in Item 407(d)(5)(ii) of Regulation S-K. We intend to appoint an additional independent director to the Audit Committee within 90 days following completion of this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authorized to:</w:t>
      </w:r>
    </w:p>
    <w:p>
      <w:pPr>
        <w:spacing w:after="0" w:line="21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Prior to the closing of this offering, we expect that our board of directors will identify a director who will qualify as our audit committee financial expert. 65</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adopted a code of ethics that applies to our officers, directors and employees. We have filed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w w:val="96"/>
              </w:rPr>
              <w:t>Vice President, Finance and Administration (principal financial and</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$242,400 as of March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$1,480 as of March 31, 2010).</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purchase 125,000 shares of our common stock pursuant to our 2006 Stock Option Plan vesting over four years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with the first portion vesting on the first anniversary of the consummation of this offering) and (ii) 90,000 shares of common stock at an exercise price of $5.50 (vesting over four years from the effective date of the employment agreement with the first portion vesting on the first anniversary of the effective date).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foregoing options are included within the options to purchase 3,588,054 shares of common stock issuable to management in connection with this offering (of which 2,852,000 shares have been allocated as of the date hereof).</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$84,000 as of March 31, 2010).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w:t>
      </w:r>
    </w:p>
    <w:p>
      <w:pPr>
        <w:ind w:right="480" w:firstLine="8"/>
        <w:spacing w:after="0" w:line="323"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$129,000 as of March 31, 2010).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$129,000 as of March 31, 2010). In October 2008, in an effort to conserve cash, the Company asked and Mr. Frohlich agreed to reduce this base salary by 10% in exchange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0"/>
              </w:rPr>
              <w:t>unexercised</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unexercised</w:t>
            </w: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exercise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options (#)</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9,115</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the date hereof and after giving effect to the anticipated reverse split, we have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to purchase (i) 1,794,027 shares of our common stock at an exercise price of $0.01 per share (of which 1,412,000 shares have been allocated as of the date hereof) and (ii) 1,794,027 shares of our common stock at an exercise price of $5.50 per share (of which 1,440,000 shares have been allocated as of the date hereof) pursuant to the Option Plan. Accordingly, upon consummation of this offering, we will have outstanding options to purchase an aggregate of 3,835,447 shares of our common stock at a weighted exercise price of $2.75 per share. For additional details regarding our outstanding options, please refer to the Stockholders’ Equity note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22,846(2)</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$70,396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14,700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20" w:type="dxa"/>
            <w:vAlign w:val="bottom"/>
          </w:tcPr>
          <w:p>
            <w:pPr>
              <w:ind w:left="19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May 10,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795,200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3,588,054 shares of common stock issuable to our management upon exercise of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May 10, 2010).</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number of shares of common stock issued and outstanding before this offering is 2,631,213, which includes 366,782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an assumed offering price of $5.00, the mid-point of the $4.50 to $5.50 price range for the offering.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percentage of common stock beneficially owned after this offering is based on 5,031,213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$12,000,000 of units being offered for sale in this offering but assumes no exercise of the warrants comprising the units offered for sale or the underwriters’ over-allotment option.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Before the Offering</w:t>
            </w:r>
          </w:p>
        </w:tc>
        <w:tc>
          <w:tcPr>
            <w:tcW w:w="7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900" w:type="dxa"/>
            <w:vAlign w:val="bottom"/>
            <w:tcBorders>
              <w:bottom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b w:val="1"/>
                <w:bCs w:val="1"/>
                <w:color w:val="auto"/>
              </w:rPr>
              <w:t>As Adjusted for the Offering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2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of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Beneficially Owned (2)</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Common</w:t>
            </w:r>
          </w:p>
        </w:tc>
        <w:tc>
          <w:tcPr>
            <w:tcW w:w="21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18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81"/>
              </w:rPr>
              <w:t>(3)</w:t>
            </w:r>
          </w:p>
        </w:tc>
        <w:tc>
          <w:tcPr>
            <w:tcW w:w="960" w:type="dxa"/>
            <w:vAlign w:val="bottom"/>
          </w:tcPr>
          <w:p>
            <w:pPr>
              <w:spacing w:after="0"/>
              <w:rPr>
                <w:sz w:val="14"/>
                <w:szCs w:val="14"/>
                <w:color w:val="auto"/>
              </w:rPr>
            </w:pPr>
          </w:p>
        </w:tc>
        <w:tc>
          <w:tcPr>
            <w:tcW w:w="16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Stock (2)(4)</w:t>
            </w:r>
          </w:p>
        </w:tc>
        <w:tc>
          <w:tcPr>
            <w:tcW w:w="21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Owned (3)</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Warburg Pincus Private Equity IX, L.P.</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840,117</w:t>
            </w: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840,117</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450 Lexington Avenue</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Iroquois Master Fund Ltd.</w:t>
            </w:r>
          </w:p>
        </w:tc>
        <w:tc>
          <w:tcPr>
            <w:tcW w:w="3140" w:type="dxa"/>
            <w:vAlign w:val="bottom"/>
            <w:gridSpan w:val="3"/>
          </w:tcPr>
          <w:p>
            <w:pPr>
              <w:jc w:val="right"/>
              <w:ind w:right="760"/>
              <w:spacing w:after="0"/>
              <w:rPr>
                <w:sz w:val="20"/>
                <w:szCs w:val="20"/>
                <w:color w:val="auto"/>
              </w:rPr>
            </w:pPr>
            <w:r>
              <w:rPr>
                <w:rFonts w:ascii="Arial" w:cs="Arial" w:eastAsia="Arial" w:hAnsi="Arial"/>
                <w:sz w:val="18"/>
                <w:szCs w:val="18"/>
                <w:color w:val="auto"/>
              </w:rPr>
              <w:t>221,792(5)</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6.2%</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400,458(15)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14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Goldfarb</w:t>
            </w:r>
          </w:p>
        </w:tc>
        <w:tc>
          <w:tcPr>
            <w:tcW w:w="31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219,382(6)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6.1%</w:t>
            </w:r>
          </w:p>
        </w:tc>
        <w:tc>
          <w:tcPr>
            <w:tcW w:w="2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246,049(16)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 (7)</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199,073</w:t>
            </w: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199,073</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Seth M. Siegel</w:t>
            </w:r>
          </w:p>
        </w:tc>
        <w:tc>
          <w:tcPr>
            <w:tcW w:w="3140" w:type="dxa"/>
            <w:vAlign w:val="bottom"/>
            <w:gridSpan w:val="3"/>
          </w:tcPr>
          <w:p>
            <w:pPr>
              <w:jc w:val="right"/>
              <w:ind w:right="760"/>
              <w:spacing w:after="0"/>
              <w:rPr>
                <w:sz w:val="20"/>
                <w:szCs w:val="20"/>
                <w:color w:val="auto"/>
              </w:rPr>
            </w:pPr>
            <w:r>
              <w:rPr>
                <w:rFonts w:ascii="Arial" w:cs="Arial" w:eastAsia="Arial" w:hAnsi="Arial"/>
                <w:sz w:val="18"/>
                <w:szCs w:val="18"/>
                <w:color w:val="auto"/>
              </w:rPr>
              <w:t>125,459(8)</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3.4%</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178,792(17)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Glanz (9)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Edo Segal (10)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16,250</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Philip Serlin</w:t>
            </w:r>
          </w:p>
        </w:tc>
        <w:tc>
          <w:tcPr>
            <w:tcW w:w="7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Gary Ginsberg</w:t>
            </w:r>
          </w:p>
        </w:tc>
        <w:tc>
          <w:tcPr>
            <w:tcW w:w="720" w:type="dxa"/>
            <w:vAlign w:val="bottom"/>
          </w:tcPr>
          <w:p>
            <w:pPr>
              <w:spacing w:after="0"/>
              <w:rPr>
                <w:sz w:val="18"/>
                <w:szCs w:val="18"/>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1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Andrew Perlman (11)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Stuart Frohlich (12)</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6,930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6,930</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Corre (13)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Ralph Simon (14)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All current directors and officers as a group (10</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individuals)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385,846</w:t>
            </w: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439,179</w:t>
            </w:r>
          </w:p>
        </w:tc>
        <w:tc>
          <w:tcPr>
            <w:tcW w:w="10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10,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19,167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89,333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28,782 shares of common stock issuable upon full exercise of all options and warrants held by the holder that are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17,701 shares of common stock issuable upon full exercise of all options and warrants held by the holder that are exercisable within 60 days.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40,000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13,284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16,250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6,930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6,249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1,812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268,000 shares of common stock issuable upon full exercise of all options and warrants held by the holder that are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40,000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80,000 shares of common stock issuable upon full exercise of all options and warrants held by the holder that are exercisable within 60 days.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240" w:top="459" w:right="5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decrease and we will issue fewer shares of common stock to holders of the Series A Convertible Preferred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increase and we will issue additional shares of common stock to holders of the Series B Convertible Preferred Stock.</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and chief technology officer, David Goldfarb. We paid the patent firm approximately $29,000 for the three months ended March 31, 2010 (including $25,000 for legal services and $4,000 for the sub-lease of approximately 10% of our office space) and $104,000 in 2009 (including $90,000 for legal services and $14,000 for the sub-lease).</w:t>
      </w:r>
    </w:p>
    <w:p>
      <w:pPr>
        <w:spacing w:after="0" w:line="107"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We paid Degel Software Limited, or Degel, approximately $48,000 for the three months ended March 31, 2010 and $86,000 for consulting services rendered in 2009. Degel is owned by David Goldfarb, our chief technology officer and co-founder. As of May 10, 2010, Mr. Goldfarb held 6.1% of our outstanding shares of common stock. He has previously served as one of our officers and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451,162 shares of common stock; (ii) our outstanding shares of Series B Convertible Preferred Stock will be exchanged for 1,018,069 shares of common stock; and (iii) all of our Bridge Notes will convert into an aggregate of 795,200 shares of common stock. Assuming such exchange and conversion, as of the date of this prospectus, we have 2,631,213 shares of common stock outstanding held of record by fifty seven stockholders and no outstanding shares of preferred stock. Upon the closing of this offering, we will have outstanding options to purchase 3,835,447 shares of common stock and warrants to purchase 7,993,610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451,162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1,018,069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the lesser of (i) $3.75 and (ii) 75% of the offering price of the units in this offering.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there were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pursuant to the Option Plan to purchase (i) 1,794,027 shares of our common stock at an exercise price of $0.01 per share (of which 1,412,000 shares have been allocated as of the date hereof) vesting annually over three or four years (according to the applicable schedule of the optionee) with the first portion vesting on the first anniversary of the consummation of this offering and (ii) 1,794,027 shares of our common stock at an exercise price of $5.50 per share (of which 1,440,000 shares have been allocated as of the date hereof)</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vesting quarterly over four years with the first portion vesting on the first anniversary of the consummation of this offering. Accordingly, upon consummation of this offering and assuming the issuance of all management options, we will have outstanding options to purchase an aggregate of 3,835,447 shares of our common stock at a weighted exercise price of $2.75 per share. For additional details regarding our outstanding options, please refer to the Stockholders’ Equity and Subsequent Events notes to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March 31, 2010,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Bridge Financing, we issued to the purchasers of the Bridge Notes warrants to purchase 795,200 shares of common stock. These warrants are exercisable for five years to purchase one share of our common stock at an exercise price of $2.75 per share. Upon the closing of this offering, the Bridge Notes will convert into an aggregate of 795,200 shares of common stock and warrants to purchase 1,590,400 shares of common stock. Each of these warrants is exercisable for five years from the consummation of this offering to purchase one share of our common stock at an exercise price equal to 110% of the offering price of the units in this offering.</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110% of the conversion price of the Bridge Notes, or $4.12 per share assuming a $5.00 per unit public offering price, and expire five years after issuance.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public warrants entitle the registered holder to purchase one share of our common stock at a price equal to 110% of the price of the units sold in the offering, subject to adjustment as discussed below, at any time commencing upon consummation of this offering and terminating at 5:00 p.m., New York City time, on the fifth anniversary of the date of this prospectus. The public warrants shall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public warrants will be exercisable unless at the time of the exercise a prospectus relating to common stock issuable upon exercise of the public warrants is current and the common stock has been registered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sz w:val="20"/>
          <w:szCs w:val="20"/>
          <w:color w:val="auto"/>
        </w:rPr>
      </w:pPr>
    </w:p>
    <w:p>
      <w:pPr>
        <w:ind w:left="900" w:right="60" w:hanging="319"/>
        <w:spacing w:after="0" w:line="259" w:lineRule="auto"/>
        <w:tabs>
          <w:tab w:leader="none" w:pos="880" w:val="left"/>
        </w:tabs>
        <w:rPr>
          <w:sz w:val="20"/>
          <w:szCs w:val="20"/>
          <w:color w:val="auto"/>
        </w:rPr>
      </w:pPr>
      <w:r>
        <w:rPr>
          <w:rFonts w:ascii="Arial" w:cs="Arial" w:eastAsia="Arial" w:hAnsi="Arial"/>
          <w:sz w:val="18"/>
          <w:szCs w:val="18"/>
          <w:color w:val="auto"/>
        </w:rPr>
        <w:t>•</w:t>
        <w:tab/>
        <w:t>if, and only if, the last sales price of our common stock equals or exceeds $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6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units, common stock and warrants on the NYSE Amex under the symbols “VRNGU,” “VRNG” and “VRNGW,”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5,031,213 shares of common stock issued and outstanding, assuming a $5.00 per unit public offering price.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2,400,000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2,631,213</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bl>
    <w:p>
      <w:pPr>
        <w:ind w:left="6200"/>
        <w:spacing w:after="0"/>
        <w:rPr>
          <w:sz w:val="20"/>
          <w:szCs w:val="20"/>
          <w:color w:val="auto"/>
        </w:rPr>
      </w:pPr>
      <w:r>
        <w:rPr>
          <w:rFonts w:ascii="Arial" w:cs="Arial" w:eastAsia="Arial" w:hAnsi="Arial"/>
          <w:sz w:val="18"/>
          <w:szCs w:val="18"/>
          <w:color w:val="auto"/>
        </w:rPr>
        <w:t>shares include shares of common stock issued upon (i)</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conversion of the Bridge Notes and (ii) exchange of our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outstanding shares of preferred stock.</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as of the date of this prospectus, we had outstanding options to purchase 247,393 shares of common stock. In connection with this offering, we will be issuing warrants to purchase 4,800,000 shares of common stock. In addition, we (i) will grant to our management, in connection with this offering, options to purchase 3,588,054 shares of common stock (of which 2,852,000 shares have been allocated as of the date hereof),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and (v) have agreed to issue up to an additional 1,080,000 shares of common stock issuable upon exercise in full of the over-allotment option by the underwriters.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$4.12, which is significantly below the mid-point of the price range for this offering. Such securities, when exercised, will increase the number of issued and outstanding shares of common stock and could have an adverse effect on the market price for our securities.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50,312 shares immediately after this offering); or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who is acting as the sole book-running manager and sole representative of the underwriters of this offering, each underwriter named below has severally agreed to purchase from us on a firm commitment basis the following respective number of units at a public offering price less the underwriting discounts and commissions set forth on the cover page of this prospectus:</w:t>
      </w:r>
    </w:p>
    <w:p>
      <w:pPr>
        <w:sectPr>
          <w:pgSz w:w="11900" w:h="16838" w:orient="portrait"/>
          <w:cols w:equalWidth="0" w:num="1">
            <w:col w:w="11380"/>
          </w:cols>
          <w:pgMar w:left="240" w:top="459" w:right="279" w:bottom="1440" w:gutter="0" w:footer="0" w:header="0"/>
        </w:sect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7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-7620</wp:posOffset>
            </wp:positionV>
            <wp:extent cx="8058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300" w:space="720"/>
            <w:col w:w="13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10795</wp:posOffset>
            </wp:positionV>
            <wp:extent cx="8058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27940</wp:posOffset>
            </wp:positionV>
            <wp:extent cx="8058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underwriting agreement provides that the obligation of the underwriters to purchase all of the 2,400,000 units being offered to the public (assuming a $5.00 per unit public offering price)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2,400,000 units being offered to the public, other than those covered by the over-allotment option described below, if any of these units are purchased.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$1,800,000 of additional units (or 360,000 units assuming a $5.00 per unit public offering price)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underwriting discounts and commissions are 8%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1.75% of the gross proceeds of this offering for the structuring of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prospectus. In addition, the representative may offer some of the units to other securities dealers at such price less a concession of $ per unit. The underwriters may also allow, and such dealers may reallow, a concession not in excess of $ per unit to other dealers. After the common stock is released for sale to the public, the representative may change the offering price and other selling terms at various times.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20"/>
        <w:spacing w:after="0"/>
        <w:rPr>
          <w:sz w:val="20"/>
          <w:szCs w:val="20"/>
          <w:color w:val="auto"/>
        </w:rPr>
      </w:pPr>
      <w:r>
        <w:rPr>
          <w:rFonts w:ascii="Arial" w:cs="Arial" w:eastAsia="Arial" w:hAnsi="Arial"/>
          <w:sz w:val="12"/>
          <w:szCs w:val="12"/>
          <w:b w:val="1"/>
          <w:bCs w:val="1"/>
          <w:u w:val="single" w:color="auto"/>
          <w:color w:val="auto"/>
        </w:rPr>
        <w:t>Per Unit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Without</w:t>
      </w:r>
    </w:p>
    <w:p>
      <w:pPr>
        <w:ind w:left="120"/>
        <w:spacing w:after="0" w:line="237" w:lineRule="auto"/>
        <w:rPr>
          <w:sz w:val="20"/>
          <w:szCs w:val="20"/>
          <w:color w:val="auto"/>
        </w:rPr>
      </w:pPr>
      <w:r>
        <w:rPr>
          <w:rFonts w:ascii="Arial" w:cs="Arial" w:eastAsia="Arial" w:hAnsi="Arial"/>
          <w:sz w:val="14"/>
          <w:szCs w:val="14"/>
          <w:b w:val="1"/>
          <w:bCs w:val="1"/>
          <w:color w:val="auto"/>
        </w:rPr>
        <w:t>Over-</w:t>
      </w:r>
    </w:p>
    <w:p>
      <w:pPr>
        <w:spacing w:after="0"/>
        <w:rPr>
          <w:sz w:val="20"/>
          <w:szCs w:val="20"/>
          <w:color w:val="auto"/>
        </w:rPr>
      </w:pPr>
      <w:r>
        <w:rPr>
          <w:rFonts w:ascii="Arial" w:cs="Arial" w:eastAsia="Arial" w:hAnsi="Arial"/>
          <w:sz w:val="12"/>
          <w:szCs w:val="12"/>
          <w:b w:val="1"/>
          <w:bCs w:val="1"/>
          <w:u w:val="single" w:color="auto"/>
          <w:color w:val="auto"/>
        </w:rPr>
        <w:t>Allotment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Total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w:t>
      </w:r>
    </w:p>
    <w:p>
      <w:pPr>
        <w:jc w:val="center"/>
        <w:spacing w:after="0"/>
        <w:rPr>
          <w:sz w:val="20"/>
          <w:szCs w:val="20"/>
          <w:color w:val="auto"/>
        </w:rPr>
      </w:pPr>
      <w:r>
        <w:rPr>
          <w:rFonts w:ascii="Arial" w:cs="Arial" w:eastAsia="Arial" w:hAnsi="Arial"/>
          <w:sz w:val="12"/>
          <w:szCs w:val="12"/>
          <w:b w:val="1"/>
          <w:bCs w:val="1"/>
          <w:u w:val="single" w:color="auto"/>
          <w:color w:val="auto"/>
        </w:rPr>
        <w:t>Allotment</w:t>
      </w:r>
    </w:p>
    <w:p>
      <w:pPr>
        <w:spacing w:after="0" w:line="22" w:lineRule="exact"/>
        <w:rPr>
          <w:sz w:val="20"/>
          <w:szCs w:val="20"/>
          <w:color w:val="auto"/>
        </w:rPr>
      </w:pPr>
    </w:p>
    <w:p>
      <w:pPr>
        <w:sectPr>
          <w:pgSz w:w="11900" w:h="16838" w:orient="portrait"/>
          <w:cols w:equalWidth="0" w:num="3">
            <w:col w:w="8440" w:space="720"/>
            <w:col w:w="920" w:space="720"/>
            <w:col w:w="6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1.75% of the gross proceeds payable to the underwriters for the structuring of the terms of the offering.</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$500,000,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 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18"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Maxim Group LLC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general conditions of the securities markets at the time of the offering;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8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right="20" w:hanging="325"/>
        <w:spacing w:after="0" w:line="294"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have agreed to reimburse the underwriters for up to $125,000 of the legal fees incurred by the underwriters in connection with the offering and $20,000 for the cost of the investigative search firm that conducted an investigation of our officers and directors.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Maxim Group LLC served as placement agent for the Bridge Financing, pursuant to which we issued 5% subordinated convertible promissory notes in the aggregate principal amount of $3.0 million and warrants to purchase an aggregate of 795,200 shares of common stock. The lead investors in the Bridge Financing also received additional warrants to purchase 482,346 shares of common stock. In this transaction, Maxim Group LLC received an aggregate of $208,740 in cash and warrants to purchase 55,664 shares of the Company’s common stock, exercisable at 110% of the conversion price of the Bridge Notes, or $4.12 per share assuming a $5.00 per unit public offering price.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Maxim Group LLC (or its permitted assignees) may not sell, transfer, assign, pledge, or hypothecate the warrants or the securities underlying the warrants for a period of 12 months from the effective date of the registration statement except to any successor, officer, manager or member of Maxim Group LLC (or to officers, managers or members of any such successor or member), or to any underwriter participating in the offering.</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 on the aggregate value of the securities issued or offered in Italy and their characteristics; and (iii) in compliance with any other applicable laws and regulations.</w:t>
      </w:r>
    </w:p>
    <w:p>
      <w:pPr>
        <w:spacing w:after="0" w:line="12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 be, and are not being, offered or advertised publicly or by public promotion. Therefore, this prospectus is strictly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6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 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 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277"/>
        </w:trPr>
        <w:tc>
          <w:tcPr>
            <w:tcW w:w="10940" w:type="dxa"/>
            <w:vAlign w:val="bottom"/>
            <w:gridSpan w:val="1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Consolidated Balance Sheets at December 31, 2009 and 2008</w:t>
              </w:r>
            </w:hyperlink>
          </w:p>
        </w:tc>
        <w:tc>
          <w:tcPr>
            <w:tcW w:w="66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5">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9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5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940" w:type="dxa"/>
            <w:vAlign w:val="bottom"/>
            <w:gridSpan w:val="13"/>
          </w:tcPr>
          <w:p>
            <w:pPr>
              <w:spacing w:after="0"/>
              <w:rPr>
                <w:rFonts w:ascii="Arial" w:cs="Arial" w:eastAsia="Arial" w:hAnsi="Arial"/>
                <w:sz w:val="18"/>
                <w:szCs w:val="18"/>
                <w:color w:val="0000EE"/>
                <w:w w:val="95"/>
              </w:rPr>
            </w:pPr>
            <w:hyperlink w:anchor="page107">
              <w:r>
                <w:rPr>
                  <w:rFonts w:ascii="Arial" w:cs="Arial" w:eastAsia="Arial" w:hAnsi="Arial"/>
                  <w:sz w:val="18"/>
                  <w:szCs w:val="18"/>
                  <w:color w:val="0000EE"/>
                  <w:w w:val="95"/>
                </w:rPr>
                <w:t>Consolidated Statements of Cash Flows For the Year Ended December 31, 2009 and 2008 and the period from inception to December 31, 2009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060" w:type="dxa"/>
            <w:vAlign w:val="bottom"/>
            <w:tcBorders>
              <w:top w:val="single" w:sz="8" w:color="0000EE"/>
            </w:tcBorders>
            <w:gridSpan w:val="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Notes to the Consolidated Financial Statements as of December 31, 2009</w:t>
              </w:r>
            </w:hyperlink>
          </w:p>
        </w:tc>
        <w:tc>
          <w:tcPr>
            <w:tcW w:w="88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Balance Sheets as of December 31, 2009 and March 31, 2010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Consolidated Statements of Operations For the Three Months Ended March 31, 2010 and 2009 and for the period from inception to March 31, 2010</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(unaudited)</w:t>
              </w:r>
            </w:hyperlink>
          </w:p>
        </w:tc>
        <w:tc>
          <w:tcPr>
            <w:tcW w:w="9400" w:type="dxa"/>
            <w:vAlign w:val="bottom"/>
            <w:tcBorders>
              <w:top w:val="single" w:sz="8" w:color="0000EE"/>
            </w:tcBorders>
            <w:gridSpan w:val="8"/>
          </w:tcPr>
          <w:p>
            <w:pPr>
              <w:spacing w:after="0"/>
              <w:rPr>
                <w:sz w:val="17"/>
                <w:szCs w:val="17"/>
                <w:color w:val="auto"/>
              </w:rPr>
            </w:pPr>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105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Consolidated Statements of Cash Flows For the Three Months Ended March 31, 2010 and 2009 and for the period from inception to March 31, 2010</w:t>
              </w:r>
            </w:hyperlink>
          </w:p>
        </w:tc>
        <w:tc>
          <w:tcPr>
            <w:tcW w:w="4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(unaudited)</w:t>
              </w:r>
            </w:hyperlink>
          </w:p>
        </w:tc>
        <w:tc>
          <w:tcPr>
            <w:tcW w:w="99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304"/>
        </w:trPr>
        <w:tc>
          <w:tcPr>
            <w:tcW w:w="57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35">
              <w:r>
                <w:rPr>
                  <w:rFonts w:ascii="Arial" w:cs="Arial" w:eastAsia="Arial" w:hAnsi="Arial"/>
                  <w:sz w:val="18"/>
                  <w:szCs w:val="18"/>
                  <w:color w:val="0000EE"/>
                  <w:w w:val="87"/>
                </w:rPr>
                <w:t>Notes to the Consolidated Financial Statements as of March 31, 2010 (unaudited)</w:t>
              </w:r>
            </w:hyperlink>
          </w:p>
        </w:tc>
        <w:tc>
          <w:tcPr>
            <w:tcW w:w="52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83"/>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8"/>
          </w:tcPr>
          <w:p>
            <w:pPr>
              <w:ind w:left="46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discussed in Note 2 to the consolidated financial statements, the Company has restated its consolidated financial statements as of December 31, 2009.</w:t>
      </w:r>
    </w:p>
    <w:p>
      <w:pPr>
        <w:spacing w:after="0" w:line="20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new accounting requirements in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(as restated)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46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U.S.$</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744</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2,602</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6,122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6,443</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Note</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U.S.$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876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Current maturities of 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89"/>
              </w:rPr>
              <w:t>2009 and 2008; 4,592,794 shares issued and outstanding as of December 31, 2009 and 2008 (liquidation preference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90"/>
              </w:rPr>
              <w:t>and redeemable at, the greater of fair value or $2.6385 per share, or $12.1 million, plus declared but unpaid dividends,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11,968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if any)</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160" w:type="dxa"/>
            <w:vAlign w:val="bottom"/>
            <w:gridSpan w:val="2"/>
            <w:vMerge w:val="continue"/>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Common stock, $0.01 par value per share, 28,000,000 and 14,000,000 authorized; 2,200,694 issued and outstanding as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Series A convertible preferred stock, $0.01 par value per share; 2,353,887 authorized; 2,353,887 issued and outstanding as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of December 31, 2009 and 2008 (liquidation preference of $1.00 per share, or $2.35 million, plus declared but unpaid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if any)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(20,125)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deficit in stockholders’ deficit**</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(16,378)</w:t>
            </w:r>
          </w:p>
        </w:tc>
        <w:tc>
          <w:tcPr>
            <w:tcW w:w="44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8"/>
              </w:rPr>
              <w:t>Includes payments of $46 and $—due to related parties, as of 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1,568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5,326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46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(19,349)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(6,076)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(6,149)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4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2,200,694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5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restated (see Note 2(n))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convertible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5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paid-in capital</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$33</w:t>
            </w:r>
          </w:p>
        </w:tc>
        <w:tc>
          <w:tcPr>
            <w:tcW w:w="4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2,321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dividend</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98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360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2009</w:t>
            </w:r>
            <w:r>
              <w:rPr>
                <w:rFonts w:ascii="Arial" w:cs="Arial" w:eastAsia="Arial" w:hAnsi="Arial"/>
                <w:sz w:val="18"/>
                <w:szCs w:val="18"/>
                <w:color w:val="auto"/>
              </w:rPr>
              <w:t>**</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3,701</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(20,125)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(16,378)</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Consideration for less than $1</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89"/>
              </w:rPr>
              <w:t>For the year ended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(as restated)</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U.S.$</w:t>
            </w:r>
          </w:p>
        </w:tc>
        <w:tc>
          <w:tcPr>
            <w:tcW w:w="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(6,149)</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(7,332)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Items not affecting cash flows:</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113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Share-based payment expenses**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188</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165</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Exchange rate (gains) losses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1,150</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3"/>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(4,850)</w:t>
            </w:r>
          </w:p>
        </w:tc>
        <w:tc>
          <w:tcPr>
            <w:tcW w:w="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(7,296)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(17,562)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(2,582)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Investment in long-term deposits</w:t>
            </w: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(2,615)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Repayment on account of Venture Loan</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(799)</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1,912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1,070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(5,260)</w:t>
            </w: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(2,449)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6,004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36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466</w:t>
            </w: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Valuation of venture loan**</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Allocation of fair value of loan warrants</w:t>
            </w:r>
          </w:p>
        </w:tc>
        <w:tc>
          <w:tcPr>
            <w:tcW w:w="168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 to temporary equity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880" w:hanging="332"/>
        <w:spacing w:after="0" w:line="25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restated (See Note 2(n))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This initial filing was required in order to release the remaining $2.58 million of funds from the Bridge Financing (see Note 10). At the time of the Financing itself,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480" w:hanging="244"/>
        <w:spacing w:after="0"/>
        <w:tabs>
          <w:tab w:leader="none" w:pos="4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275" w:lineRule="exact"/>
        <w:rPr>
          <w:rFonts w:ascii="Arial" w:cs="Arial" w:eastAsia="Arial" w:hAnsi="Arial"/>
          <w:sz w:val="18"/>
          <w:szCs w:val="18"/>
          <w:b w:val="1"/>
          <w:bCs w:val="1"/>
          <w:i w:val="1"/>
          <w:iCs w:val="1"/>
          <w:color w:val="auto"/>
        </w:rPr>
      </w:pPr>
    </w:p>
    <w:p>
      <w:pPr>
        <w:ind w:left="460" w:hanging="224"/>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Indexed to a Company’s Own Stock </w:t>
      </w:r>
      <w:r>
        <w:rPr>
          <w:rFonts w:ascii="Arial" w:cs="Arial" w:eastAsia="Arial" w:hAnsi="Arial"/>
          <w:sz w:val="16"/>
          <w:szCs w:val="16"/>
          <w:color w:val="auto"/>
        </w:rPr>
        <w:t>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(SFAS 161))</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Company’s only derivative instruments were issued in the form of the Special Bridge Warrant to purchase an aggregate of 4,771,200 shares of common stock (795,200 on a post-split basis (see Note 16(d))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and reevaluated at every reporting period using the share price, the exercise price of the option, the expected life of the option, risk-free interest rates and the expected volatility, at the reporting period date.</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expected volatility is based on an economic valuation incorporating the volatility of a similar company traded on the NASDAQ, and the industry volatility of hi-tech companies during the respective periods.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792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-7620</wp:posOffset>
            </wp:positionV>
            <wp:extent cx="6686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4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-7620</wp:posOffset>
            </wp:positionV>
            <wp:extent cx="6686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No. of shares</w:t>
      </w:r>
    </w:p>
    <w:p>
      <w:pPr>
        <w:spacing w:after="0" w:line="23" w:lineRule="exact"/>
        <w:rPr>
          <w:sz w:val="20"/>
          <w:szCs w:val="20"/>
          <w:color w:val="auto"/>
        </w:rPr>
      </w:pPr>
    </w:p>
    <w:p>
      <w:pPr>
        <w:sectPr>
          <w:pgSz w:w="11900" w:h="16838" w:orient="portrait"/>
          <w:cols w:equalWidth="0" w:num="2">
            <w:col w:w="8700" w:space="440"/>
            <w:col w:w="2240"/>
          </w:cols>
          <w:pgMar w:left="240" w:top="459" w:right="279" w:bottom="1440" w:gutter="0" w:footer="0" w:header="0"/>
          <w:type w:val="continuous"/>
        </w:sectPr>
      </w:pPr>
    </w:p>
    <w:tbl>
      <w:tblPr>
        <w:tblLayout w:type="fixed"/>
        <w:tblInd w:w="1380" w:type="dxa"/>
        <w:tblCellMar>
          <w:top w:w="0" w:type="dxa"/>
          <w:left w:w="0" w:type="dxa"/>
          <w:bottom w:w="0" w:type="dxa"/>
          <w:right w:w="0" w:type="dxa"/>
        </w:tblCellMar>
      </w:tblP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issued as a donation</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1"/>
              </w:rPr>
              <w:t>Common stock warrants issued to series B convertible preferred stockholders (Note 12)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1,201,471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1,201,471</w:t>
            </w: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B convertible preferred stock related warrants issued in connection with venture</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 (Note 9)</w:t>
            </w:r>
          </w:p>
        </w:tc>
        <w:tc>
          <w:tcPr>
            <w:tcW w:w="1060" w:type="dxa"/>
            <w:vAlign w:val="bottom"/>
            <w:vMerge w:val="continue"/>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Stock options to employees, directors and consultants under the Stock Option Plan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1,697,561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1,562,875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4,771,200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333,984</w:t>
            </w: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2,894,076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1,500,000</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12,518,292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3,035,038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Restatement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result of an error in the valuation of the Company’s common stock as of December 31, 2009, the Company has restated the balance of the Special Bridge Warrants, the Convertible Bridge Loan, the Venture Loan and Additional Paid in Capital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As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5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85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effect on the consolidated balance sheet as at December 31, 2009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Convertible Bridge Loan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1,871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Venture Loan (including current maturities)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(20,527)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r>
      <w:tr>
        <w:trPr>
          <w:trHeight w:val="20"/>
        </w:trPr>
        <w:tc>
          <w:tcPr>
            <w:tcW w:w="8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Company’s consolidated statement of operations for the year ended December 31, 2009 has been restated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For the year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Cumulative from inception to</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December 31, 2009</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0"/>
              </w:rPr>
              <w:t>December 31, 2008</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2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Effect of</w:t>
            </w:r>
          </w:p>
        </w:tc>
        <w:tc>
          <w:tcPr>
            <w:tcW w:w="300" w:type="dxa"/>
            <w:vAlign w:val="bottom"/>
          </w:tcPr>
          <w:p>
            <w:pPr>
              <w:spacing w:after="0"/>
              <w:rPr>
                <w:sz w:val="12"/>
                <w:szCs w:val="12"/>
                <w:color w:val="auto"/>
              </w:rPr>
            </w:pPr>
          </w:p>
        </w:tc>
        <w:tc>
          <w:tcPr>
            <w:tcW w:w="9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As</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00" w:type="dxa"/>
            <w:vAlign w:val="bottom"/>
          </w:tcPr>
          <w:p>
            <w:pPr>
              <w:spacing w:after="0"/>
              <w:rPr>
                <w:sz w:val="12"/>
                <w:szCs w:val="12"/>
                <w:color w:val="auto"/>
              </w:rPr>
            </w:pPr>
          </w:p>
        </w:tc>
        <w:tc>
          <w:tcPr>
            <w:tcW w:w="11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3"/>
              </w:rPr>
              <w:t>U.S.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0"/>
              </w:rPr>
              <w:t>restated</w:t>
            </w: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3"/>
              </w:rPr>
              <w:t>restatement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restated</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 thousands</w:t>
            </w:r>
          </w:p>
        </w:tc>
        <w:tc>
          <w:tcPr>
            <w:tcW w:w="1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The effect on the consolidated statement of operations as at</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2009</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(114)</w:t>
            </w:r>
          </w:p>
        </w:tc>
        <w:tc>
          <w:tcPr>
            <w:tcW w:w="1200" w:type="dxa"/>
            <w:vAlign w:val="bottom"/>
            <w:gridSpan w:val="4"/>
          </w:tcPr>
          <w:p>
            <w:pPr>
              <w:jc w:val="right"/>
              <w:ind w:right="440"/>
              <w:spacing w:after="0"/>
              <w:rPr>
                <w:sz w:val="20"/>
                <w:szCs w:val="20"/>
                <w:color w:val="auto"/>
              </w:rPr>
            </w:pPr>
            <w:r>
              <w:rPr>
                <w:rFonts w:ascii="Arial" w:cs="Arial" w:eastAsia="Arial" w:hAnsi="Arial"/>
                <w:sz w:val="18"/>
                <w:szCs w:val="18"/>
                <w:color w:val="auto"/>
              </w:rPr>
              <w:t>1,568</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4,544</w:t>
            </w: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12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(6,551)</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402</w:t>
            </w:r>
          </w:p>
        </w:tc>
        <w:tc>
          <w:tcPr>
            <w:tcW w:w="1200" w:type="dxa"/>
            <w:vAlign w:val="bottom"/>
            <w:gridSpan w:val="4"/>
          </w:tcPr>
          <w:p>
            <w:pPr>
              <w:jc w:val="right"/>
              <w:ind w:right="380"/>
              <w:spacing w:after="0"/>
              <w:rPr>
                <w:sz w:val="20"/>
                <w:szCs w:val="20"/>
                <w:color w:val="auto"/>
              </w:rPr>
            </w:pPr>
            <w:r>
              <w:rPr>
                <w:rFonts w:ascii="Arial" w:cs="Arial" w:eastAsia="Arial" w:hAnsi="Arial"/>
                <w:sz w:val="18"/>
                <w:szCs w:val="18"/>
                <w:color w:val="auto"/>
              </w:rPr>
              <w:t>(6,149)</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(20,527)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2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(2.79)</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3—Cash and Cash Equivalents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5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5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70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Cash</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86"/>
              </w:rPr>
              <w:t>F-13</w:t>
            </w: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4—Prepaid Expenses and Other Current Assets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82"/>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8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160" w:type="dxa"/>
            <w:vAlign w:val="bottom"/>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4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6"/>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Accounts payable</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25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6"/>
              </w:rPr>
              <w:t>196</w:t>
            </w:r>
          </w:p>
        </w:tc>
      </w:tr>
      <w:tr>
        <w:trPr>
          <w:trHeight w:val="20"/>
        </w:trPr>
        <w:tc>
          <w:tcPr>
            <w:tcW w:w="3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3100" w:type="dxa"/>
            <w:vAlign w:val="bottom"/>
          </w:tcPr>
          <w:p>
            <w:pPr>
              <w:spacing w:after="0"/>
              <w:rPr>
                <w:sz w:val="24"/>
                <w:szCs w:val="24"/>
                <w:color w:val="auto"/>
              </w:rPr>
            </w:pPr>
          </w:p>
        </w:tc>
        <w:tc>
          <w:tcPr>
            <w:tcW w:w="3480" w:type="dxa"/>
            <w:vAlign w:val="bottom"/>
            <w:gridSpan w:val="2"/>
          </w:tcPr>
          <w:p>
            <w:pPr>
              <w:jc w:val="right"/>
              <w:ind w:right="2002"/>
              <w:spacing w:after="0"/>
              <w:rPr>
                <w:sz w:val="20"/>
                <w:szCs w:val="20"/>
                <w:color w:val="auto"/>
              </w:rPr>
            </w:pPr>
            <w:r>
              <w:rPr>
                <w:rFonts w:ascii="Arial" w:cs="Arial" w:eastAsia="Arial" w:hAnsi="Arial"/>
                <w:sz w:val="18"/>
                <w:szCs w:val="18"/>
                <w:color w:val="auto"/>
              </w:rPr>
              <w:t>F-14</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 repayment period of the loan. Amortization expenses for the year ended December 31, 2009 amounted to $156 thousand (2008 – $26 thousand). As a result of the Loan Modification Agreement signed on December 29, 2009, the Company issued to the lenders new warrants replacing these warrants and certain other conditions of the loan were modified (see below).</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18%. The LMA replaced the original warrants that had been previously issued to the lenders with warrants (“Senior Lenders Warrants”) to purchase 1,500,000 shares of common stock (or 250,000 on a post reverse split basis—see Note 16(d)),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monthly using a straight-line calculation. The Senior Lender Warrants may be exercised anytime before the tenth anniversary of the date they are issued. On the date of the loan modification,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 As restated (see Note 2(n))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 (as restated (see Note 2(n))):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380" w:type="dxa"/>
            <w:vAlign w:val="bottom"/>
            <w:gridSpan w:val="2"/>
          </w:tcPr>
          <w:p>
            <w:pPr>
              <w:jc w:val="center"/>
              <w:ind w:left="1356"/>
              <w:spacing w:after="0" w:line="149" w:lineRule="exact"/>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(as restated)</w:t>
            </w:r>
          </w:p>
        </w:tc>
        <w:tc>
          <w:tcPr>
            <w:tcW w:w="162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4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Discount in respect of warrants</w:t>
            </w:r>
          </w:p>
        </w:tc>
        <w:tc>
          <w:tcPr>
            <w:tcW w:w="14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(360)</w:t>
            </w:r>
          </w:p>
        </w:tc>
        <w:tc>
          <w:tcPr>
            <w:tcW w:w="1740" w:type="dxa"/>
            <w:vAlign w:val="bottom"/>
            <w:gridSpan w:val="5"/>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Amortization of original loan warrants</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4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(799)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Discount in respect of warrants</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3"/>
          </w:tcPr>
          <w:p>
            <w:pPr>
              <w:ind w:left="920"/>
              <w:spacing w:after="0"/>
              <w:rPr>
                <w:sz w:val="20"/>
                <w:szCs w:val="20"/>
                <w:color w:val="auto"/>
              </w:rPr>
            </w:pPr>
            <w:r>
              <w:rPr>
                <w:rFonts w:ascii="Arial" w:cs="Arial" w:eastAsia="Arial" w:hAnsi="Arial"/>
                <w:sz w:val="18"/>
                <w:szCs w:val="18"/>
                <w:color w:val="auto"/>
              </w:rPr>
              <w:t>Loan balance</w:t>
            </w: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40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(557)</w:t>
            </w:r>
          </w:p>
        </w:tc>
        <w:tc>
          <w:tcPr>
            <w:tcW w:w="1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2"/>
        </w:trPr>
        <w:tc>
          <w:tcPr>
            <w:tcW w:w="5080" w:type="dxa"/>
            <w:vAlign w:val="bottom"/>
            <w:gridSpan w:val="3"/>
          </w:tcPr>
          <w:p>
            <w:pPr>
              <w:ind w:left="920"/>
              <w:spacing w:after="0"/>
              <w:rPr>
                <w:sz w:val="20"/>
                <w:szCs w:val="20"/>
                <w:color w:val="auto"/>
              </w:rPr>
            </w:pPr>
            <w:r>
              <w:rPr>
                <w:rFonts w:ascii="Arial" w:cs="Arial" w:eastAsia="Arial" w:hAnsi="Arial"/>
                <w:sz w:val="18"/>
                <w:szCs w:val="18"/>
                <w:color w:val="auto"/>
              </w:rPr>
              <w:t>Long-term loan balance</w:t>
            </w:r>
          </w:p>
        </w:tc>
        <w:tc>
          <w:tcPr>
            <w:tcW w:w="14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3,166</w:t>
            </w:r>
          </w:p>
        </w:tc>
        <w:tc>
          <w:tcPr>
            <w:tcW w:w="40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repayment schedule is as follows:</w:t>
            </w:r>
          </w:p>
        </w:tc>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U.S.$ thousands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2010</w:t>
            </w: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2012</w:t>
            </w: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3,703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$3.75 and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and (ii) 70% of the offering price for the securities sold in the subsequent financing.</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 (as restated (See Note 2(n)):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Bridge loan</w:t>
            </w:r>
          </w:p>
        </w:tc>
        <w:tc>
          <w:tcPr>
            <w:tcW w:w="1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98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29"/>
        </w:trPr>
        <w:tc>
          <w:tcPr>
            <w:tcW w:w="57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10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9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10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9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 This liability will need to be revalued at each reporting date.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$0.69 per share. As a result of the issuance of these warrants the Company recognized further general and administrative expenses of $60 thousand (as restated (see Note 2(n))), corresponding to the fair market value of the Underwriter Bridge Warrants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other</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40" w:type="dxa"/>
            <w:vAlign w:val="bottom"/>
          </w:tcPr>
          <w:p>
            <w:pPr>
              <w:spacing w:after="0"/>
              <w:rPr>
                <w:sz w:val="12"/>
                <w:szCs w:val="12"/>
                <w:color w:val="auto"/>
              </w:rPr>
            </w:pPr>
          </w:p>
        </w:tc>
        <w:tc>
          <w:tcPr>
            <w:tcW w:w="160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40" w:type="dxa"/>
            <w:vAlign w:val="bottom"/>
          </w:tcPr>
          <w:p>
            <w:pPr>
              <w:spacing w:after="0"/>
              <w:rPr>
                <w:sz w:val="12"/>
                <w:szCs w:val="12"/>
                <w:color w:val="auto"/>
              </w:rPr>
            </w:pPr>
          </w:p>
        </w:tc>
        <w:tc>
          <w:tcPr>
            <w:tcW w:w="160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assets (Level 1)</w:t>
            </w:r>
          </w:p>
        </w:tc>
        <w:tc>
          <w:tcPr>
            <w:tcW w:w="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940" w:type="dxa"/>
            <w:vAlign w:val="bottom"/>
            <w:gridSpan w:val="3"/>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5"/>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tcPr>
          <w:p>
            <w:pPr>
              <w:spacing w:after="0"/>
              <w:rPr>
                <w:sz w:val="18"/>
                <w:szCs w:val="18"/>
                <w:color w:val="auto"/>
              </w:rPr>
            </w:pPr>
          </w:p>
        </w:tc>
        <w:tc>
          <w:tcPr>
            <w:tcW w:w="1420" w:type="dxa"/>
            <w:vAlign w:val="bottom"/>
            <w:gridSpan w:val="5"/>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w w:val="87"/>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6"/>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60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7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74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inputs (Level</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900" w:type="dxa"/>
            <w:vAlign w:val="bottom"/>
            <w:gridSpan w:val="3"/>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9"/>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7"/>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Quoted prices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inputs (Level</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60" w:type="dxa"/>
            <w:vAlign w:val="bottom"/>
            <w:gridSpan w:val="5"/>
          </w:tcPr>
          <w:p>
            <w:pPr>
              <w:jc w:val="center"/>
              <w:ind w:left="229"/>
              <w:spacing w:after="0" w:line="149" w:lineRule="exact"/>
              <w:rPr>
                <w:sz w:val="20"/>
                <w:szCs w:val="20"/>
                <w:color w:val="auto"/>
              </w:rPr>
            </w:pPr>
            <w:r>
              <w:rPr>
                <w:rFonts w:ascii="Arial" w:cs="Arial" w:eastAsia="Arial" w:hAnsi="Arial"/>
                <w:sz w:val="14"/>
                <w:szCs w:val="14"/>
                <w:b w:val="1"/>
                <w:bCs w:val="1"/>
                <w:color w:val="auto"/>
                <w:w w:val="96"/>
              </w:rPr>
              <w:t>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20% which represents market conditions for a similar loan.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060" w:type="dxa"/>
            <w:vAlign w:val="bottom"/>
          </w:tcPr>
          <w:p>
            <w:pPr>
              <w:spacing w:after="0"/>
              <w:rPr>
                <w:sz w:val="12"/>
                <w:szCs w:val="12"/>
                <w:color w:val="auto"/>
              </w:rPr>
            </w:pPr>
          </w:p>
        </w:tc>
        <w:tc>
          <w:tcPr>
            <w:tcW w:w="94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6"/>
              </w:rPr>
              <w:t>(as restated)</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6"/>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center"/>
              <w:ind w:left="466"/>
              <w:spacing w:after="0"/>
              <w:rPr>
                <w:sz w:val="20"/>
                <w:szCs w:val="20"/>
                <w:color w:val="auto"/>
              </w:rPr>
            </w:pPr>
            <w:r>
              <w:rPr>
                <w:rFonts w:ascii="Arial" w:cs="Arial" w:eastAsia="Arial" w:hAnsi="Arial"/>
                <w:sz w:val="18"/>
                <w:szCs w:val="18"/>
                <w:b w:val="1"/>
                <w:bCs w:val="1"/>
                <w:color w:val="auto"/>
                <w:w w:val="88"/>
              </w:rPr>
              <w:t>1,070</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b w:val="1"/>
                <w:bCs w:val="1"/>
                <w:color w:val="auto"/>
                <w:w w:val="88"/>
              </w:rPr>
              <w:t>1,070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5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5"/>
              </w:rPr>
              <w:t>December 31, 2009</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4"/>
              </w:rPr>
              <w:t>(as restated)</w:t>
            </w: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616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7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6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Fair Value</w:t>
            </w:r>
          </w:p>
        </w:tc>
      </w:tr>
      <w:tr>
        <w:trPr>
          <w:trHeight w:val="142"/>
        </w:trPr>
        <w:tc>
          <w:tcPr>
            <w:tcW w:w="6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U.S.$ thousands</w:t>
            </w: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 which, under the abovementioned accounting treatment (see Note 10) was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 interest at a rate of 8% per annum and are payable monthly commencing on the date of the convertible loan agreement and ending when all amounts due thereunder are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$188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$342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3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3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No. of shares</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3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1,348,375</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364,624</w:t>
            </w: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(286,938)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19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1,426,061</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19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849,649</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780" w:type="dxa"/>
            <w:vAlign w:val="bottom"/>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3540" w:type="dxa"/>
            <w:vAlign w:val="bottom"/>
            <w:gridSpan w:val="3"/>
          </w:tcPr>
          <w:p>
            <w:pPr>
              <w:jc w:val="right"/>
              <w:ind w:right="2120"/>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weighted average grant date fair value of options granted during 2009 and 2008, was $0.30 and $0.38, respectively. There was no aggregate intrinsic value of options granted during 2009 and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stock options that vested during 2009 and 2008 amount to $188 thousand (as restated) and $29 thousand, respectively, and was recorded as stock-based compensation expense.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 price</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 of shares</w:t>
            </w: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US$</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60,000</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$202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49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4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2010</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2012</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28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2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4940" w:type="dxa"/>
            <w:vAlign w:val="bottom"/>
            <w:gridSpan w:val="2"/>
          </w:tcPr>
          <w:p>
            <w:pPr>
              <w:jc w:val="right"/>
              <w:ind w:right="3632"/>
              <w:spacing w:after="0"/>
              <w:rPr>
                <w:sz w:val="20"/>
                <w:szCs w:val="20"/>
                <w:color w:val="auto"/>
              </w:rPr>
            </w:pPr>
            <w:r>
              <w:rPr>
                <w:rFonts w:ascii="Arial" w:cs="Arial" w:eastAsia="Arial" w:hAnsi="Arial"/>
                <w:sz w:val="18"/>
                <w:szCs w:val="18"/>
                <w:color w:val="auto"/>
              </w:rPr>
              <w:t>F-23</w:t>
            </w: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 upon an IPO, to purchase 120,000 shares of common stock in the Company at a purchase price of $0.25 per share. The warrant expires in October 2016.</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(6,230)</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(20,873)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(6,076)</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F-25</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6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vMerge w:val="restart"/>
          </w:tcPr>
          <w:p>
            <w:pPr>
              <w:jc w:val="center"/>
              <w:ind w:right="120"/>
              <w:spacing w:after="0" w:line="123"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(2,066)</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1,873</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(27)</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4"/>
              </w:rPr>
              <w:t>(as restated)</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6,617</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6,721</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(6,480)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the balance sheet dates, the Subsidiary believes that it is in compliance with the conditions of the Beneficiary Enterprise program.</w:t>
      </w:r>
    </w:p>
    <w:p>
      <w:pPr>
        <w:spacing w:after="0" w:line="84" w:lineRule="exact"/>
        <w:rPr>
          <w:sz w:val="20"/>
          <w:szCs w:val="20"/>
          <w:color w:val="auto"/>
        </w:rPr>
      </w:pPr>
    </w:p>
    <w:p>
      <w:pPr>
        <w:ind w:left="900" w:right="10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9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840" w:type="dxa"/>
            <w:vAlign w:val="bottom"/>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 leases are linked to the Israeli Consumer Price Index known at the date of the commencement of each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On a pre reverse split basis. See Note 16(d).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begin vesting at the time of the IPO and will vest yearly over three and four year periods, commencing after the first year. The total expected effect on the Company’s statement of operations from these options is expected to be approximately $4.4 million over the vesting period of the options. The Board also approved the granting of 1,420,000 IPO options at an exercise price of $5.50 (on a post-split basis (see Note 16(d)) to its employees directors and consultants. These options will begin vesting at the time of the IPO and will vest quarterly over four years, commencing after the first year. The total expected effect on the Company’s statement of operations from these options is expected to be approximately $1.1 million over the vesting period of the options. A further 40,000 options (20,000 at $0.01 and 20,000 at $5.50) will be granted as a charitable donation.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4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w w:val="94"/>
              </w:rPr>
              <w:t>Property and equipment</w:t>
            </w:r>
            <w:r>
              <w:rPr>
                <w:rFonts w:ascii="Arial" w:cs="Arial" w:eastAsia="Arial" w:hAnsi="Arial"/>
                <w:sz w:val="18"/>
                <w:szCs w:val="18"/>
                <w:color w:val="auto"/>
                <w:w w:val="94"/>
              </w:rPr>
              <w:t>, at cost, net of $330 and $306 accumulated depreciation as of March 31, 2010 and December 31,</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178</w:t>
            </w:r>
          </w:p>
        </w:tc>
        <w:tc>
          <w:tcPr>
            <w:tcW w:w="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2009, respectively</w:t>
            </w:r>
          </w:p>
        </w:tc>
        <w:tc>
          <w:tcPr>
            <w:tcW w:w="600" w:type="dxa"/>
            <w:vAlign w:val="bottom"/>
            <w:tcBorders>
              <w:bottom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Note</w:t>
            </w:r>
          </w:p>
        </w:tc>
        <w:tc>
          <w:tcPr>
            <w:tcW w:w="116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85"/>
              </w:rPr>
              <w:t>U.S.$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516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809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1,102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5,143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2,849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3,189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authorized; 4,592,794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7"/>
              </w:rPr>
              <w:t>shares issued and outstanding as of March 31, 2010 and December 31, 2009 (liquidation preference of, and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redeemable at, the greater of fair value or $2.6385 per share, or $12.1 million, plus declared but unpaid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11,970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dividends, if any)</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16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1"/>
              </w:rPr>
              <w:t>Common stock, $0.01 par value per share, 28,000,000 authorized; 2,200,694 issued and outstanding as of March 31,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2010 and December 31, 2009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Series A convertible preferred stock, $0.01 par value per share; 2,353,887 authorized; 2,353,887 issued and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outstanding as of March 31, 2010 and December 31, 2009 (liquidation preference of $1.00 per share, or $2.35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million, plus declared but unpaid dividends, if any)</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3,765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b w:val="1"/>
                <w:bCs w:val="1"/>
                <w:color w:val="auto"/>
                <w:w w:val="95"/>
              </w:rPr>
              <w:t>(22,122)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w w:val="74"/>
              </w:rPr>
              <w:t>)</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(18,311</w:t>
            </w:r>
          </w:p>
        </w:tc>
        <w:tc>
          <w:tcPr>
            <w:tcW w:w="56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1,991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recorded as of March 31, 2010 and December 31, 2009 include $38 and $46 to a related party,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20" w:type="dxa"/>
            <w:vAlign w:val="bottom"/>
          </w:tcPr>
          <w:p>
            <w:pPr>
              <w:spacing w:after="0"/>
              <w:rPr>
                <w:sz w:val="7"/>
                <w:szCs w:val="7"/>
                <w:color w:val="auto"/>
              </w:rPr>
            </w:pPr>
          </w:p>
        </w:tc>
        <w:tc>
          <w:tcPr>
            <w:tcW w:w="238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20" w:type="dxa"/>
            <w:vAlign w:val="bottom"/>
          </w:tcPr>
          <w:p>
            <w:pPr>
              <w:spacing w:after="0"/>
              <w:rPr>
                <w:sz w:val="5"/>
                <w:szCs w:val="5"/>
                <w:color w:val="auto"/>
              </w:rPr>
            </w:pPr>
          </w:p>
        </w:tc>
        <w:tc>
          <w:tcPr>
            <w:tcW w:w="238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basic and dilutive net loss per common share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2,200,694</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2,200,694</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 w:hanging="212"/>
        <w:spacing w:after="0" w:line="268" w:lineRule="auto"/>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recorded for the three months ending March 31, 2010 and 2009 and the cumulative period from inception include $77, $30 and $623, respectively,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40" w:type="dxa"/>
            <w:vAlign w:val="bottom"/>
            <w:gridSpan w:val="3"/>
            <w:vMerge w:val="restart"/>
          </w:tcPr>
          <w:p>
            <w:pPr>
              <w:jc w:val="right"/>
              <w:ind w:right="134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4"/>
                <w:szCs w:val="14"/>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(1,538)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Fair value adjustment of 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Pr>
          <w:p>
            <w:pPr>
              <w:spacing w:after="0"/>
              <w:rPr>
                <w:sz w:val="18"/>
                <w:szCs w:val="18"/>
                <w:color w:val="auto"/>
              </w:rPr>
            </w:pP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(1,723)</w:t>
            </w:r>
          </w:p>
        </w:tc>
        <w:tc>
          <w:tcPr>
            <w:tcW w:w="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(1,466)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(19,285)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Release of short-term deposits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2,582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2,559</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Receipt of convertible loans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stock issuance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4,510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significant losses since its inception and expects that it will continue to operate at a net loss over the coming years. The Company is initiating activities to raise capital for ensuring future operations including an Initial Public Offering (IPO) of its common stock, although there are still significant doubts as to the ability of the Company to continue operating as a “going concern”. The Company believes that it will have sufficient cash to meet its planned operating needs until the end of June 2010. These financial statements do not include any adjustments to the value of assets and liabilities and their classification, which may be required if the Company cannot continue operating as a “going concern”.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approximately $542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evaluated subsequent events for recognition or disclosure through May 18, 2010 which is the date these financial statements are to be filed with the SEC.</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in accordance with Rule 8-03 of Regulation S-X of the SEC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months ended March 31, 2010 are not necessarily indicative of the results that may be expected for the entire fiscal year or for any other interim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March 31, 2010, the exchange rate was U.S.$1 = NIS 3.713 (December 31, 2009 – U.S.$1 = NIS 3.775). The average exchange rate for the three months ended March 31, 2010 was U.S.$1 = NIS 3.734 (Three months ended March 31, 2009—U.S.$1 = NIS 4.058).</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Net loss per share data</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and Series B convertible preferred stock and the exercise of warrants and stock options, are not reflected in diluted net loss per share because such shares are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3—Bridge Financing Agreement—Convertible Promissory Notes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December 29, 2009, the Company issued 5% subordinated convertible promissory notes, (“Notes” or “Convertible Bridge Loan”), in the aggregate amount of $2.98 million in a private placement (the “Bridge Financing”). The Notes will mature six months from the date of the closing of the Bridge Financing, unless converted earlier upon the consummation of an IPO. The $2.98 million of proceeds from the Bridge Financing were first allocated to the Special Bridge Warrants which were classified as a derivative liability and recorded at fair value and the residual amount was allocated to the Notes, all in accordance with the guidance in ASC 815 (formerly Statement 133) and ASC 815-40 (formerly EITF Issue No. 07-5).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during the quarter of the instruments allocated in the December 2009 Bridge Financing: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Bridge loan</w:t>
            </w: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Warrants</w:t>
            </w:r>
          </w:p>
        </w:tc>
        <w:tc>
          <w:tcPr>
            <w:tcW w:w="86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6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expenses</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Value at 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measures fair value in accordance with ASC 820-10, “Fair Value Measurements and Disclosures”.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its cash equivalents and Special Bridge Warrants at Fair Value. Cash equivalents are classified within Level 1, because they are valued using quoted active market prices. The Special Bridge Warrant is classified within Level 3 because it is valued using the Black-Scholes-Merton model which utilizes significant inputs that are unobservable in the market such as the price of stock, expected stock price volatility and the dividend yield, and remaining period of time the warrants will be outstanding before they expire.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2010 and December 31, 2009,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gridSpan w:val="7"/>
          </w:tcPr>
          <w:p>
            <w:pPr>
              <w:ind w:left="7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40" w:type="dxa"/>
            <w:vAlign w:val="bottom"/>
          </w:tcPr>
          <w:p>
            <w:pPr>
              <w:spacing w:after="0"/>
              <w:rPr>
                <w:sz w:val="12"/>
                <w:szCs w:val="12"/>
                <w:color w:val="auto"/>
              </w:rPr>
            </w:pPr>
          </w:p>
        </w:tc>
        <w:tc>
          <w:tcPr>
            <w:tcW w:w="15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9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1,102</w:t>
            </w: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79"/>
              </w:rPr>
              <w:t>1,102</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2"/>
              </w:rPr>
              <w:t>assets (Level 1)</w:t>
            </w: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8"/>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above, the Company’s financial instruments at March 31, 2010 and December 31, 2009, consisted of cash, accounts receivable, long term deposits, accrued expenses, accrued compensation, related liabilities, Venture Loan and the Convertible Bridge Loan. The carrying amounts of all the aforementioned financial instruments, approximate fair value, except as with the Venture Loan and Convertible Bridge Loan (see below).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warrants</w:t>
            </w:r>
          </w:p>
        </w:tc>
        <w:tc>
          <w:tcPr>
            <w:tcW w:w="86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discounted cash flow model. Carrying amounts and the related estimated fair value of the Bridge Loan and Venture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March 31, 2010</w:t>
            </w:r>
          </w:p>
        </w:tc>
        <w:tc>
          <w:tcPr>
            <w:tcW w:w="62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63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thousands</w:t>
            </w: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tcPr>
          <w:p>
            <w:pPr>
              <w:spacing w:after="0"/>
              <w:rPr>
                <w:sz w:val="18"/>
                <w:szCs w:val="18"/>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8"/>
                <w:szCs w:val="18"/>
                <w:color w:val="auto"/>
              </w:rPr>
              <w:t>Venture loan</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3,691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29, 2009, the Company entered into a Loan Modification Agreement with the lenders of the Venture Loan. The new facility bears an interest rate of 9.5% per annum, with an effective rate of 20%. Following a six month moratorium on principal payments, the Company will repay the loan monthly using a straight line calculation until March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6—Temporary Equity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March 31, 2010 and December 31, 2009, the portion of the unamortized balance of the discount to the Convertible Preferred Stock relating to warrants was $27 thousand and $32 thousand, respectively. The Company used the relative fair value method to calculate the value of the convertible preferred stock and the discount in respect of the warrants.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month period ending March 31, 2010, and the twelve month period ending December 31, 2009, amortization of discount of the warrant relating from the series B convertible stock issuance, amounted to $2 and $7,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stockholders’ deficit during the three-month period ending March 31,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(18,311)</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three months ended March 31, 2010, no stock options were awarded other than options to management (see below), 213,302 stock options were forfeited and no stock options were exercised.</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March 31, 2010, there was approximately $239 thousand of total unrecognized compensation cost related to non-vested share-based compensation arrangements granted under the incentive plans. That cost is expected to be recognized over a weighted-average period of 4 years.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8(e)). The Board approved the granting of a total of 1,392,000 options (on a post-split basis (see Note 8(d)) at an exercise price of $0.01. These options will vest yearly over three and four year periods (according to the applicable schedule of the optionee), with the first portion vesting on the first anniversary of the consummation of the IPO. The total expected effect on the Company’s statement of operations from these options is expected to be approximately $4.4 million over the vesting period of the options. The Board also approved the granting of 1,420,000 IPO options at an exercise price of $5.50 (on a post-split basis (see Note 8(d)) to its employees directors and consultants. These options will vest quarterly over four years, with the first portion vesting on the first anniversary of the consummation of the IPO. The total expected effect on the Company’s statement of operations from these options is approximately $1.1 million over the vesting period of the options. A further 40,000 options (20,000 at $0.01 and 20,000 at $5.50) will be granted as a charitable donation. No expenses have yet been recorded for these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March 31,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9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4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8"/>
              </w:rPr>
              <w:t>2010 (nine months ending December 31, 2010)</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4940" w:type="dxa"/>
            <w:vAlign w:val="bottom"/>
            <w:gridSpan w:val="2"/>
          </w:tcPr>
          <w:p>
            <w:pPr>
              <w:jc w:val="right"/>
              <w:ind w:right="4092"/>
              <w:spacing w:after="0"/>
              <w:rPr>
                <w:sz w:val="20"/>
                <w:szCs w:val="20"/>
                <w:color w:val="auto"/>
              </w:rPr>
            </w:pPr>
            <w:r>
              <w:rPr>
                <w:rFonts w:ascii="Arial" w:cs="Arial" w:eastAsia="Arial" w:hAnsi="Arial"/>
                <w:sz w:val="18"/>
                <w:szCs w:val="18"/>
                <w:color w:val="auto"/>
              </w:rPr>
              <w:t>F-40</w:t>
            </w:r>
          </w:p>
        </w:tc>
      </w:tr>
    </w:tbl>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Rental expense for operating leases for both office space and cars for the three months ended March 31, 2010 and 2009 was $26 thousand, and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thousand, respectively. Subsequent to the quarter-end, the Subsidiary extended its operating lease for its office space for a further two years until May 31,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total expected expense under this lease extension amounts to approximately $42 thousand per year.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further to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for shares of common stock at a respective ratio which is dependent on the Offering Price. In the event the IPO is not consummated, the preferred stock will not be converted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As part of the Bridge Financing Agreement, immediately prior to the consummation of the IPO and after the preferred share exchange, the Company will execute a reverse stock split of all shares of common stock in a range of between 1 for 6 and 1 for 6.4 (the “Reverse Split”) depending on the offering price. The Reverse Split will occur subsequent to the exchange of the preferred stock into common stock, as described in (c) above.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IPO, the Company will issue new stock options to its management (“Management Options”) equal to 20% of the fully diluted equity of the post-IPO Company (see Note 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right="2040" w:firstLine="2123"/>
        <w:spacing w:after="0" w:line="383" w:lineRule="auto"/>
        <w:rPr>
          <w:sz w:val="20"/>
          <w:szCs w:val="20"/>
          <w:color w:val="auto"/>
        </w:rPr>
      </w:pPr>
      <w:r>
        <w:rPr>
          <w:rFonts w:ascii="Arial" w:cs="Arial" w:eastAsia="Arial" w:hAnsi="Arial"/>
          <w:sz w:val="18"/>
          <w:szCs w:val="18"/>
          <w:b w:val="1"/>
          <w:bCs w:val="1"/>
          <w:color w:val="auto"/>
        </w:rPr>
        <w:t>Notes to the Consolidated Financial Statements as of March 31, 2010 (Unaudited)—(Continued) Note 9—Risks and Uncertainties</w:t>
      </w:r>
    </w:p>
    <w:p>
      <w:pPr>
        <w:spacing w:after="0" w:line="7" w:lineRule="exact"/>
        <w:rPr>
          <w:sz w:val="20"/>
          <w:szCs w:val="20"/>
          <w:color w:val="auto"/>
        </w:rPr>
      </w:pPr>
    </w:p>
    <w:p>
      <w:pPr>
        <w:ind w:left="900" w:hanging="446"/>
        <w:spacing w:after="0" w:line="259" w:lineRule="auto"/>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900" w:right="820" w:hanging="446"/>
        <w:spacing w:after="0" w:line="268" w:lineRule="auto"/>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900" w:right="420" w:hanging="446"/>
        <w:spacing w:after="0" w:line="268" w:lineRule="auto"/>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900" w:right="60" w:hanging="446"/>
        <w:spacing w:after="0" w:line="255" w:lineRule="auto"/>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The average value of the dollar during the first quarter of 2010 decreased 4.7% as compared to its value in 2009.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900" w:firstLine="219"/>
        <w:spacing w:after="0" w:line="255" w:lineRule="auto"/>
        <w:rPr>
          <w:sz w:val="20"/>
          <w:szCs w:val="20"/>
          <w:color w:val="auto"/>
        </w:rPr>
      </w:pPr>
      <w:r>
        <w:rPr>
          <w:rFonts w:ascii="Arial" w:cs="Arial" w:eastAsia="Arial" w:hAnsi="Arial"/>
          <w:sz w:val="18"/>
          <w:szCs w:val="18"/>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8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Prospectus Summary</w:t>
              </w:r>
            </w:hyperlink>
          </w:p>
        </w:tc>
        <w:tc>
          <w:tcPr>
            <w:tcW w:w="35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Summary Consolidated Financial Data</w:t>
              </w:r>
            </w:hyperlink>
          </w:p>
        </w:tc>
        <w:tc>
          <w:tcPr>
            <w:tcW w:w="2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The Offering</w:t>
              </w:r>
            </w:hyperlink>
          </w:p>
        </w:tc>
        <w:tc>
          <w:tcPr>
            <w:tcW w:w="40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410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Cautionary Note Regarding Forward-Looking Statements</w:t>
              </w:r>
            </w:hyperlink>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Use of Proceeds</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Dilution</w:t>
              </w:r>
            </w:hyperlink>
          </w:p>
        </w:tc>
        <w:tc>
          <w:tcPr>
            <w:tcW w:w="440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Dividend Policy</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Capitalization</w:t>
              </w:r>
            </w:hyperlink>
          </w:p>
        </w:tc>
        <w:tc>
          <w:tcPr>
            <w:tcW w:w="39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51">
              <w:r>
                <w:rPr>
                  <w:rFonts w:ascii="Arial" w:cs="Arial" w:eastAsia="Arial" w:hAnsi="Arial"/>
                  <w:sz w:val="18"/>
                  <w:szCs w:val="18"/>
                  <w:color w:val="0000EE"/>
                  <w:w w:val="82"/>
                </w:rPr>
                <w:t>Business</w:t>
              </w:r>
            </w:hyperlink>
          </w:p>
        </w:tc>
        <w:tc>
          <w:tcPr>
            <w:tcW w:w="43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Certain Relationships and Related Party Transactions</w:t>
              </w:r>
            </w:hyperlink>
          </w:p>
        </w:tc>
        <w:tc>
          <w:tcPr>
            <w:tcW w:w="12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Description of Securities</w:t>
              </w:r>
            </w:hyperlink>
          </w:p>
        </w:tc>
        <w:tc>
          <w:tcPr>
            <w:tcW w:w="32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Underwriting</w:t>
              </w:r>
            </w:hyperlink>
          </w:p>
        </w:tc>
        <w:tc>
          <w:tcPr>
            <w:tcW w:w="404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Legal Matters</w:t>
              </w:r>
            </w:hyperlink>
          </w:p>
        </w:tc>
        <w:tc>
          <w:tcPr>
            <w:tcW w:w="40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Where You Can Find Additional Information</w:t>
              </w:r>
            </w:hyperlink>
          </w:p>
        </w:tc>
        <w:tc>
          <w:tcPr>
            <w:tcW w:w="18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77"/>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Arial" w:cs="Arial" w:eastAsia="Arial" w:hAnsi="Arial"/>
          <w:sz w:val="32"/>
          <w:szCs w:val="32"/>
          <w:b w:val="1"/>
          <w:bCs w:val="1"/>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-447040</wp:posOffset>
            </wp:positionV>
            <wp:extent cx="348170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-395605</wp:posOffset>
            </wp:positionV>
            <wp:extent cx="34817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564515</wp:posOffset>
            </wp:positionV>
            <wp:extent cx="737235" cy="283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1034415</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254635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19" w:firstLine="54"/>
        <w:spacing w:after="0" w:line="424" w:lineRule="auto"/>
        <w:rPr>
          <w:sz w:val="20"/>
          <w:szCs w:val="20"/>
          <w:color w:val="auto"/>
        </w:rPr>
      </w:pPr>
      <w:r>
        <w:rPr>
          <w:rFonts w:ascii="Arial" w:cs="Arial" w:eastAsia="Arial" w:hAnsi="Arial"/>
          <w:sz w:val="19"/>
          <w:szCs w:val="19"/>
          <w:b w:val="1"/>
          <w:bCs w:val="1"/>
          <w:color w:val="auto"/>
        </w:rPr>
        <w:t>Chardan Capital Markets, LLC Ladenburg Thalmann &amp; Co.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598170</wp:posOffset>
            </wp:positionV>
            <wp:extent cx="34817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632460</wp:posOffset>
            </wp:positionV>
            <wp:extent cx="348170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p>
      <w:pPr>
        <w:sectPr>
          <w:pgSz w:w="11900" w:h="16838" w:orient="portrait"/>
          <w:cols w:equalWidth="0" w:num="2">
            <w:col w:w="6300" w:space="720"/>
            <w:col w:w="319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DE1A1E"/>
        </w:rPr>
        <w:t>SUBJECT TO COMPLETION, DATED MAY 18,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3,180,800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prospectus relates to the offer for sale of 3,180,800 shares of common stock, par value $0.01 per share, by the existing holders of the securities named in this prospectus, referred to as selling stockholders throughout this prospectus.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distribution of securities offered hereby may be effected in one or more transactions that may take place in the NYSE Amex,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 No sales of the shares covered by this prospectus shall occur until the shares of common stock included in the units sold in our initial public offering begin separate trading on the NYSE Amex.</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On , 2010, a registration statement under the Securities Act with respect to our initial public offering underwritten by Maxim Group LLC, as the representative of the underwriters, of $12,000,000 of units was declared effective by the Securities and Exchange Commission. We received approximately $10.2 million in net proceeds from the offering (assuming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22" w:lineRule="exact"/>
        <w:rPr>
          <w:sz w:val="20"/>
          <w:szCs w:val="20"/>
          <w:color w:val="auto"/>
        </w:rPr>
      </w:pPr>
    </w:p>
    <w:p>
      <w:pPr>
        <w:ind w:right="70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SS-1</w:t>
      </w:r>
    </w:p>
    <w:p>
      <w:pPr>
        <w:sectPr>
          <w:pgSz w:w="11900" w:h="16838" w:orient="portrait"/>
          <w:cols w:equalWidth="0" w:num="1">
            <w:col w:w="11340"/>
          </w:cols>
          <w:pgMar w:left="240" w:top="460"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REGISTERED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As part of this prospectus, we are registering the following shares for resale:</w:t>
      </w:r>
    </w:p>
    <w:p>
      <w:pPr>
        <w:spacing w:after="0" w:line="51" w:lineRule="exact"/>
        <w:rPr>
          <w:sz w:val="20"/>
          <w:szCs w:val="20"/>
          <w:color w:val="auto"/>
        </w:rPr>
      </w:pPr>
    </w:p>
    <w:p>
      <w:pPr>
        <w:ind w:left="900" w:right="28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795,200 shares of common stock issuable upon the automatic conversion of the Bridge Notes upon the closing of the initial public offering, or the Conversion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1,590,400 shares of common stock issuable upon exercise of warrants issuable upon conversion of the Bridge Notes, or the Conversion Warrants; and</w:t>
      </w:r>
    </w:p>
    <w:p>
      <w:pPr>
        <w:spacing w:after="0" w:line="124" w:lineRule="exact"/>
        <w:rPr>
          <w:rFonts w:ascii="Arial" w:cs="Arial" w:eastAsia="Arial" w:hAnsi="Arial"/>
          <w:sz w:val="15"/>
          <w:szCs w:val="15"/>
          <w:color w:val="auto"/>
        </w:rPr>
      </w:pPr>
    </w:p>
    <w:p>
      <w:pPr>
        <w:ind w:left="900" w:right="1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special warrants issued in the Bridge Financing to purchasers of the Bridge Notes, or the Special Bridge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consummation of our initial public offering, the Bridge Notes will automatically convert into one share of common stock and two warrants at a conversion price equal to the lesser of (i) $3.75 and (ii) 75% of the offering price of the units in our initial public offering. The Bridge Notes will mature six months from the date of the closing of the Bridge Financing, unless converted earlier upon the consummation of our initial public offering. The Bridge Notes bear an interest at the rate of 5% per annum. The interest on the Bridge Notes will accrue until maturity and all accrued but unpaid interest will be paid in cash upon maturity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Warrants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conversion of the Bridge Notes, the Company will issue one share of common stock and two Conversion Warrants. Each Conversion Warrant entitles the holder to purchase one share of our common stock at a price equal to 110% of the offering price of the units in our initial public offering. The Conversion Warrants will expire five years after the date of this prospectus.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Conversion Warrants are similar to the warrants issued in our initial public offering except that they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of their cash value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Bridge Warrants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Special Bridge Warrants are exercisable for five years to purchase one share of our common stock at an exercise price of $2.75 per share.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agreed with the investors in the Bridge Financing to register the resale of the Conversion Shares, Conversion Warrants and Special Bridge Warrants within thirty days of the closing of the Bridge Financing. We also agreed to use our best efforts to cause the registration statement to be declared effective as promptly as possible after filing and to keep the registration statement continuously effective until all such shares may be sold pursuant to Rule 144. In the event the shares are not covered by an effective registration statement, the holders of the Conversion Warrants and Special Bridge Warrants may exercise such warrants in accordance with the cashless exercise provisions set forth in such warrant. In the event we are unable to register all the shares of common stock in the registration statement in connection with our initial public offering, we agreed to file an additional registration statement to cover any such unregistered shares within six months of the consummation of our initial public offering. We agreed to pay all fees and expenses related to the filing of such registration statements.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SS-3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$10.9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SS-4</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3,180,800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Securities </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(i) David Goldfarb is one of our co-founders and our chief technology officer and was previously one of our officers and directors, (ii) Seth M. Siegel serves on our board of directors, and (iii) Iroquois Master Fund Ltd. is a 5% stockholder.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representative of the underwriters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Owned (1)</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244,291</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190,957</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176,848</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106,667</w:t>
            </w:r>
          </w:p>
        </w:tc>
        <w:tc>
          <w:tcPr>
            <w:tcW w:w="1060" w:type="dxa"/>
            <w:vAlign w:val="bottom"/>
          </w:tcPr>
          <w:p>
            <w:pPr>
              <w:jc w:val="right"/>
              <w:spacing w:after="0"/>
              <w:rPr>
                <w:sz w:val="20"/>
                <w:szCs w:val="20"/>
                <w:color w:val="auto"/>
              </w:rPr>
            </w:pPr>
            <w:r>
              <w:rPr>
                <w:rFonts w:ascii="Arial" w:cs="Arial" w:eastAsia="Arial" w:hAnsi="Arial"/>
                <w:sz w:val="18"/>
                <w:szCs w:val="18"/>
                <w:color w:val="auto"/>
              </w:rPr>
              <w:t>70,181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400,458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357,333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EL Equities, LLC (3)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72,500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 (4)</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147,708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36,250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9,583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29,135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45,833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21,803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73,836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20,503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 (5)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6"/>
              </w:rPr>
              <w:t>Number of Shares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0"/>
              </w:rPr>
              <w:t>Shares Being</w:t>
            </w: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Owned (1)</w:t>
            </w: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Offered</w:t>
            </w: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Jeffrey Belk</w:t>
            </w:r>
          </w:p>
        </w:tc>
        <w:tc>
          <w:tcPr>
            <w:tcW w:w="4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Charles A. Steiger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Derek G. Fogt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Todd Kronshage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Heller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Robert B. Hadpcastle ^</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D. Elliston</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George F. Gilder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39,467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39,467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Mountain Partners LP ^(6)</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Mitchell Kopin</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Schneider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Joseph L. Obrant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KB/V LLC (7)</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Kingsbrook Opportunities Master Fund LP (8)</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KLW Investments LLC (9)</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Brio Capital L.P. (10)</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International Ltd. (11)</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Rockmore Investment Master Fund Ltd. (12)</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Lilac Ventures Master Fund Ltd. (13)</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Cranshire Capital LP (14)</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Family Trust (15)</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Alpha Capital Anstalt (16)</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426,667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right="20" w:hanging="572"/>
        <w:spacing w:after="0" w:line="250"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before this offering is 5,031,213, which includes the 2,400,000 units issued in our initial public offering and 366,782 shares of common stock acquired by our existing preferred stock and Bridge Note holders at the closing of our initial offering (based upon an initial offering price of $5.00 per unit).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Joshua Silverman and Richard Abbe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Ari Storch, Adam Chill and Scott Wallace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Lee Lasher, Mitchell Weitzner, and Robert Koppel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Konrad Ackermann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SS-8</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SS-9</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Ellenoff Grossman &amp; Schole LLP, 150 East 42nd Street, New York, New York 10017, will pass upon the validity of the securities offered in this prospectus.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securities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 periodic reports under the Exchange Act, including annual, quarterly and current reports, and other information with the Securities and Exchange Commission. These periodic reports, and other information, are available for inspection and copying at the public reference room and website of the Securities and Exchange Commission referred to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2010, all dealers that effect transactions in these securities, whether or not participating in this offering, may be required to deliver a</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3,180,800 shares</w:t>
      </w: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460" w:right="5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if any, payable by us relating to the sale of the common stock being registered. All amounts are estimates except the SEC registration fee.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FINRA fee</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6,537.00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NYSE Amex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and warrant agent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Public relations and corporate communications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58,878.22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figures in this Item 15 are historical and do not give effect to the anticipated 1-for-6 reverse stock split.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Issuances of Capital Stock and Warrants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11, 2006, we issued 250 shares of our common stock to each of Jonathan Medved, our chief executive officer and co-founder, and David Goldfarb, our chief technology officer and co-founder, for an aggregate amount of $5.00 in cash at a purchase price of $0.01 per share. The sale and issuance of these securities was deemed to be exempt from registration under the Securities Act in reliance on Section 4(2) of the Securities Act, as transactions by an issuer not involving a public offering. No underwriting discounts or commissions were paid with respect to such sales.</w:t>
      </w:r>
    </w:p>
    <w:p>
      <w:pPr>
        <w:spacing w:after="0" w:line="11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On May 8, 2006, the Company consummated a private placement of 588 shares of its Series A Convertible Preferred Stock for an aggregate purchase price of $2.35 million. No underwriting discounts or commissions were paid with respect to such sales. The Company issued 2,353,299 additional shares of Series A Convertible Preferred Stock as a stock dividend in August 2006, resulting in a total of 2,353,887 shares of Series A Convertible Preferred Stock outstanding.</w:t>
      </w:r>
    </w:p>
    <w:p>
      <w:pPr>
        <w:spacing w:after="0" w:line="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26, 2007, the Company entered into a convertible loan agreement pursuant to which it received loans in the aggregate amount of $2,063,974 from the lenders named therein.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30, 2007, the Company consummated a private placement of 4,592,794 shares of Series B Convertible Preferred Stock, 200,694 shares of common stock and warrants to purchase 1,201,471 shares of common stock for an aggregate purchase price of $12,118,214 (the “Series B Financing”), which amount included the conversions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The holders of the Series B Convertible Preferred Stock have agreed to convert all shares of the Series B Convertible Preferred Stock into an aggregate of 6,108,416 shares of common stock of the Company and to forgo certain rights contained in the Investor Rights Agreement in connection with and upon the consummation of this offering.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29, 2009, the Company consummated a private placement of its 5% subordinated convertible promissory notes in the aggregate amount of $2.98 million and warrants to purchase 4,771,200 shares of common stock for an aggregate purchase price of $3.0 million (the “Bridge Financing”). The lead investors in the Bridge Financing also received additional warrants to purchase 2,894,076 shares of common stock. The senior lenders of the Company’s venture loan received warrants to purchase 1,500,000 shares of common stock in exchange for granting the Company a six-month moratorium on its principal payments in connection with the Bridge Financing. Maxim Group LLC was the placement agent for the Bridge Financing and it received $208,740 and warrants to purchase 333,984 shares of common stock for their services. All of the purchasers in the private placement were accredited investors. The sale and issuance of these securities was deemed to be exempt from registration under the Securities Act in reliance on Section 4(2) of the Securities Act, as transactions by an issuer not involving a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Grants and Exercises of Stock Options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sale and issuance of the securities described below were deemed to be exempt from registration under the Securities Act in reliance on Section 4(2) of the Securities Act, as transactions by an issuer not involving a public offering.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our 2006 Stock Option Plan and certain stand-alone stock option agreements, we have issued options to purchase an aggregate of 2,691,000 shares of common stock. Of these options, as of March 31, 2010:</w:t>
      </w:r>
    </w:p>
    <w:p>
      <w:pPr>
        <w:spacing w:after="0" w:line="5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to purchase 737,265 shares of common stock have been canceled or lapsed without being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options to purchase shares of common stock have been exercised;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options to purchase a total of 1,484,359 shares of common stock are currently outstanding at a weighted average exercise price of $0.45 per share.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93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Statements.</w:t>
            </w:r>
          </w:p>
        </w:tc>
      </w:tr>
      <w:tr>
        <w:trPr>
          <w:trHeight w:val="340"/>
        </w:trPr>
        <w:tc>
          <w:tcPr>
            <w:tcW w:w="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5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3"/>
          </w:tcPr>
          <w:p>
            <w:pPr>
              <w:ind w:left="47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and Corporate Governance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54"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60" w:hanging="296"/>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7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increases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280" w:firstLine="421"/>
        <w:spacing w:after="0" w:line="268" w:lineRule="auto"/>
        <w:tabs>
          <w:tab w:leader="none" w:pos="1647"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31" w:lineRule="exact"/>
        <w:rPr>
          <w:rFonts w:ascii="Arial" w:cs="Arial" w:eastAsia="Arial" w:hAnsi="Arial"/>
          <w:sz w:val="18"/>
          <w:szCs w:val="18"/>
          <w:color w:val="auto"/>
        </w:rPr>
      </w:pPr>
    </w:p>
    <w:p>
      <w:pPr>
        <w:ind w:firstLine="464"/>
        <w:spacing w:after="0" w:line="290" w:lineRule="auto"/>
        <w:tabs>
          <w:tab w:leader="none" w:pos="734"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hanging="276"/>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80"/>
          </w:cols>
          <w:pgMar w:left="240" w:top="460" w:right="3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May 17,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Jonathan Medved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p>
      <w:pPr>
        <w:ind w:left="2360"/>
        <w:spacing w:after="0"/>
        <w:tabs>
          <w:tab w:leader="none" w:pos="69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60" w:right="239" w:bottom="1440" w:gutter="0" w:footer="0" w:header="0"/>
        </w:sectPr>
      </w:pPr>
    </w:p>
    <w:p>
      <w:pPr>
        <w:spacing w:after="0" w:line="222"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Jonathan Medved</w:t>
      </w:r>
    </w:p>
    <w:p>
      <w:pPr>
        <w:spacing w:after="0" w:line="276"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C</w:t>
      </w:r>
      <w:r>
        <w:rPr>
          <w:rFonts w:ascii="Arial" w:cs="Arial" w:eastAsia="Arial" w:hAnsi="Arial"/>
          <w:sz w:val="13"/>
          <w:szCs w:val="13"/>
          <w:color w:val="auto"/>
        </w:rPr>
        <w: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David Corre</w:t>
      </w: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ETH</w:t>
      </w:r>
      <w:r>
        <w:rPr>
          <w:rFonts w:ascii="Arial" w:cs="Arial" w:eastAsia="Arial" w:hAnsi="Arial"/>
          <w:sz w:val="16"/>
          <w:szCs w:val="16"/>
          <w:color w:val="auto"/>
        </w:rPr>
        <w:t xml:space="preserve"> M. S</w:t>
      </w:r>
      <w:r>
        <w:rPr>
          <w:rFonts w:ascii="Arial" w:cs="Arial" w:eastAsia="Arial" w:hAnsi="Arial"/>
          <w:sz w:val="13"/>
          <w:szCs w:val="13"/>
          <w:color w:val="auto"/>
        </w:rPr>
        <w:t>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Seth M. Siegel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ALPH</w:t>
      </w:r>
      <w:r>
        <w:rPr>
          <w:rFonts w:ascii="Arial" w:cs="Arial" w:eastAsia="Arial" w:hAnsi="Arial"/>
          <w:sz w:val="18"/>
          <w:szCs w:val="18"/>
          <w:color w:val="auto"/>
        </w:rPr>
        <w:t xml:space="preserve"> S</w:t>
      </w:r>
      <w:r>
        <w:rPr>
          <w:rFonts w:ascii="Arial" w:cs="Arial" w:eastAsia="Arial" w:hAnsi="Arial"/>
          <w:sz w:val="14"/>
          <w:szCs w:val="14"/>
          <w:color w:val="auto"/>
        </w:rPr>
        <w:t>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Ralph Simon</w:t>
      </w:r>
    </w:p>
    <w:p>
      <w:pPr>
        <w:spacing w:after="0" w:line="222"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Andrew Perlman</w:t>
      </w:r>
    </w:p>
    <w:p>
      <w:pPr>
        <w:spacing w:after="0" w:line="222"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DO</w:t>
      </w:r>
      <w:r>
        <w:rPr>
          <w:rFonts w:ascii="Arial" w:cs="Arial" w:eastAsia="Arial" w:hAnsi="Arial"/>
          <w:sz w:val="16"/>
          <w:szCs w:val="16"/>
          <w:color w:val="auto"/>
        </w:rPr>
        <w:t xml:space="preserve"> S</w:t>
      </w:r>
      <w:r>
        <w:rPr>
          <w:rFonts w:ascii="Arial" w:cs="Arial" w:eastAsia="Arial" w:hAnsi="Arial"/>
          <w:sz w:val="13"/>
          <w:szCs w:val="13"/>
          <w:color w:val="auto"/>
        </w:rPr>
        <w:t>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Edo Segal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w:t>
      </w:r>
      <w:r>
        <w:rPr>
          <w:rFonts w:ascii="Arial" w:cs="Arial" w:eastAsia="Arial" w:hAnsi="Arial"/>
          <w:sz w:val="16"/>
          <w:szCs w:val="16"/>
          <w:color w:val="auto"/>
        </w:rPr>
        <w:t xml:space="preserve"> S</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Philip Serlin</w:t>
      </w:r>
    </w:p>
    <w:p>
      <w:pPr>
        <w:spacing w:after="0" w:line="222"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G</w:t>
      </w:r>
      <w:r>
        <w:rPr>
          <w:rFonts w:ascii="Arial" w:cs="Arial" w:eastAsia="Arial" w:hAnsi="Arial"/>
          <w:sz w:val="13"/>
          <w:szCs w:val="13"/>
          <w:color w:val="auto"/>
        </w:rPr>
        <w:t>INSBERG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Gary Ginsberg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222"/>
        </w:trPr>
        <w:tc>
          <w:tcPr>
            <w:tcW w:w="4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460" w:type="dxa"/>
            <w:vAlign w:val="bottom"/>
          </w:tcPr>
          <w:p>
            <w:pPr>
              <w:spacing w:after="0"/>
              <w:rPr>
                <w:sz w:val="19"/>
                <w:szCs w:val="19"/>
                <w:color w:val="auto"/>
              </w:rPr>
            </w:pP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Vice President, Finance and Administration</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216"/>
        </w:trPr>
        <w:tc>
          <w:tcPr>
            <w:tcW w:w="416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w:t>
            </w:r>
          </w:p>
        </w:tc>
        <w:tc>
          <w:tcPr>
            <w:tcW w:w="1460" w:type="dxa"/>
            <w:vAlign w:val="bottom"/>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460" w:type="dxa"/>
            <w:vAlign w:val="bottom"/>
          </w:tcPr>
          <w:p>
            <w:pPr>
              <w:spacing w:after="0"/>
              <w:rPr>
                <w:sz w:val="19"/>
                <w:szCs w:val="19"/>
                <w:color w:val="auto"/>
              </w:rPr>
            </w:pPr>
          </w:p>
        </w:tc>
      </w:tr>
      <w:tr>
        <w:trPr>
          <w:trHeight w:val="446"/>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608"/>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608"/>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608"/>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608"/>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r>
        <w:trPr>
          <w:trHeight w:val="608"/>
        </w:trPr>
        <w:tc>
          <w:tcPr>
            <w:tcW w:w="4160" w:type="dxa"/>
            <w:vAlign w:val="bottom"/>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ind w:left="480"/>
              <w:spacing w:after="0"/>
              <w:rPr>
                <w:sz w:val="20"/>
                <w:szCs w:val="20"/>
                <w:color w:val="auto"/>
              </w:rPr>
            </w:pPr>
            <w:r>
              <w:rPr>
                <w:rFonts w:ascii="Arial" w:cs="Arial" w:eastAsia="Arial" w:hAnsi="Arial"/>
                <w:sz w:val="18"/>
                <w:szCs w:val="18"/>
                <w:color w:val="auto"/>
                <w:w w:val="87"/>
              </w:rPr>
              <w:t>May 17, 2010</w:t>
            </w:r>
          </w:p>
        </w:tc>
      </w:tr>
    </w:tbl>
    <w:p>
      <w:pPr>
        <w:sectPr>
          <w:pgSz w:w="11900" w:h="16838" w:orient="portrait"/>
          <w:cols w:equalWidth="0" w:num="2">
            <w:col w:w="4540" w:space="720"/>
            <w:col w:w="6160"/>
          </w:cols>
          <w:pgMar w:left="240" w:top="460" w:right="2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The agreements included as exhibits to this registration statement contain representations and warranties by each of the parties to the applicable agreement. These representations and warranties were made solely for the benefit of the parties to the applicable agreement and (i) were not intended to be treated as categorical statements of fact, but rather as a way of allocating the risk to one of the parties if those statements prove to be inaccurate;</w:t>
      </w:r>
    </w:p>
    <w:p>
      <w:pPr>
        <w:spacing w:after="0" w:line="1" w:lineRule="exact"/>
        <w:rPr>
          <w:sz w:val="20"/>
          <w:szCs w:val="20"/>
          <w:color w:val="auto"/>
        </w:rPr>
      </w:pPr>
    </w:p>
    <w:p>
      <w:pPr>
        <w:ind w:firstLine="8"/>
        <w:spacing w:after="0" w:line="287" w:lineRule="auto"/>
        <w:tabs>
          <w:tab w:leader="none" w:pos="258"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were qualified by disclosures that 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and are subject to more recent developments. Accordingly, these representations and warranties may not describe the actual state of affairs of the date they were made or at any other time. The registrant acknowledges that, notwithstanding the inclusion of the foregoing cautionary language, it is responsible for considering whether additional specific disclosure of material information regarding material contractual provisions are required to make the statements in this registration statement not misleading. Additional information about the registrant may be found elsewhere in this registration statement and in the registrant’s other public filings, which are available without charge through the SEC’s website at www.sec.gov.</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10.7^</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and Corporate Governance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54"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ectPr>
          <w:pgSz w:w="11900" w:h="16838" w:orient="portrait"/>
          <w:cols w:equalWidth="0" w:num="1">
            <w:col w:w="11340"/>
          </w:cols>
          <w:pgMar w:left="240" w:top="460"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Vringo, Inc. (the “Corporation”), a corporation organized and existing under and by virtue of the General Corporation Law of the State of Delaware (the “DGCL”), DOES HEREBY CERTIFY:</w:t>
      </w:r>
    </w:p>
    <w:p>
      <w:pPr>
        <w:spacing w:after="0" w:line="132" w:lineRule="exact"/>
        <w:rPr>
          <w:sz w:val="20"/>
          <w:szCs w:val="20"/>
          <w:color w:val="auto"/>
        </w:rPr>
      </w:pPr>
    </w:p>
    <w:p>
      <w:pPr>
        <w:ind w:left="640" w:hanging="17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name of the Corporation is Vringo, Inc.</w:t>
      </w:r>
    </w:p>
    <w:p>
      <w:pPr>
        <w:spacing w:after="0" w:line="171" w:lineRule="exact"/>
        <w:rPr>
          <w:rFonts w:ascii="Arial" w:cs="Arial" w:eastAsia="Arial" w:hAnsi="Arial"/>
          <w:sz w:val="18"/>
          <w:szCs w:val="18"/>
          <w:color w:val="auto"/>
        </w:rPr>
      </w:pPr>
    </w:p>
    <w:p>
      <w:pPr>
        <w:ind w:right="140" w:firstLine="464"/>
        <w:spacing w:after="0" w:line="335" w:lineRule="auto"/>
        <w:tabs>
          <w:tab w:leader="none" w:pos="632"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8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(hereinafter the “Corporation”) is Vringo, Inc.</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thirty three million (33,000,000) shares, twenty eight million (28,000,000) shares of which shall be Common Stock and five million (5,000,000) shares of which shall be Preferred Stock.</w:t>
      </w:r>
    </w:p>
    <w:p>
      <w:pPr>
        <w:spacing w:after="0" w:line="143" w:lineRule="exact"/>
        <w:rPr>
          <w:sz w:val="20"/>
          <w:szCs w:val="20"/>
          <w:color w:val="auto"/>
        </w:rPr>
      </w:pPr>
    </w:p>
    <w:p>
      <w:pPr>
        <w:ind w:right="40" w:firstLine="921"/>
        <w:spacing w:after="0" w:line="298" w:lineRule="auto"/>
        <w:tabs>
          <w:tab w:leader="none" w:pos="11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w:t>
      </w:r>
    </w:p>
    <w:p>
      <w:pPr>
        <w:sectPr>
          <w:pgSz w:w="11900" w:h="16838" w:orient="portrait"/>
          <w:cols w:equalWidth="0" w:num="1">
            <w:col w:w="11420"/>
          </w:cols>
          <w:pgMar w:left="240" w:top="125" w:right="239" w:bottom="1440" w:gutter="0" w:footer="0" w:header="0"/>
        </w:sectPr>
      </w:pPr>
    </w:p>
    <w:bookmarkStart w:id="164" w:name="page165"/>
    <w:bookmarkEnd w:id="16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40" w:lineRule="exact"/>
        <w:rPr>
          <w:sz w:val="20"/>
          <w:szCs w:val="20"/>
          <w:color w:val="auto"/>
        </w:rPr>
      </w:pPr>
    </w:p>
    <w:p>
      <w:pPr>
        <w:ind w:right="20" w:firstLine="921"/>
        <w:spacing w:after="0" w:line="286" w:lineRule="auto"/>
        <w:tabs>
          <w:tab w:leader="none" w:pos="11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40" w:lineRule="exact"/>
        <w:rPr>
          <w:sz w:val="20"/>
          <w:szCs w:val="20"/>
          <w:color w:val="auto"/>
        </w:rPr>
      </w:pPr>
    </w:p>
    <w:p>
      <w:pPr>
        <w:ind w:firstLine="921"/>
        <w:spacing w:after="0" w:line="306" w:lineRule="auto"/>
        <w:tabs>
          <w:tab w:leader="none" w:pos="11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No director (other than directors elected by one or more series of Preferred Stock) may be removed from office by the stockholders except for cause and, in addition to any other vote required by law, upon the affirmative vote of not less than 66 </w:t>
      </w:r>
      <w:r>
        <w:rPr>
          <w:rFonts w:ascii="Arial" w:cs="Arial" w:eastAsia="Arial" w:hAnsi="Arial"/>
          <w:sz w:val="10"/>
          <w:szCs w:val="10"/>
          <w:color w:val="auto"/>
        </w:rPr>
        <w:t>2</w:t>
      </w:r>
      <w:r>
        <w:rPr>
          <w:rFonts w:ascii="Arial" w:cs="Arial" w:eastAsia="Arial" w:hAnsi="Arial"/>
          <w:sz w:val="16"/>
          <w:szCs w:val="16"/>
          <w:color w:val="auto"/>
        </w:rPr>
        <w:t>/3% of the total voting power of all outstanding securities of the Corporation then entitled to vote generally in the election of directors, voting together as a single class.</w:t>
      </w:r>
    </w:p>
    <w:p>
      <w:pPr>
        <w:spacing w:after="0" w:line="106" w:lineRule="exact"/>
        <w:rPr>
          <w:rFonts w:ascii="Arial" w:cs="Arial" w:eastAsia="Arial" w:hAnsi="Arial"/>
          <w:sz w:val="16"/>
          <w:szCs w:val="16"/>
          <w:color w:val="auto"/>
        </w:rPr>
      </w:pPr>
    </w:p>
    <w:p>
      <w:pPr>
        <w:jc w:val="both"/>
        <w:ind w:right="40" w:firstLine="921"/>
        <w:spacing w:after="0" w:line="255"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w:t>
      </w:r>
    </w:p>
    <w:p>
      <w:pPr>
        <w:sectPr>
          <w:pgSz w:w="11900" w:h="16838" w:orient="portrait"/>
          <w:cols w:equalWidth="0" w:num="1">
            <w:col w:w="11420"/>
          </w:cols>
          <w:pgMar w:left="240" w:top="280" w:right="239" w:bottom="1440" w:gutter="0" w:footer="0" w:header="0"/>
        </w:sectPr>
      </w:pPr>
    </w:p>
    <w:bookmarkStart w:id="165" w:name="page166"/>
    <w:bookmarkEnd w:id="16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SIXTH: The Corporation is to have perpetual existence.</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32" w:lineRule="exact"/>
        <w:rPr>
          <w:sz w:val="20"/>
          <w:szCs w:val="20"/>
          <w:color w:val="auto"/>
        </w:rPr>
      </w:pPr>
    </w:p>
    <w:p>
      <w:pPr>
        <w:jc w:val="both"/>
        <w:ind w:right="180" w:firstLine="921"/>
        <w:spacing w:after="0" w:line="256"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all outstanding securities of the Corporation then entitled to vote generally in the election of directors, voting together as a single class.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171"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w:t>
      </w:r>
    </w:p>
    <w:p>
      <w:pPr>
        <w:sectPr>
          <w:pgSz w:w="11900" w:h="16838" w:orient="portrait"/>
          <w:cols w:equalWidth="0" w:num="1">
            <w:col w:w="11400"/>
          </w:cols>
          <w:pgMar w:left="240" w:top="280" w:right="259" w:bottom="1440" w:gutter="0" w:footer="0" w:header="0"/>
        </w:sectPr>
      </w:pPr>
    </w:p>
    <w:bookmarkStart w:id="166" w:name="page167"/>
    <w:bookmarkEnd w:id="166"/>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85"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40" w:lineRule="exact"/>
        <w:rPr>
          <w:sz w:val="20"/>
          <w:szCs w:val="20"/>
          <w:color w:val="auto"/>
        </w:rPr>
      </w:pPr>
    </w:p>
    <w:p>
      <w:pPr>
        <w:ind w:right="540" w:firstLine="464"/>
        <w:spacing w:after="0" w:line="268"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40"/>
          </w:cols>
          <w:pgMar w:left="240" w:top="280" w:right="319" w:bottom="1440" w:gutter="0" w:footer="0" w:header="0"/>
        </w:sectPr>
      </w:pPr>
    </w:p>
    <w:bookmarkStart w:id="167" w:name="page168"/>
    <w:bookmarkEnd w:id="1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Vringo, Inc. has caused this Amended and Restated Certificate of Incorporation to be signed by Jonathan Medved, its Chief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Executive Officer, on this</w:t>
            </w:r>
          </w:p>
        </w:tc>
        <w:tc>
          <w:tcPr>
            <w:tcW w:w="860" w:type="dxa"/>
            <w:vAlign w:val="bottom"/>
          </w:tcPr>
          <w:p>
            <w:pPr>
              <w:ind w:left="220"/>
              <w:spacing w:after="0"/>
              <w:rPr>
                <w:sz w:val="20"/>
                <w:szCs w:val="20"/>
                <w:color w:val="auto"/>
              </w:rPr>
            </w:pPr>
            <w:r>
              <w:rPr>
                <w:rFonts w:ascii="Arial" w:cs="Arial" w:eastAsia="Arial" w:hAnsi="Arial"/>
                <w:sz w:val="18"/>
                <w:szCs w:val="18"/>
                <w:color w:val="auto"/>
              </w:rPr>
              <w:t>day of</w:t>
            </w:r>
          </w:p>
        </w:tc>
        <w:tc>
          <w:tcPr>
            <w:tcW w:w="4280" w:type="dxa"/>
            <w:vAlign w:val="bottom"/>
          </w:tcPr>
          <w:p>
            <w:pPr>
              <w:jc w:val="right"/>
              <w:ind w:right="3512"/>
              <w:spacing w:after="0"/>
              <w:rPr>
                <w:sz w:val="20"/>
                <w:szCs w:val="20"/>
                <w:color w:val="auto"/>
              </w:rPr>
            </w:pPr>
            <w:r>
              <w:rPr>
                <w:rFonts w:ascii="Arial" w:cs="Arial" w:eastAsia="Arial" w:hAnsi="Arial"/>
                <w:sz w:val="18"/>
                <w:szCs w:val="18"/>
                <w:color w:val="auto"/>
              </w:rPr>
              <w:t>, 2010.</w:t>
            </w:r>
          </w:p>
        </w:tc>
        <w:tc>
          <w:tcPr>
            <w:tcW w:w="4240" w:type="dxa"/>
            <w:vAlign w:val="bottom"/>
          </w:tcPr>
          <w:p>
            <w:pPr>
              <w:spacing w:after="0"/>
              <w:rPr>
                <w:sz w:val="19"/>
                <w:szCs w:val="19"/>
                <w:color w:val="auto"/>
              </w:rPr>
            </w:pPr>
          </w:p>
        </w:tc>
      </w:tr>
      <w:tr>
        <w:trPr>
          <w:trHeight w:val="412"/>
        </w:trPr>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20" w:type="dxa"/>
            <w:vAlign w:val="bottom"/>
            <w:gridSpan w:val="2"/>
          </w:tcPr>
          <w:p>
            <w:pPr>
              <w:ind w:left="3960"/>
              <w:spacing w:after="0"/>
              <w:rPr>
                <w:sz w:val="20"/>
                <w:szCs w:val="20"/>
                <w:color w:val="auto"/>
              </w:rPr>
            </w:pPr>
            <w:r>
              <w:rPr>
                <w:rFonts w:ascii="Arial" w:cs="Arial" w:eastAsia="Arial" w:hAnsi="Arial"/>
                <w:sz w:val="18"/>
                <w:szCs w:val="18"/>
                <w:color w:val="auto"/>
              </w:rPr>
              <w:t>VRINGO, INC.,</w:t>
            </w:r>
          </w:p>
        </w:tc>
      </w:tr>
      <w:tr>
        <w:trPr>
          <w:trHeight w:val="433"/>
        </w:trPr>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20" w:type="dxa"/>
            <w:vAlign w:val="bottom"/>
            <w:gridSpan w:val="2"/>
          </w:tcPr>
          <w:p>
            <w:pPr>
              <w:ind w:left="3960"/>
              <w:spacing w:after="0"/>
              <w:rPr>
                <w:sz w:val="20"/>
                <w:szCs w:val="20"/>
                <w:color w:val="auto"/>
              </w:rPr>
            </w:pPr>
            <w:r>
              <w:rPr>
                <w:rFonts w:ascii="Arial" w:cs="Arial" w:eastAsia="Arial" w:hAnsi="Arial"/>
                <w:sz w:val="18"/>
                <w:szCs w:val="18"/>
                <w:color w:val="auto"/>
              </w:rPr>
              <w:t>By:</w:t>
            </w:r>
          </w:p>
        </w:tc>
      </w:tr>
      <w:tr>
        <w:trPr>
          <w:trHeight w:val="216"/>
        </w:trPr>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Jonathan Medved</w:t>
            </w:r>
          </w:p>
        </w:tc>
      </w:tr>
      <w:tr>
        <w:trPr>
          <w:trHeight w:val="222"/>
        </w:trPr>
        <w:tc>
          <w:tcPr>
            <w:tcW w:w="2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420"/>
          </w:cols>
          <w:pgMar w:left="240" w:top="28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SPECIMEN UNIT CERTIFICATE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w:t>
      </w:r>
    </w:p>
    <w:p>
      <w:pPr>
        <w:spacing w:after="0" w:line="15" w:lineRule="exact"/>
        <w:rPr>
          <w:sz w:val="20"/>
          <w:szCs w:val="20"/>
          <w:color w:val="auto"/>
        </w:rPr>
      </w:pPr>
    </w:p>
    <w:p>
      <w:pPr>
        <w:spacing w:after="0"/>
        <w:tabs>
          <w:tab w:leader="none" w:pos="1088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6"/>
          <w:szCs w:val="16"/>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-17780</wp:posOffset>
            </wp:positionV>
            <wp:extent cx="6686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DEFINITIONS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ind w:left="10060"/>
        <w:spacing w:after="0"/>
        <w:rPr>
          <w:sz w:val="20"/>
          <w:szCs w:val="20"/>
          <w:color w:val="auto"/>
        </w:rPr>
      </w:pPr>
      <w:r>
        <w:rPr>
          <w:rFonts w:ascii="Arial" w:cs="Arial" w:eastAsia="Arial" w:hAnsi="Arial"/>
          <w:sz w:val="15"/>
          <w:szCs w:val="15"/>
          <w:color w:val="auto"/>
        </w:rPr>
        <w:t>CUSIP 92911N203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 CONSISTING OF ONE SHARE OF COMMON STOCK AND TWO WARRANTS, EACH WARRANT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PURCHASE ONE SHARE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10795</wp:posOffset>
            </wp:positionV>
            <wp:extent cx="57975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tabs>
          <w:tab w:leader="none" w:pos="10980" w:val="left"/>
        </w:tabs>
        <w:rPr>
          <w:sz w:val="20"/>
          <w:szCs w:val="20"/>
          <w:color w:val="auto"/>
        </w:rPr>
      </w:pP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6020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1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Unit (“Unit”) consists of one (1) share of common stock, par value $.01 per share (“Common Stock”), of VRINGO, INC., a Delaware corporation (the “Company”), and two warrants (“Warrants”). Each Warrant entitles the holder to purchase one (1) share of Common Stock for $[110% OF THE OFFERING PRICE OF THE UNITS IN THE COMPANY’S INITIAL PUBLIC OFFERING] per share (subject to adjustment). Each Warrant will become exercisable upon consummation of the Company’s initial public offering and will expire unless exercised before 5:00 p.m. New York City time on the date which is five years from the date of the Company’s initial public offering or earlier upon redemption by the Company (the “Expiration Date”).</w:t>
      </w:r>
    </w:p>
    <w:p>
      <w:pPr>
        <w:spacing w:after="0" w:line="1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Common Stock and Warrants comprising each Unit shall begin to trade separately on or prior to the ninetieth (90</w:t>
      </w:r>
      <w:r>
        <w:rPr>
          <w:rFonts w:ascii="Arial" w:cs="Arial" w:eastAsia="Arial" w:hAnsi="Arial"/>
          <w:sz w:val="11"/>
          <w:szCs w:val="11"/>
          <w:color w:val="auto"/>
        </w:rPr>
        <w:t>th</w:t>
      </w:r>
      <w:r>
        <w:rPr>
          <w:rFonts w:ascii="Arial" w:cs="Arial" w:eastAsia="Arial" w:hAnsi="Arial"/>
          <w:sz w:val="18"/>
          <w:szCs w:val="18"/>
          <w:color w:val="auto"/>
        </w:rPr>
        <w:t>) day following the Company’s initial public offering; provided, however, in no event will the Common Stock and Warrants begin to trade separately until the Company issues a press release announcing when such separate trading will begin.</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terms of the Warrants are governed by a Warrant Agreement, dated as of [ ], 2010, between the Company and American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59 Maiden Lane, Plaza Level, New York, NY 10038, and are available to any Warrant holder on written request and without cost.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the facsimile seal of the Company and the facsimile signature of its duly authorized officers.</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[VRINGO,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280" w:right="1440"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CERTIFICATE]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VRINGO, INC.</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 This certificate and the units represented hereby are issued and shall be held subject to the terms and conditions applicable to the securities underlying and comprising the units, including, as applicable, the Amended and Restated Certificate of Incorporation and all amendments thereto, the Warrant Agreement and resolutions of the Board of Directors providing for the issue of securities (copies of which may be obtained from the secretary of the corporation), to all of which the holder(s) of this certificate by acceptance hereof assents.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COM – as tenants in common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ENT – as tenants by the entireties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w w:val="98"/>
              </w:rPr>
              <w:t>UNIF GIFT MIN ACT–</w:t>
            </w:r>
          </w:p>
        </w:tc>
        <w:tc>
          <w:tcPr>
            <w:tcW w:w="1060" w:type="dxa"/>
            <w:vAlign w:val="bottom"/>
            <w:tcBorders>
              <w:bottom w:val="single" w:sz="8" w:color="auto"/>
            </w:tcBorders>
            <w:gridSpan w:val="2"/>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86"/>
              </w:rPr>
              <w:t>Custodian</w:t>
            </w:r>
          </w:p>
        </w:tc>
        <w:tc>
          <w:tcPr>
            <w:tcW w:w="1040" w:type="dxa"/>
            <w:vAlign w:val="bottom"/>
            <w:tcBorders>
              <w:bottom w:val="single" w:sz="8" w:color="auto"/>
            </w:tcBorders>
            <w:gridSpan w:val="2"/>
          </w:tcPr>
          <w:p>
            <w:pPr>
              <w:spacing w:after="0"/>
              <w:rPr>
                <w:sz w:val="17"/>
                <w:szCs w:val="17"/>
                <w:color w:val="auto"/>
              </w:rPr>
            </w:pPr>
          </w:p>
        </w:tc>
      </w:tr>
      <w:tr>
        <w:trPr>
          <w:trHeight w:val="235"/>
        </w:trPr>
        <w:tc>
          <w:tcPr>
            <w:tcW w:w="2820" w:type="dxa"/>
            <w:vAlign w:val="bottom"/>
            <w:gridSpan w:val="3"/>
          </w:tcPr>
          <w:p>
            <w:pPr>
              <w:ind w:left="1640"/>
              <w:spacing w:after="0"/>
              <w:rPr>
                <w:sz w:val="20"/>
                <w:szCs w:val="20"/>
                <w:color w:val="auto"/>
              </w:rPr>
            </w:pPr>
            <w:r>
              <w:rPr>
                <w:rFonts w:ascii="Arial" w:cs="Arial" w:eastAsia="Arial" w:hAnsi="Arial"/>
                <w:sz w:val="18"/>
                <w:szCs w:val="18"/>
                <w:color w:val="auto"/>
              </w:rPr>
              <w:t>(Cust)</w:t>
            </w:r>
          </w:p>
        </w:tc>
        <w:tc>
          <w:tcPr>
            <w:tcW w:w="760" w:type="dxa"/>
            <w:vAlign w:val="bottom"/>
          </w:tcPr>
          <w:p>
            <w:pPr>
              <w:spacing w:after="0"/>
              <w:rPr>
                <w:sz w:val="20"/>
                <w:szCs w:val="20"/>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(Minor)</w:t>
            </w:r>
          </w:p>
        </w:tc>
      </w:tr>
      <w:tr>
        <w:trPr>
          <w:trHeight w:val="259"/>
        </w:trPr>
        <w:tc>
          <w:tcPr>
            <w:tcW w:w="2520" w:type="dxa"/>
            <w:vAlign w:val="bottom"/>
            <w:gridSpan w:val="2"/>
          </w:tcPr>
          <w:p>
            <w:pPr>
              <w:spacing w:after="0"/>
              <w:rPr>
                <w:sz w:val="20"/>
                <w:szCs w:val="20"/>
                <w:color w:val="auto"/>
              </w:rPr>
            </w:pPr>
            <w:r>
              <w:rPr>
                <w:rFonts w:ascii="Arial" w:cs="Arial" w:eastAsia="Arial" w:hAnsi="Arial"/>
                <w:sz w:val="18"/>
                <w:szCs w:val="18"/>
                <w:color w:val="auto"/>
                <w:w w:val="93"/>
              </w:rPr>
              <w:t>under Uniform Gifts to Minors Act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35"/>
        </w:trPr>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color w:val="auto"/>
              </w:rPr>
              <w:t>(State)</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7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-13970</wp:posOffset>
            </wp:positionV>
            <wp:extent cx="11150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Units represented by the within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Attorney to transfer the said Units on the books of the within named Company with full power of substitution in the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NOTICE: THE SIGNATURE(S) TO THIS ASSIGNMENT MUST CORRESPOND WITH THE NAME AS WRITTEN UPON THE FACE OF THE CERTIFICATE IN EVERY PARTICULAR, WITHOUT ALTERATION OR ENLARGEMENT OR ANY CHANGE WHATEVER.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400"/>
          </w:cols>
          <w:pgMar w:left="240" w:top="280" w:right="259" w:bottom="1440" w:gutter="0" w:footer="0" w:header="0"/>
        </w:sectPr>
      </w:pPr>
    </w:p>
    <w:bookmarkStart w:id="172" w:name="page173"/>
    <w:bookmarkEnd w:id="172"/>
    <w:p>
      <w:pPr>
        <w:ind w:left="10400"/>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SPECIMEN COMMON STOCK CERTIFICATE</w:t>
      </w:r>
    </w:p>
    <w:p>
      <w:pPr>
        <w:spacing w:after="0" w:line="212" w:lineRule="exact"/>
        <w:rPr>
          <w:sz w:val="20"/>
          <w:szCs w:val="20"/>
          <w:color w:val="auto"/>
        </w:rPr>
      </w:pPr>
    </w:p>
    <w:p>
      <w:pPr>
        <w:spacing w:after="0"/>
        <w:tabs>
          <w:tab w:leader="none" w:pos="1072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-13970</wp:posOffset>
            </wp:positionV>
            <wp:extent cx="5575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REVERSE FOR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CERTAIN DEFINITIONS</w:t>
      </w:r>
    </w:p>
    <w:p>
      <w:pPr>
        <w:spacing w:after="0" w:line="205"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5"/>
          <w:szCs w:val="15"/>
          <w:color w:val="auto"/>
        </w:rPr>
        <w:t>CUSIP 92911N104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FULLY PAID AND NON-ASSESSABLE SHARES OF THE PAR VALUE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$.01 PER SHARE, OF THE COMMON STOCK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transferable on the books of VRINGO, INC. (the “Company”) in person or by duly authorized attorney upon surrender of this certificate properly endorsed. This certificate is not valid unless countersigned by the Transfer Agent and registered by the Registrar. Witness the seal of the Company and the facsimile signatures of its duly authorized officers.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(Reverse of Certificate)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will furnish without charge to each stockholder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COM — as tenants in common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 ENT — as tenants by the entireties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16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UNIF GIFT MIN ACT —</w:t>
      </w:r>
      <w:r>
        <w:rPr>
          <w:sz w:val="20"/>
          <w:szCs w:val="20"/>
          <w:color w:val="auto"/>
        </w:rPr>
        <w:tab/>
      </w:r>
      <w:r>
        <w:rPr>
          <w:rFonts w:ascii="Arial" w:cs="Arial" w:eastAsia="Arial" w:hAnsi="Arial"/>
          <w:sz w:val="15"/>
          <w:szCs w:val="15"/>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-13970</wp:posOffset>
            </wp:positionV>
            <wp:extent cx="6686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-13970</wp:posOffset>
            </wp:positionV>
            <wp:extent cx="6686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70" w:lineRule="exact"/>
        <w:rPr>
          <w:sz w:val="20"/>
          <w:szCs w:val="20"/>
          <w:color w:val="auto"/>
        </w:rPr>
      </w:pPr>
    </w:p>
    <w:p>
      <w:pPr>
        <w:ind w:left="2240"/>
        <w:spacing w:after="0"/>
        <w:tabs>
          <w:tab w:leader="none" w:pos="402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Uniform Gifts to Minors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-17780</wp:posOffset>
            </wp:positionV>
            <wp:extent cx="18116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jc w:val="center"/>
        <w:ind w:right="6580"/>
        <w:spacing w:after="0"/>
        <w:rPr>
          <w:sz w:val="20"/>
          <w:szCs w:val="20"/>
          <w:color w:val="auto"/>
        </w:rPr>
      </w:pPr>
      <w:r>
        <w:rPr>
          <w:rFonts w:ascii="Arial" w:cs="Arial" w:eastAsia="Arial" w:hAnsi="Arial"/>
          <w:sz w:val="18"/>
          <w:szCs w:val="18"/>
          <w:color w:val="auto"/>
        </w:rPr>
        <w:t>(State)</w:t>
      </w:r>
    </w:p>
    <w:p>
      <w:pPr>
        <w:spacing w:after="0" w:line="84" w:lineRule="exact"/>
        <w:rPr>
          <w:sz w:val="20"/>
          <w:szCs w:val="20"/>
          <w:color w:val="auto"/>
        </w:rPr>
      </w:pPr>
    </w:p>
    <w:p>
      <w:pPr>
        <w:jc w:val="center"/>
        <w:ind w:right="6360"/>
        <w:spacing w:after="0"/>
        <w:rPr>
          <w:sz w:val="20"/>
          <w:szCs w:val="20"/>
          <w:color w:val="auto"/>
        </w:rPr>
      </w:pPr>
      <w:r>
        <w:rPr>
          <w:rFonts w:ascii="Arial" w:cs="Arial" w:eastAsia="Arial" w:hAnsi="Arial"/>
          <w:sz w:val="16"/>
          <w:szCs w:val="16"/>
          <w:color w:val="auto"/>
        </w:rPr>
        <w:t>Additional abbreviations may also be used though not in the above list.</w:t>
      </w:r>
    </w:p>
    <w:p>
      <w:pPr>
        <w:spacing w:after="0" w:line="19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-13970</wp:posOffset>
            </wp:positionV>
            <wp:extent cx="30657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6578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INSERT SOCIAL SECURITY OR OTHER 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capital stock represented by the within Certificate, and do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stock on the books of the within named Company with full power of substitution in the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NOTICE: THE SIGNATURE(S) TO THIS ASSIGNMENT MUST CORRESPOND WITH THE NAME AS WRITTEN UPON THE FACE OF THE CERTIFICATE IN EVERY PARTICULAR, WITHOUT ALTERATION OR ENLARGEMENT OR ANY CHANGE WHATEVER.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70237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400"/>
          </w:cols>
          <w:pgMar w:left="240" w:top="280" w:right="25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320" w:type="dxa"/>
            <w:vAlign w:val="bottom"/>
          </w:tcPr>
          <w:p>
            <w:pPr>
              <w:jc w:val="right"/>
              <w:spacing w:after="0"/>
              <w:rPr>
                <w:sz w:val="20"/>
                <w:szCs w:val="20"/>
                <w:color w:val="auto"/>
              </w:rPr>
            </w:pPr>
            <w:r>
              <w:rPr>
                <w:rFonts w:ascii="Arial" w:cs="Arial" w:eastAsia="Arial" w:hAnsi="Arial"/>
                <w:sz w:val="18"/>
                <w:szCs w:val="18"/>
                <w:b w:val="1"/>
                <w:bCs w:val="1"/>
                <w:color w:val="auto"/>
              </w:rPr>
              <w:t>EXHIBIT 4.3</w:t>
            </w:r>
          </w:p>
        </w:tc>
      </w:tr>
      <w:tr>
        <w:trPr>
          <w:trHeight w:val="378"/>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320" w:type="dxa"/>
            <w:vAlign w:val="bottom"/>
          </w:tcPr>
          <w:p>
            <w:pPr>
              <w:jc w:val="right"/>
              <w:ind w:right="4152"/>
              <w:spacing w:after="0"/>
              <w:rPr>
                <w:sz w:val="20"/>
                <w:szCs w:val="20"/>
                <w:color w:val="auto"/>
              </w:rPr>
            </w:pPr>
            <w:r>
              <w:rPr>
                <w:rFonts w:ascii="Arial" w:cs="Arial" w:eastAsia="Arial" w:hAnsi="Arial"/>
                <w:sz w:val="18"/>
                <w:szCs w:val="18"/>
                <w:color w:val="auto"/>
              </w:rPr>
              <w:t>SPECIMEN WARRANT CERTIFICATE</w:t>
            </w: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320" w:type="dxa"/>
            <w:vAlign w:val="bottom"/>
          </w:tcPr>
          <w:p>
            <w:pPr>
              <w:jc w:val="right"/>
              <w:spacing w:after="0"/>
              <w:rPr>
                <w:sz w:val="20"/>
                <w:szCs w:val="20"/>
                <w:color w:val="auto"/>
              </w:rPr>
            </w:pPr>
            <w:r>
              <w:rPr>
                <w:rFonts w:ascii="Arial" w:cs="Arial" w:eastAsia="Arial" w:hAnsi="Arial"/>
                <w:sz w:val="18"/>
                <w:szCs w:val="18"/>
                <w:color w:val="auto"/>
              </w:rPr>
              <w:t>WARRANTS</w:t>
            </w:r>
          </w:p>
        </w:tc>
      </w:tr>
      <w:tr>
        <w:trPr>
          <w:trHeight w:val="184"/>
        </w:trPr>
        <w:tc>
          <w:tcPr>
            <w:tcW w:w="1100" w:type="dxa"/>
            <w:vAlign w:val="bottom"/>
            <w:gridSpan w:val="2"/>
          </w:tcPr>
          <w:p>
            <w:pPr>
              <w:spacing w:after="0" w:line="184" w:lineRule="exact"/>
              <w:rPr>
                <w:sz w:val="20"/>
                <w:szCs w:val="20"/>
                <w:color w:val="auto"/>
              </w:rPr>
            </w:pPr>
            <w:r>
              <w:rPr>
                <w:rFonts w:ascii="Arial" w:cs="Arial" w:eastAsia="Arial" w:hAnsi="Arial"/>
                <w:sz w:val="18"/>
                <w:szCs w:val="18"/>
                <w:color w:val="auto"/>
              </w:rPr>
              <w:t>W-</w:t>
            </w:r>
          </w:p>
        </w:tc>
        <w:tc>
          <w:tcPr>
            <w:tcW w:w="1032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(THIS WARRANT WILL BE VOID IF NOT EXERCISED PRIOR TO 5:00 P.M. NEW YORK CITY TIME, FIVE YEARS FROM THE DATE OF THE COMPANY’S INITIAL PUBLIC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92911N112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CERTIFIES THAT, for value received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or registered agents, is the registered holder of a Warrant or Warrants expiring on a date which is five years from the date of the Company’s initial public offering (the “Warrant”) to purchase one fully paid and non-assessable share of common stock, par value $.01 per share (the “Shares”), of VRINGO, INC., a Delaware corporation (the “Company”), for each Warrant evidenced by this Warrant Certificate.</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Warrant entitles the holder thereof to purchase from the Company, commencing upon consummation of the Company’s initial public offering, such number of Shares at the price of $[110% OF THE OFFERING PRICE OF THE UNITS IN THE COMPANY’S INITIAL PUBLIC OFFERING] per share (the “Warrant Price”), upon surrender of this Warrant Certificate and payment of the Warrant Price at the office or agency of the Warrant Agent, American Stock Transfer &amp; Trust Company (such payment to be made by check made payable to the Warrant Agent), but only subject to the conditions set forth herein and in the Warrant Agreement between the Company and American Stock Transfer &amp; Trust Company. In no event shall the registered holder(s) of this Warrant be entitled to receive a net-cash settlement, Shares or other consideration in lieu of physical settlement in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Share at which Shares may be purchased at the time the Warrant is exercised.</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Warrant will expire on the date first above written if it is not exercised prior to such date by the registered holder pursuant to the terms of the Warrant Agreement or if it is not redeemed by the Company prior to such date.</w:t>
      </w:r>
    </w:p>
    <w:p>
      <w:pPr>
        <w:sectPr>
          <w:pgSz w:w="11900" w:h="16838" w:orient="portrait"/>
          <w:cols w:equalWidth="0" w:num="1">
            <w:col w:w="11420"/>
          </w:cols>
          <w:pgMar w:left="240" w:top="125" w:right="239" w:bottom="1440" w:gutter="0" w:footer="0" w:header="0"/>
        </w:sectPr>
      </w:pPr>
    </w:p>
    <w:bookmarkStart w:id="176" w:name="page177"/>
    <w:bookmarkEnd w:id="176"/>
    <w:p>
      <w:pPr>
        <w:ind w:right="4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fraction of a Share will be issued upon any exercise of a Warrant. If, upon exercise of a Warrant, a holder would be entitled to receive a fractional interest in a Share, the Company will, upon exercise, issue or cause to be issued only the largest whole number of Shares issuable on such exercise (and such fraction of a Share will be disregarded).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Upon any exercise of the Warrant for less than the total number of full Shares provided for herein, there shall be issued to the registered holder(s) hereof or its assignee(s) a new Warrant Certificate covering the number of Shares for which the Warrant has not been exercised.</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07"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8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reserves the right to call the Warrant at any time prior to its exercise, with a notice of call in writing to the holder(s) of record of the Warrant, giving 30 days’ notice of such call at any time after the Warrant becomes exercisable if the last sale price of the Shares has been at least $[ ] per share on each of 20 trading days within a 30 trading day period ending on the third business day prior to the date on which notice of such call is given. The call price of the Warrants is to be $.01 per Warrant. Any Warrant either not exercised or tendered back to the Company by the end of the date specified in the notice of call shall be canceled on the books of the Company and have no further value except for the $.01 call 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420"/>
          </w:cols>
          <w:pgMar w:left="240" w:top="280"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280" w:right="1440" w:bottom="1440" w:gutter="0" w:footer="0" w:header="0"/>
        </w:sectPr>
      </w:pPr>
    </w:p>
    <w:bookmarkStart w:id="178" w:name="page179"/>
    <w:bookmarkEnd w:id="17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CERTIFICATE]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SUBSCRIPTION FORM</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The undersigned Registered Holder(s) irrevocably elect(s) to exercise</w:t>
      </w:r>
      <w:r>
        <w:rPr>
          <w:sz w:val="20"/>
          <w:szCs w:val="20"/>
          <w:color w:val="auto"/>
        </w:rPr>
        <w:tab/>
      </w:r>
      <w:r>
        <w:rPr>
          <w:rFonts w:ascii="Arial" w:cs="Arial" w:eastAsia="Arial" w:hAnsi="Arial"/>
          <w:sz w:val="15"/>
          <w:szCs w:val="15"/>
          <w:color w:val="auto"/>
        </w:rPr>
        <w:t>Warrants represented by this Warrant Certificate, and to purchase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-13970</wp:posOffset>
            </wp:positionV>
            <wp:extent cx="557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issuable upon the exercise of such Warrants, and requests that Certificates for such shares shall be issued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10795</wp:posOffset>
            </wp:positionV>
            <wp:extent cx="61575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(PLEASE PRINT OR TYPE NAME(S) AND ADDRESS)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ectPr>
          <w:pgSz w:w="11900" w:h="16838" w:orient="portrait"/>
          <w:cols w:equalWidth="0" w:num="1">
            <w:col w:w="11320"/>
          </w:cols>
          <w:pgMar w:left="240" w:top="280" w:right="3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171"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3362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-13970</wp:posOffset>
            </wp:positionV>
            <wp:extent cx="7804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3362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3336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33362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10795</wp:posOffset>
            </wp:positionV>
            <wp:extent cx="61575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(PLEASE PRINT OR TYPE NAME(S) AND ADDRESS(ES))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 the Warrants represented by this Warrant Certificate, and hereby irrevocably constitute and</w:t>
      </w:r>
    </w:p>
    <w:p>
      <w:pPr>
        <w:spacing w:after="0" w:line="171" w:lineRule="exact"/>
        <w:rPr>
          <w:sz w:val="20"/>
          <w:szCs w:val="20"/>
          <w:color w:val="auto"/>
        </w:rPr>
      </w:pPr>
    </w:p>
    <w:p>
      <w:pPr>
        <w:spacing w:after="0"/>
        <w:tabs>
          <w:tab w:leader="none" w:pos="2340" w:val="left"/>
        </w:tabs>
        <w:rPr>
          <w:sz w:val="20"/>
          <w:szCs w:val="20"/>
          <w:color w:val="auto"/>
        </w:rPr>
      </w:pPr>
      <w:r>
        <w:rPr>
          <w:rFonts w:ascii="Arial" w:cs="Arial" w:eastAsia="Arial" w:hAnsi="Arial"/>
          <w:sz w:val="16"/>
          <w:szCs w:val="16"/>
          <w:color w:val="auto"/>
        </w:rPr>
        <w:t>appoint</w:t>
      </w:r>
      <w:r>
        <w:rPr>
          <w:sz w:val="20"/>
          <w:szCs w:val="20"/>
          <w:color w:val="auto"/>
        </w:rPr>
        <w:tab/>
      </w:r>
      <w:r>
        <w:rPr>
          <w:rFonts w:ascii="Arial" w:cs="Arial" w:eastAsia="Arial" w:hAnsi="Arial"/>
          <w:sz w:val="16"/>
          <w:szCs w:val="16"/>
          <w:color w:val="auto"/>
        </w:rPr>
        <w:t>Attorney to transfer this Warrant Certificate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0</wp:posOffset>
            </wp:positionV>
            <wp:extent cx="11150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NOTICE: THE SIGNATURE(S) TO THIS ASSIGNMENT MUST CORRESPOND WITH THE NAME AS WRITTEN UPON THE FACE OF THE CERTIFICATE IN EVERY PARTICULAR, WITHOUT ALTERATION OR ENLARGEMENT OR ANY CHANGE WHATEVER.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400"/>
          </w:cols>
          <w:pgMar w:left="240" w:top="280" w:right="2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9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honesty, integrity, ethics, respect for others and sound judgment displayed by directors, principal executives and financial officers of Vringo, Inc. (the “Company”) set the tone for business conduct, and are fundamental to the proper functioning, reputation and success of the Company. This Code of Ethics is composed of expressions of good behavior and good judgment to which all employees, officers and directors of the Company are required to adhere.</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principal executives and financial officers hold an important and elevated role in our corporate governance. These individuals are key members of the management team, who are uniquely capable and empowered to ensure that the interests of the Company’s stakeholders (including stockholders, employees, collaborators, customers and partners) are appropriately balanced, protected and preserved. Such persons fulfill this responsibility by prescribing and enforcing the policies and procedures employed in the Company’s business and financial operations.</w:t>
      </w:r>
    </w:p>
    <w:p>
      <w:pPr>
        <w:spacing w:after="0" w:line="11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This Code of Ethics is intended to supplement, and not replace, the various guidelines and documents that the Company has prepared on specific laws, rules, regulations and policies that all officers, directors and employees of the Company should be aware of, such as the Company’s Insider Trading Policy.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executives, financial officers, employees and directors of the Company must:</w:t>
      </w:r>
    </w:p>
    <w:p>
      <w:pPr>
        <w:spacing w:after="0" w:line="90" w:lineRule="exact"/>
        <w:rPr>
          <w:sz w:val="20"/>
          <w:szCs w:val="20"/>
          <w:color w:val="auto"/>
        </w:rPr>
      </w:pPr>
    </w:p>
    <w:p>
      <w:pPr>
        <w:ind w:left="900" w:right="12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 with honesty, ethics and integrity, avoiding actual or apparent conflicts of interest in personal and professional relationships except as otherwise disclosed, approved and determined to be in the best interests of the Company and its stockholders;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is required and/or necessary to conduct their duties, provide colleagues with information that is accurate, truthful, complete, objective, relevant, timely, and understandable, and be unafraid to present a contrary opinion;</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Comply with applicable laws, rules, and regulations of federal, state, and local governments (both Unites States and Israel) and other appropriate private and public regulatory agencies, including, without limitation, with regard to all mandatory public disclosures;</w:t>
      </w:r>
    </w:p>
    <w:p>
      <w:pPr>
        <w:spacing w:after="0" w:line="4" w:lineRule="exact"/>
        <w:rPr>
          <w:rFonts w:ascii="Arial" w:cs="Arial" w:eastAsia="Arial" w:hAnsi="Arial"/>
          <w:sz w:val="16"/>
          <w:szCs w:val="16"/>
          <w:color w:val="auto"/>
        </w:rPr>
      </w:pPr>
    </w:p>
    <w:p>
      <w:pPr>
        <w:ind w:left="900" w:right="74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 in good faith, with due care, competence and diligence, without misrepresenting material facts or allowing independent judgment to be subordinated;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Respect the confidentiality of information acquired in the course of employment;</w:t>
      </w:r>
    </w:p>
    <w:p>
      <w:pPr>
        <w:sectPr>
          <w:pgSz w:w="11900" w:h="16838" w:orient="portrait"/>
          <w:cols w:equalWidth="0" w:num="1">
            <w:col w:w="11420"/>
          </w:cols>
          <w:pgMar w:left="240" w:top="125" w:right="239" w:bottom="1440" w:gutter="0" w:footer="0" w:header="0"/>
        </w:sectPr>
      </w:pPr>
    </w:p>
    <w:bookmarkStart w:id="181" w:name="page182"/>
    <w:bookmarkEnd w:id="181"/>
    <w:p>
      <w:pPr>
        <w:ind w:left="900" w:right="500" w:hanging="325"/>
        <w:spacing w:after="0" w:line="298"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may be approved by the board of directors of the Company (the “Board”) or a committee of independent directors or as may be memorialized in agreements approved by the Board or a committee of independent directors, refrain from (a) taking for themselves personally opportunities that belong to the Company or are discovered through the use of corporate property, information or position; (b) using corporate property, information or position for personal gain; and (c) competing with the Company.</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partners, competitors, officers and employees. No one should take unfair advantage of anyone through manipulation, concealment, abuse of privileged information, misrepresentation of material facts or any other unfair dealing practice. Stealing proprietary information, misusing trade secret information that was obtained without the owner’s consent, or inducing such disclosures by past or present employees of other companies is prohibited;</w:t>
      </w:r>
    </w:p>
    <w:p>
      <w:pPr>
        <w:spacing w:after="0" w:line="62"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 directly or indirectly, use bribes or other corrupt practices in conducting the Company’s business to influence any federal, state or local government employee in any country;</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full, fair, accurate, timely, and understandable disclosure in reports and documents that the Company files with, or submits to, the Securities and Exchange Commission and in other public communications made by the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 accountable for adherence to this Code of Ethics and otherwise proactively promote ethical and honest behavior within the workplace, and</w:t>
      </w:r>
    </w:p>
    <w:p>
      <w:pPr>
        <w:spacing w:after="0" w:line="113"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Promptly report suspected violations of this Code of Ethics to senior management or, as applicable, the Chairman of the Audit Committee of the Board, and if, necessary, to outside counsel, as a last resort should earlier attempts to redress such violations fail.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principal executives, financial officers, employees and directors are expected to adhere to this Code of Ethical Conduct at all times.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a violation of this Code of Ethics is reported and substantiated, the Company’s Board may impose such sanctions or otherwise take such actions is it deems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Board shall have the sole and absolute discretionary authority to approve any deviation or waiver from this Code of Ethics.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Any waiver (and the grounds for such waiver) for a principal executive or financial officer of, or an amendment to, this Code of Ethics shall be disclosed as required by the applicable rules and regulations of the Securities and Exchange Commission.</w:t>
      </w:r>
    </w:p>
    <w:p>
      <w:pPr>
        <w:sectPr>
          <w:pgSz w:w="11900" w:h="16838" w:orient="portrait"/>
          <w:cols w:equalWidth="0" w:num="1">
            <w:col w:w="11400"/>
          </w:cols>
          <w:pgMar w:left="240" w:top="280" w:right="25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report dated May 18, 2010 contains an explanatory paragraph that states that Vringo, Inc.,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Our report also refers to the restatement of the Company’s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ectPr>
          <w:pgSz w:w="11900" w:h="16838" w:orient="portrait"/>
          <w:cols w:equalWidth="0" w:num="1">
            <w:col w:w="11420"/>
          </w:cols>
          <w:pgMar w:left="240" w:top="125" w:right="239" w:bottom="1440" w:gutter="0" w:footer="0" w:header="0"/>
        </w:sectPr>
      </w:pPr>
    </w:p>
    <w:bookmarkStart w:id="183" w:name="page184"/>
    <w:bookmarkEnd w:id="183"/>
    <w:p>
      <w:pPr>
        <w:ind w:left="10520"/>
        <w:spacing w:after="0"/>
        <w:rPr>
          <w:sz w:val="20"/>
          <w:szCs w:val="20"/>
          <w:color w:val="auto"/>
        </w:rPr>
      </w:pPr>
      <w:r>
        <w:rPr>
          <w:rFonts w:ascii="Arial" w:cs="Arial" w:eastAsia="Arial" w:hAnsi="Arial"/>
          <w:sz w:val="16"/>
          <w:szCs w:val="16"/>
          <w:b w:val="1"/>
          <w:bCs w:val="1"/>
          <w:color w:val="auto"/>
        </w:rPr>
        <w:t>Exhibit 99.1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The following Audit Committee Charter (the “</w:t>
      </w:r>
      <w:r>
        <w:rPr>
          <w:rFonts w:ascii="Arial" w:cs="Arial" w:eastAsia="Arial" w:hAnsi="Arial"/>
          <w:sz w:val="18"/>
          <w:szCs w:val="18"/>
          <w:b w:val="1"/>
          <w:bCs w:val="1"/>
          <w:color w:val="auto"/>
        </w:rPr>
        <w:t>Charter</w:t>
      </w:r>
      <w:r>
        <w:rPr>
          <w:rFonts w:ascii="Arial" w:cs="Arial" w:eastAsia="Arial" w:hAnsi="Arial"/>
          <w:sz w:val="18"/>
          <w:szCs w:val="18"/>
          <w:color w:val="auto"/>
        </w:rPr>
        <w:t>”) was adopted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9" w:lineRule="exact"/>
        <w:rPr>
          <w:sz w:val="20"/>
          <w:szCs w:val="20"/>
          <w:color w:val="auto"/>
        </w:rPr>
      </w:pPr>
    </w:p>
    <w:p>
      <w:pPr>
        <w:ind w:left="460" w:right="40" w:hanging="452"/>
        <w:spacing w:after="0" w:line="289"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Members</w:t>
      </w:r>
      <w:r>
        <w:rPr>
          <w:rFonts w:ascii="Arial" w:cs="Arial" w:eastAsia="Arial" w:hAnsi="Arial"/>
          <w:sz w:val="16"/>
          <w:szCs w:val="16"/>
          <w:color w:val="auto"/>
        </w:rPr>
        <w:t>. The Board shall appoint the members of the Audit Committee (the “</w:t>
      </w:r>
      <w:r>
        <w:rPr>
          <w:rFonts w:ascii="Arial" w:cs="Arial" w:eastAsia="Arial" w:hAnsi="Arial"/>
          <w:sz w:val="16"/>
          <w:szCs w:val="16"/>
          <w:b w:val="1"/>
          <w:bCs w:val="1"/>
          <w:color w:val="auto"/>
        </w:rPr>
        <w:t>Committee</w:t>
      </w:r>
      <w:r>
        <w:rPr>
          <w:rFonts w:ascii="Arial" w:cs="Arial" w:eastAsia="Arial" w:hAnsi="Arial"/>
          <w:sz w:val="16"/>
          <w:szCs w:val="16"/>
          <w:color w:val="auto"/>
        </w:rPr>
        <w:t>”). The Committee shall be comprised of at least three independent directors of the Board who shall also satisfy such other criteria imposed on members of the Committee pursuant to the federal securities laws and the rules and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NASDAQ Stock Market (or any exchange or national listing market system upon which the Company’s securities are listed or quoted for trading) (“</w:t>
      </w:r>
      <w:r>
        <w:rPr>
          <w:rFonts w:ascii="Arial" w:cs="Arial" w:eastAsia="Arial" w:hAnsi="Arial"/>
          <w:sz w:val="16"/>
          <w:szCs w:val="16"/>
          <w:b w:val="1"/>
          <w:bCs w:val="1"/>
          <w:color w:val="auto"/>
        </w:rPr>
        <w:t>NASDAQ</w:t>
      </w:r>
      <w:r>
        <w:rPr>
          <w:rFonts w:ascii="Arial" w:cs="Arial" w:eastAsia="Arial" w:hAnsi="Arial"/>
          <w:sz w:val="16"/>
          <w:szCs w:val="16"/>
          <w:color w:val="auto"/>
        </w:rPr>
        <w:t>”). The term “independent director” means a director who meets the definition of “independence” under the rules and regulations of the SEC and NASDAQ. Each member of the Committee must be able to read and understand fundamental financial statements, including the Company’s balance sheet, income statement and statement of cash flows. At least one member of the Committee shall be an “audit committee financial expert” as defined by the SEC. The Committee and its members shall be subject to the provisions of the Company’s Bylaws relating to members and filling vacancies. Unless the Board elects a Chairman of the Committee, the Committee shall elect a Chairman by majority vote.</w:t>
      </w:r>
    </w:p>
    <w:p>
      <w:pPr>
        <w:spacing w:after="0" w:line="37" w:lineRule="exact"/>
        <w:rPr>
          <w:rFonts w:ascii="Arial" w:cs="Arial" w:eastAsia="Arial" w:hAnsi="Arial"/>
          <w:sz w:val="16"/>
          <w:szCs w:val="16"/>
          <w:color w:val="auto"/>
        </w:rPr>
      </w:pPr>
    </w:p>
    <w:p>
      <w:pPr>
        <w:ind w:left="460" w:right="320" w:hanging="452"/>
        <w:spacing w:after="0" w:line="305"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the Committee is to assist the Board in its oversight of: (1) the integrity of the Company’s financial reporting and systems of internal accounting control, (2) the independence, qualifications and performance of the Company’s independent registered public accounting firm, and</w:t>
      </w:r>
    </w:p>
    <w:p>
      <w:pPr>
        <w:ind w:left="460" w:right="60"/>
        <w:spacing w:after="0" w:line="254" w:lineRule="auto"/>
        <w:rPr>
          <w:rFonts w:ascii="Arial" w:cs="Arial" w:eastAsia="Arial" w:hAnsi="Arial"/>
          <w:sz w:val="15"/>
          <w:szCs w:val="15"/>
          <w:color w:val="auto"/>
        </w:rPr>
      </w:pPr>
      <w:r>
        <w:rPr>
          <w:rFonts w:ascii="Arial" w:cs="Arial" w:eastAsia="Arial" w:hAnsi="Arial"/>
          <w:sz w:val="18"/>
          <w:szCs w:val="18"/>
          <w:color w:val="auto"/>
        </w:rPr>
        <w:t>(3) the Company’s compliance with legal and regulatory requirements. The Committee shall also conduct all reviews and investigations and prepare such reports as are required to be prepared by the Committee pursuant to the rules of the Securities and Exchange Commission, the listing standards of NASDAQ (or any exchange or national listing market system upon which the Company’s securities are listed or quoted for trading) or any other applicable laws or regulations.</w:t>
      </w:r>
    </w:p>
    <w:p>
      <w:pPr>
        <w:spacing w:after="0" w:line="62" w:lineRule="exact"/>
        <w:rPr>
          <w:rFonts w:ascii="Arial" w:cs="Arial" w:eastAsia="Arial" w:hAnsi="Arial"/>
          <w:sz w:val="15"/>
          <w:szCs w:val="15"/>
          <w:color w:val="auto"/>
        </w:rPr>
      </w:pPr>
    </w:p>
    <w:p>
      <w:pPr>
        <w:ind w:left="4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On behalf of the Board, the Committee shall, among its duties and responsibilities as may be delegated to the Committee by the Board, and in addition to any duties and responsibilities imparted to the Committee by the Securities and Exchange Commission, the listing standards of NASDAQ or any other applicable laws or regulations:</w:t>
      </w:r>
    </w:p>
    <w:p>
      <w:pPr>
        <w:spacing w:after="0" w:line="59" w:lineRule="exact"/>
        <w:rPr>
          <w:rFonts w:ascii="Arial" w:cs="Arial" w:eastAsia="Arial" w:hAnsi="Arial"/>
          <w:sz w:val="18"/>
          <w:szCs w:val="18"/>
          <w:color w:val="auto"/>
        </w:rPr>
      </w:pPr>
    </w:p>
    <w:p>
      <w:pPr>
        <w:ind w:left="900" w:right="80" w:hanging="446"/>
        <w:spacing w:after="0" w:line="259" w:lineRule="auto"/>
        <w:rPr>
          <w:rFonts w:ascii="Arial" w:cs="Arial" w:eastAsia="Arial" w:hAnsi="Arial"/>
          <w:sz w:val="18"/>
          <w:szCs w:val="18"/>
          <w:color w:val="auto"/>
        </w:rPr>
      </w:pPr>
      <w:r>
        <w:rPr>
          <w:rFonts w:ascii="Arial" w:cs="Arial" w:eastAsia="Arial" w:hAnsi="Arial"/>
          <w:sz w:val="18"/>
          <w:szCs w:val="18"/>
          <w:color w:val="auto"/>
        </w:rPr>
        <w:t>•Appoint, compensate, retain and oversee the work of the independent auditor. In this regard, the Committee shall appoint and retain, subject to approval by the Company’s stockholders, compensate, evaluate and terminate, when appropriate, the independent auditor, which shall report directly to, and be responsible to, the Committee.</w:t>
      </w:r>
    </w:p>
    <w:p>
      <w:pPr>
        <w:spacing w:after="0" w:line="59" w:lineRule="exact"/>
        <w:rPr>
          <w:rFonts w:ascii="Arial" w:cs="Arial" w:eastAsia="Arial" w:hAnsi="Arial"/>
          <w:sz w:val="18"/>
          <w:szCs w:val="18"/>
          <w:color w:val="auto"/>
        </w:rPr>
      </w:pPr>
    </w:p>
    <w:p>
      <w:pPr>
        <w:ind w:left="900" w:right="60" w:hanging="446"/>
        <w:spacing w:after="0" w:line="259" w:lineRule="auto"/>
        <w:rPr>
          <w:rFonts w:ascii="Arial" w:cs="Arial" w:eastAsia="Arial" w:hAnsi="Arial"/>
          <w:sz w:val="18"/>
          <w:szCs w:val="18"/>
          <w:color w:val="auto"/>
        </w:rPr>
      </w:pPr>
      <w:r>
        <w:rPr>
          <w:rFonts w:ascii="Arial" w:cs="Arial" w:eastAsia="Arial" w:hAnsi="Arial"/>
          <w:sz w:val="18"/>
          <w:szCs w:val="18"/>
          <w:color w:val="auto"/>
        </w:rPr>
        <w:t>•Pre-approve all auditing services and permitted non-audit services (including the fees and terms thereof) to be performed for the Company by its independent auditor and establish policies and procedures for the engagement of the independent auditor to provide auditing and permitted non-audit services.</w:t>
      </w:r>
    </w:p>
    <w:p>
      <w:pPr>
        <w:sectPr>
          <w:pgSz w:w="11900" w:h="16838" w:orient="portrait"/>
          <w:cols w:equalWidth="0" w:num="1">
            <w:col w:w="11420"/>
          </w:cols>
          <w:pgMar w:left="240" w:top="125" w:right="239" w:bottom="1440" w:gutter="0" w:footer="0" w:header="0"/>
        </w:sectPr>
      </w:pPr>
    </w:p>
    <w:bookmarkStart w:id="184" w:name="page185"/>
    <w:bookmarkEnd w:id="184"/>
    <w:p>
      <w:pPr>
        <w:ind w:left="446" w:right="40" w:hanging="446"/>
        <w:spacing w:after="0" w:line="256"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the annual audited financial statements and quarterly financial statements with management and the independent auditor. Also included in such review shall be significant issues and judgments regarding accounting and auditing principles and practices, and the effect of regulatory and accounting initiatives on the Company’s financial statements. The Committee shall recommend to the Board whether the financial statements should be included in the Form 10-K.</w:t>
      </w:r>
    </w:p>
    <w:p>
      <w:pPr>
        <w:spacing w:after="0" w:line="62"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discuss with management the Company’s quarterly earnings announcements and other public announcements regarding the Company’s results of operations.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Prepare any report required to be prepared by it for inclusion in the Company’s proxy statement under SEC rules and regulations.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approve all related party transactions.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Review major changes to the Company’s accounting and auditing principles and practices as suggested by management or the independent auditor.</w:t>
      </w:r>
    </w:p>
    <w:p>
      <w:pPr>
        <w:spacing w:after="0" w:line="124" w:lineRule="exact"/>
        <w:rPr>
          <w:rFonts w:ascii="Arial" w:cs="Arial" w:eastAsia="Arial" w:hAnsi="Arial"/>
          <w:sz w:val="15"/>
          <w:szCs w:val="15"/>
          <w:color w:val="auto"/>
        </w:rPr>
      </w:pPr>
    </w:p>
    <w:p>
      <w:pPr>
        <w:ind w:left="446" w:right="260" w:hanging="446"/>
        <w:spacing w:after="0" w:line="332" w:lineRule="auto"/>
        <w:tabs>
          <w:tab w:leader="none" w:pos="446" w:val="left"/>
        </w:tabs>
        <w:numPr>
          <w:ilvl w:val="0"/>
          <w:numId w:val="88"/>
        </w:numPr>
        <w:rPr>
          <w:rFonts w:ascii="Arial" w:cs="Arial" w:eastAsia="Arial" w:hAnsi="Arial"/>
          <w:sz w:val="16"/>
          <w:szCs w:val="16"/>
          <w:color w:val="auto"/>
        </w:rPr>
      </w:pPr>
      <w:r>
        <w:rPr>
          <w:rFonts w:ascii="Arial" w:cs="Arial" w:eastAsia="Arial" w:hAnsi="Arial"/>
          <w:sz w:val="16"/>
          <w:szCs w:val="16"/>
          <w:color w:val="auto"/>
        </w:rPr>
        <w:t>Meet periodically with management to review the Company’s major financial and business risk exposures and the steps management has taken to monitor and control such exposures, including the Company’s risk assessment and risk management policies.</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 the Company’s internal audit functions.</w:t>
      </w:r>
    </w:p>
    <w:p>
      <w:pPr>
        <w:spacing w:after="0" w:line="9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 and review, at least annually, a report by the independent auditor describing the independent auditor’s internal quality-control procedures, and any material issues raised by the most recent internal quality-control review, or peer review, or by any inquiry or investigation by governmental or professional authorities, within the preceding five years, respecting one or more independent audits carried out by the independent auditor, and any steps taken to deal with any such issues.</w:t>
      </w:r>
    </w:p>
    <w:p>
      <w:pPr>
        <w:spacing w:after="0" w:line="62"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Consider, at least annually, the independence of the independent auditor, and receive from and discuss with the independent auditor the auditor’s report regarding its independence.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Meet with the independent auditor prior to the audit to review the scope and planning of the audit.</w:t>
      </w:r>
    </w:p>
    <w:p>
      <w:pPr>
        <w:spacing w:after="0" w:line="9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with the independent auditor the results of the annual audit examination, and any issues the auditor may have encountered in the course of its audit work and management’s response. This review should include, among other things, any management letter, any restrictions on the scope of activities or access to required information.</w:t>
      </w:r>
    </w:p>
    <w:p>
      <w:pPr>
        <w:sectPr>
          <w:pgSz w:w="11900" w:h="16838" w:orient="portrait"/>
          <w:cols w:equalWidth="0" w:num="1">
            <w:col w:w="10926"/>
          </w:cols>
          <w:pgMar w:left="694" w:top="280" w:right="279" w:bottom="1440" w:gutter="0" w:footer="0" w:header="0"/>
        </w:sectPr>
      </w:pPr>
    </w:p>
    <w:bookmarkStart w:id="185" w:name="page186"/>
    <w:bookmarkEnd w:id="185"/>
    <w:p>
      <w:pPr>
        <w:ind w:left="446" w:right="140" w:hanging="446"/>
        <w:spacing w:after="0" w:line="268"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Discuss with management the Company’s earnings releases and corporate policies with respect to releases and financial information and earnings guidance provided to analysts and rating agencies.</w:t>
      </w:r>
    </w:p>
    <w:p>
      <w:pPr>
        <w:spacing w:after="0" w:line="5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Receive reports from the Company’s independent registered public accounting firm and management regarding, and review the adequacy and effectiveness of, the Company’s internal controls over financial reporting and significant changes in such controls reported to the Committee by the Company’s independent registered public accounting firm or management.</w:t>
      </w:r>
    </w:p>
    <w:p>
      <w:pPr>
        <w:spacing w:after="0" w:line="59"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Receive reports from the Company’s independent registered public accounting firm and management regarding, and review the adequacy and effectiveness of, the Company’s disclosure controls and procedures.</w:t>
      </w:r>
    </w:p>
    <w:p>
      <w:pPr>
        <w:spacing w:after="0" w:line="50" w:lineRule="exact"/>
        <w:rPr>
          <w:rFonts w:ascii="Arial" w:cs="Arial" w:eastAsia="Arial" w:hAnsi="Arial"/>
          <w:sz w:val="18"/>
          <w:szCs w:val="18"/>
          <w:color w:val="auto"/>
        </w:rPr>
      </w:pPr>
    </w:p>
    <w:p>
      <w:pPr>
        <w:ind w:left="446" w:right="460" w:hanging="446"/>
        <w:spacing w:after="0" w:line="268"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Ensure the rotation of the lead (or coordinating) audit partner having primary responsibility for the audit and the audit partner responsible for reviewing the audit as required by law.</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candidates for the positions of chief financial officer and controller of the Company.</w:t>
      </w:r>
    </w:p>
    <w:p>
      <w:pPr>
        <w:spacing w:after="0" w:line="90"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 policies for hiring employees and former employees of the independent auditor.</w:t>
      </w:r>
    </w:p>
    <w:p>
      <w:pPr>
        <w:spacing w:after="0" w:line="90"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Advise the Board with respect to the Company’s policies and procedures regarding compliance with applicable laws and regulations and with the Company’s policies for Code of Business Conduct and Conflict of Interests.</w:t>
      </w:r>
    </w:p>
    <w:p>
      <w:pPr>
        <w:spacing w:after="0" w:line="50" w:lineRule="exact"/>
        <w:rPr>
          <w:rFonts w:ascii="Arial" w:cs="Arial" w:eastAsia="Arial" w:hAnsi="Arial"/>
          <w:sz w:val="18"/>
          <w:szCs w:val="18"/>
          <w:color w:val="auto"/>
        </w:rPr>
      </w:pPr>
    </w:p>
    <w:p>
      <w:pPr>
        <w:ind w:left="446" w:right="240" w:hanging="446"/>
        <w:spacing w:after="0" w:line="305" w:lineRule="auto"/>
        <w:tabs>
          <w:tab w:leader="none" w:pos="446"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Review with the Company’s counsel and independent registered public accounting firm (1) legal matters that may have a material impact on the financial statements, (2) any fraud involving management or other employees who have a significant role in the Company’s internal controls,</w:t>
      </w:r>
    </w:p>
    <w:p>
      <w:pPr>
        <w:ind w:left="446" w:right="120"/>
        <w:spacing w:after="0" w:line="261" w:lineRule="auto"/>
        <w:rPr>
          <w:rFonts w:ascii="Arial" w:cs="Arial" w:eastAsia="Arial" w:hAnsi="Arial"/>
          <w:sz w:val="15"/>
          <w:szCs w:val="15"/>
          <w:color w:val="auto"/>
        </w:rPr>
      </w:pPr>
      <w:r>
        <w:rPr>
          <w:rFonts w:ascii="Arial" w:cs="Arial" w:eastAsia="Arial" w:hAnsi="Arial"/>
          <w:sz w:val="18"/>
          <w:szCs w:val="18"/>
          <w:color w:val="auto"/>
        </w:rPr>
        <w:t>(3) compliance policies, and (4) any material reports or inquires received from regulators, governmental agencies or employees that raise material issues regarding the Company’s financial statements and accounting or compliance policies.</w:t>
      </w:r>
    </w:p>
    <w:p>
      <w:pPr>
        <w:spacing w:after="0" w:line="56" w:lineRule="exact"/>
        <w:rPr>
          <w:rFonts w:ascii="Arial" w:cs="Arial" w:eastAsia="Arial" w:hAnsi="Arial"/>
          <w:sz w:val="15"/>
          <w:szCs w:val="15"/>
          <w:color w:val="auto"/>
        </w:rPr>
      </w:pPr>
    </w:p>
    <w:p>
      <w:pPr>
        <w:ind w:left="446" w:hanging="446"/>
        <w:spacing w:after="0"/>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this Charter annually and recommend any changes for approval by the Board.</w:t>
      </w:r>
    </w:p>
    <w:p>
      <w:pPr>
        <w:sectPr>
          <w:pgSz w:w="11900" w:h="16838" w:orient="portrait"/>
          <w:cols w:equalWidth="0" w:num="1">
            <w:col w:w="10806"/>
          </w:cols>
          <w:pgMar w:left="694" w:top="280" w:right="399" w:bottom="1440" w:gutter="0" w:footer="0" w:header="0"/>
        </w:sectPr>
      </w:pPr>
    </w:p>
    <w:bookmarkStart w:id="186" w:name="page187"/>
    <w:bookmarkEnd w:id="186"/>
    <w:p>
      <w:pPr>
        <w:ind w:left="892" w:hanging="446"/>
        <w:spacing w:after="0"/>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the Committee’s own performance annually.</w:t>
      </w:r>
    </w:p>
    <w:p>
      <w:pPr>
        <w:spacing w:after="0" w:line="90" w:lineRule="exact"/>
        <w:rPr>
          <w:rFonts w:ascii="Arial" w:cs="Arial" w:eastAsia="Arial" w:hAnsi="Arial"/>
          <w:sz w:val="18"/>
          <w:szCs w:val="18"/>
          <w:color w:val="auto"/>
        </w:rPr>
      </w:pPr>
    </w:p>
    <w:p>
      <w:pPr>
        <w:ind w:left="892" w:right="560" w:hanging="446"/>
        <w:spacing w:after="0" w:line="268"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Consider such other matters in relation to the financial affairs of the Company, its accounts and the independent audit of the Company, as the Committee may, in its discretion, determine to be advisable.</w:t>
      </w:r>
    </w:p>
    <w:p>
      <w:pPr>
        <w:spacing w:after="0" w:line="50"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meet at least four times per year, either in person or telephonically, and at such times and places as the Committee shall determine. At each such regularly scheduled meeting, the Committee shall meet in separate executive sessions with the Company’s executive management, the Company’s independent auditor and the Committee itself. Minutes shall be kept of each meeting of the Committee. The Chairman of the Committee shall report to the Board following meetings of the Committee and as otherwise requested by the Chairman of the Board.</w:t>
      </w:r>
    </w:p>
    <w:p>
      <w:pPr>
        <w:spacing w:after="0" w:line="31" w:lineRule="exact"/>
        <w:rPr>
          <w:rFonts w:ascii="Arial" w:cs="Arial" w:eastAsia="Arial" w:hAnsi="Arial"/>
          <w:sz w:val="16"/>
          <w:szCs w:val="16"/>
          <w:color w:val="auto"/>
        </w:rPr>
      </w:pPr>
    </w:p>
    <w:p>
      <w:pPr>
        <w:ind w:left="452" w:right="160" w:hanging="452"/>
        <w:spacing w:after="0" w:line="294" w:lineRule="auto"/>
        <w:tabs>
          <w:tab w:leader="none" w:pos="45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Outside Advisors</w:t>
      </w:r>
      <w:r>
        <w:rPr>
          <w:rFonts w:ascii="Arial" w:cs="Arial" w:eastAsia="Arial" w:hAnsi="Arial"/>
          <w:sz w:val="16"/>
          <w:szCs w:val="16"/>
          <w:color w:val="auto"/>
        </w:rPr>
        <w:t>. The Committee shall have the authority to retain such outside legal, accounting or other consultants or advisors as it determines appropriate to assist it in the performance of its functions, or to advise or inform the Committee. The Committee may also meet with investment bankers and financial analysts. The Committee may request any officer or employee of the Company or the Company’s outside counsel or independent auditor to attend a meeting of the Committee or to meet with any member of, or consultants to, the Company. The Company shall provide for payment of compensation to the independent auditor and to any advisors retained by the Committee.</w:t>
      </w:r>
    </w:p>
    <w:p>
      <w:pPr>
        <w:spacing w:after="0" w:line="34" w:lineRule="exact"/>
        <w:rPr>
          <w:rFonts w:ascii="Arial" w:cs="Arial" w:eastAsia="Arial" w:hAnsi="Arial"/>
          <w:sz w:val="16"/>
          <w:szCs w:val="16"/>
          <w:color w:val="auto"/>
        </w:rPr>
      </w:pPr>
    </w:p>
    <w:p>
      <w:pPr>
        <w:ind w:left="452" w:hanging="452"/>
        <w:spacing w:after="0" w:line="306" w:lineRule="auto"/>
        <w:tabs>
          <w:tab w:leader="none" w:pos="45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The Committee is responsible for the duties set forth in this Charter, but is not responsible for the preparation of the financial statements or the auditing of thereof. Management has the responsibility for preparing the financial statements and implementing internal controls and the independent auditor has the responsibility for auditing the financial statements and monitoring the effectiveness of the internal controls.</w:t>
      </w:r>
    </w:p>
    <w:p>
      <w:pPr>
        <w:spacing w:after="0" w:line="25" w:lineRule="exact"/>
        <w:rPr>
          <w:rFonts w:ascii="Arial" w:cs="Arial" w:eastAsia="Arial" w:hAnsi="Arial"/>
          <w:sz w:val="16"/>
          <w:szCs w:val="16"/>
          <w:color w:val="auto"/>
        </w:rPr>
      </w:pPr>
    </w:p>
    <w:p>
      <w:pPr>
        <w:jc w:val="both"/>
        <w:ind w:left="452" w:right="220" w:hanging="452"/>
        <w:spacing w:after="0" w:line="259" w:lineRule="auto"/>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Investigations</w:t>
      </w:r>
      <w:r>
        <w:rPr>
          <w:rFonts w:ascii="Arial" w:cs="Arial" w:eastAsia="Arial" w:hAnsi="Arial"/>
          <w:sz w:val="18"/>
          <w:szCs w:val="18"/>
          <w:color w:val="auto"/>
        </w:rPr>
        <w:t>. The Committee shall have the authority to conduct or authorize investigations into any matter within the scope of its responsibilities as it shall deem appropriate, including the authority to request any officer, employee or advisor of the Company to meet with the Committee or any advisors engaged by the Committee.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Any amendment or other modification of this Charter shall be made and approved by the Board of the Company.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Disclosure of Charter</w:t>
      </w:r>
      <w:r>
        <w:rPr>
          <w:rFonts w:ascii="Arial" w:cs="Arial" w:eastAsia="Arial" w:hAnsi="Arial"/>
          <w:sz w:val="18"/>
          <w:szCs w:val="18"/>
          <w:color w:val="auto"/>
        </w:rPr>
        <w:t>. This Charter, as amended from time to time, shall be made available to the public on the Company’s website.</w:t>
      </w:r>
    </w:p>
    <w:p>
      <w:pPr>
        <w:sectPr>
          <w:pgSz w:w="11900" w:h="16838" w:orient="portrait"/>
          <w:cols w:equalWidth="0" w:num="1">
            <w:col w:w="11352"/>
          </w:cols>
          <w:pgMar w:left="248" w:top="280" w:right="2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17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The following Compensation Committee Charter (the “</w:t>
      </w:r>
      <w:r>
        <w:rPr>
          <w:rFonts w:ascii="Arial" w:cs="Arial" w:eastAsia="Arial" w:hAnsi="Arial"/>
          <w:sz w:val="18"/>
          <w:szCs w:val="18"/>
          <w:b w:val="1"/>
          <w:bCs w:val="1"/>
          <w:color w:val="auto"/>
        </w:rPr>
        <w:t>Charter</w:t>
      </w:r>
      <w:r>
        <w:rPr>
          <w:rFonts w:ascii="Arial" w:cs="Arial" w:eastAsia="Arial" w:hAnsi="Arial"/>
          <w:sz w:val="18"/>
          <w:szCs w:val="18"/>
          <w:color w:val="auto"/>
        </w:rPr>
        <w:t>”) was adopted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9" w:lineRule="exact"/>
        <w:rPr>
          <w:sz w:val="20"/>
          <w:szCs w:val="20"/>
          <w:color w:val="auto"/>
        </w:rPr>
      </w:pPr>
    </w:p>
    <w:p>
      <w:pPr>
        <w:ind w:left="460" w:hanging="452"/>
        <w:spacing w:after="0" w:line="291"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Members</w:t>
      </w:r>
      <w:r>
        <w:rPr>
          <w:rFonts w:ascii="Arial" w:cs="Arial" w:eastAsia="Arial" w:hAnsi="Arial"/>
          <w:sz w:val="16"/>
          <w:szCs w:val="16"/>
          <w:color w:val="auto"/>
        </w:rPr>
        <w:t>. The Board shall appoint the members of the Compensation Committee (the “</w:t>
      </w:r>
      <w:r>
        <w:rPr>
          <w:rFonts w:ascii="Arial" w:cs="Arial" w:eastAsia="Arial" w:hAnsi="Arial"/>
          <w:sz w:val="16"/>
          <w:szCs w:val="16"/>
          <w:b w:val="1"/>
          <w:bCs w:val="1"/>
          <w:color w:val="auto"/>
        </w:rPr>
        <w:t>Committee</w:t>
      </w:r>
      <w:r>
        <w:rPr>
          <w:rFonts w:ascii="Arial" w:cs="Arial" w:eastAsia="Arial" w:hAnsi="Arial"/>
          <w:sz w:val="16"/>
          <w:szCs w:val="16"/>
          <w:color w:val="auto"/>
        </w:rPr>
        <w:t>”). The Committee shall be comprised of at least two “independent” directors of the Board who shall also satisfy such other criteria imposed on members of the Committee pursuant to the federal securities laws and the rules and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NASDAQ Stock Market (or any exchange or national listing market system upon which the Company’s securities are listed or quoted for trading) (“</w:t>
      </w:r>
      <w:r>
        <w:rPr>
          <w:rFonts w:ascii="Arial" w:cs="Arial" w:eastAsia="Arial" w:hAnsi="Arial"/>
          <w:sz w:val="16"/>
          <w:szCs w:val="16"/>
          <w:b w:val="1"/>
          <w:bCs w:val="1"/>
          <w:color w:val="auto"/>
        </w:rPr>
        <w:t>NASDAQ</w:t>
      </w:r>
      <w:r>
        <w:rPr>
          <w:rFonts w:ascii="Arial" w:cs="Arial" w:eastAsia="Arial" w:hAnsi="Arial"/>
          <w:sz w:val="16"/>
          <w:szCs w:val="16"/>
          <w:color w:val="auto"/>
        </w:rPr>
        <w:t>”). The term “independent director” means a director who meets the definition of “independence” under the rules and regulations of the SEC and NASDAQ. The Committee and its members shall be subject to the provisions of the Company’s Bylaws relating to members and filling vacancies. Unless the Board elects a Chair of the Committee, the Committee shall elect a Chair by majority vote.</w:t>
      </w:r>
    </w:p>
    <w:p>
      <w:pPr>
        <w:spacing w:after="0" w:line="38" w:lineRule="exact"/>
        <w:rPr>
          <w:rFonts w:ascii="Arial" w:cs="Arial" w:eastAsia="Arial" w:hAnsi="Arial"/>
          <w:sz w:val="16"/>
          <w:szCs w:val="16"/>
          <w:color w:val="auto"/>
        </w:rPr>
      </w:pPr>
    </w:p>
    <w:p>
      <w:pPr>
        <w:ind w:left="460" w:right="220" w:hanging="452"/>
        <w:spacing w:after="0" w:line="294"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Committee is to assist the Board in (a) discharging its responsibilities for approving and evaluating the officer compensation plans, policies and programs of the Company, (b) reviewing and recommending to the Board regarding compensation to be provided to the Company’s employees and directors, and (c) administering the equity compensation plans of the Company. The Committee shall ensure that the Company’s compensation programs are competitive, designed to attract and retain highly qualified directors, officers and employees, encourage high performance, promote accountability and assure that employee interests are aligned with the interests of the Company’s stockholders.</w:t>
      </w:r>
    </w:p>
    <w:p>
      <w:pPr>
        <w:spacing w:after="0" w:line="34"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On behalf of the Board, the Committee shall, among its duties and responsibilities as may be delegated to the Committee by the Board, and in addition to any duties and responsibilities imparted to the Committee by the SEC, the listing standards of NASDAQ or any other applicable laws or regulations:</w:t>
      </w:r>
    </w:p>
    <w:p>
      <w:pPr>
        <w:spacing w:after="0" w:line="53" w:lineRule="exact"/>
        <w:rPr>
          <w:rFonts w:ascii="Arial" w:cs="Arial" w:eastAsia="Arial" w:hAnsi="Arial"/>
          <w:sz w:val="18"/>
          <w:szCs w:val="18"/>
          <w:color w:val="auto"/>
        </w:rPr>
      </w:pPr>
    </w:p>
    <w:p>
      <w:pPr>
        <w:ind w:left="900" w:hanging="32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Determine in executive session the compensation for the Company’s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18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Review and determine the compensation of the executive officers of the Company other than the CEO based upon the recommendation of the CEO and such other customary factors that the Committee deems necessary or appropriate.</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Recommend awards to be granted to executive officers of the Company under the Company’s equity plans and other compensation or benefit plans as approved by the Board or the Committee.</w:t>
      </w:r>
    </w:p>
    <w:p>
      <w:pPr>
        <w:sectPr>
          <w:pgSz w:w="11900" w:h="16838" w:orient="portrait"/>
          <w:cols w:equalWidth="0" w:num="1">
            <w:col w:w="11420"/>
          </w:cols>
          <w:pgMar w:left="240" w:top="125" w:right="239" w:bottom="1440" w:gutter="0" w:footer="0" w:header="0"/>
        </w:sectPr>
      </w:pPr>
    </w:p>
    <w:bookmarkStart w:id="188" w:name="page189"/>
    <w:bookmarkEnd w:id="188"/>
    <w:p>
      <w:pPr>
        <w:ind w:left="892" w:right="20" w:hanging="325"/>
        <w:spacing w:after="0" w:line="259"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 the overall amount or percentage of plan awards to be granted to all Company employees and delegate to the Company’s executive management the right and power to specifically grant such awards to each Company employee within the aggregate limits and parameters set by the Committee.</w:t>
      </w:r>
    </w:p>
    <w:p>
      <w:pPr>
        <w:spacing w:after="0" w:line="59"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and evaluate the performance of the CEO and the other officers of the Company;</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and approve the design of other benefit plans pertaining to executives and employees of the Company.</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Approve such reports on compensation as are necessary for filing with the SEC and other government bodies.</w:t>
      </w:r>
    </w:p>
    <w:p>
      <w:pPr>
        <w:spacing w:after="0" w:line="90" w:lineRule="exact"/>
        <w:rPr>
          <w:rFonts w:ascii="Arial" w:cs="Arial" w:eastAsia="Arial" w:hAnsi="Arial"/>
          <w:sz w:val="18"/>
          <w:szCs w:val="18"/>
          <w:color w:val="auto"/>
        </w:rPr>
      </w:pPr>
    </w:p>
    <w:p>
      <w:pPr>
        <w:ind w:left="892" w:right="600" w:hanging="325"/>
        <w:spacing w:after="0" w:line="268"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recommend to the Board, and administer all plans that require “disinterested administration” under Rule 16b-3 under the Securities Exchange Act of 1934, as amended.</w:t>
      </w:r>
    </w:p>
    <w:p>
      <w:pPr>
        <w:spacing w:after="0" w:line="50" w:lineRule="exact"/>
        <w:rPr>
          <w:rFonts w:ascii="Arial" w:cs="Arial" w:eastAsia="Arial" w:hAnsi="Arial"/>
          <w:sz w:val="18"/>
          <w:szCs w:val="18"/>
          <w:color w:val="auto"/>
        </w:rPr>
      </w:pPr>
    </w:p>
    <w:p>
      <w:pPr>
        <w:ind w:left="892" w:right="160" w:hanging="325"/>
        <w:spacing w:after="0" w:line="268"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Approve the amendment or modification of any compensation or benefit plan pertaining to executives or employees of the Company that does not require stockholder approval.</w:t>
      </w:r>
    </w:p>
    <w:p>
      <w:pPr>
        <w:spacing w:after="0" w:line="5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and recommend to the Board changes to the compensation of the Company’s independent directors.</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5"/>
          <w:szCs w:val="15"/>
          <w:color w:val="auto"/>
        </w:rPr>
      </w:pPr>
      <w:r>
        <w:rPr>
          <w:rFonts w:ascii="Arial" w:cs="Arial" w:eastAsia="Arial" w:hAnsi="Arial"/>
          <w:sz w:val="15"/>
          <w:szCs w:val="15"/>
          <w:color w:val="auto"/>
        </w:rPr>
        <w:t>Retain outside consultants and obtain assistance from members of management as the Committee deems appropriate in the exercise of its authority.</w:t>
      </w:r>
    </w:p>
    <w:p>
      <w:pPr>
        <w:spacing w:after="0" w:line="124" w:lineRule="exact"/>
        <w:rPr>
          <w:rFonts w:ascii="Arial" w:cs="Arial" w:eastAsia="Arial" w:hAnsi="Arial"/>
          <w:sz w:val="15"/>
          <w:szCs w:val="15"/>
          <w:color w:val="auto"/>
        </w:rPr>
      </w:pPr>
    </w:p>
    <w:p>
      <w:pPr>
        <w:ind w:left="892" w:right="620" w:hanging="325"/>
        <w:spacing w:after="0" w:line="268"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reports and recommendations to the Board within the scope of its functions and advise the officers of the Company regarding various personnel matters.</w:t>
      </w:r>
    </w:p>
    <w:p>
      <w:pPr>
        <w:spacing w:after="0" w:line="50" w:lineRule="exact"/>
        <w:rPr>
          <w:rFonts w:ascii="Arial" w:cs="Arial" w:eastAsia="Arial" w:hAnsi="Arial"/>
          <w:sz w:val="18"/>
          <w:szCs w:val="18"/>
          <w:color w:val="auto"/>
        </w:rPr>
      </w:pPr>
    </w:p>
    <w:p>
      <w:pPr>
        <w:ind w:left="892" w:right="460" w:hanging="325"/>
        <w:spacing w:after="0" w:line="268"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Approve all special perquisites, special cash payments and other special compensation and benefit arrangements for the Company’s executive officers and employees.</w:t>
      </w:r>
    </w:p>
    <w:p>
      <w:pPr>
        <w:spacing w:after="0" w:line="5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color w:val="auto"/>
        </w:rPr>
        <w:t>Review the form, terms and provisions of employment and similar agreements with the Company’s executive officers and any amendments thereto.</w:t>
      </w:r>
    </w:p>
    <w:p>
      <w:pPr>
        <w:spacing w:after="0" w:line="113" w:lineRule="exact"/>
        <w:rPr>
          <w:rFonts w:ascii="Arial" w:cs="Arial" w:eastAsia="Arial" w:hAnsi="Arial"/>
          <w:sz w:val="16"/>
          <w:szCs w:val="16"/>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at least annually, the compensation philosophy of the Company.</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 this Charter from time to time and recommend any changes thereto to the Board.</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will meet as often as it deems necessary or appropriate, in its judgment, either in person or telephonically, and at such times and places as the Committee members determine. Face to face meetings shall be encouraged at least twice</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80" w:right="339" w:bottom="1440" w:gutter="0" w:footer="0" w:header="0"/>
        </w:sectPr>
      </w:pPr>
    </w:p>
    <w:bookmarkStart w:id="189" w:name="page190"/>
    <w:bookmarkEnd w:id="189"/>
    <w:p>
      <w:pPr>
        <w:ind w:left="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year. The majority of the members of the Committee constitutes a quorum and shall be empowered to act on behalf of the Committee. Minutes will be kept of each meeting of the Committee. The Chairman of the Committee shall report to the Board following meetings of the Committee and as otherwise requested by the Chairman of the Board.</w:t>
      </w:r>
    </w:p>
    <w:p>
      <w:pPr>
        <w:spacing w:after="0" w:line="59" w:lineRule="exact"/>
        <w:rPr>
          <w:sz w:val="20"/>
          <w:szCs w:val="20"/>
          <w:color w:val="auto"/>
        </w:rPr>
      </w:pPr>
    </w:p>
    <w:p>
      <w:pPr>
        <w:ind w:left="452" w:right="160" w:hanging="452"/>
        <w:spacing w:after="0" w:line="255" w:lineRule="auto"/>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Outside Advisors</w:t>
      </w:r>
      <w:r>
        <w:rPr>
          <w:rFonts w:ascii="Arial" w:cs="Arial" w:eastAsia="Arial" w:hAnsi="Arial"/>
          <w:sz w:val="18"/>
          <w:szCs w:val="18"/>
          <w:color w:val="auto"/>
        </w:rPr>
        <w:t>. The Committee shall have the authority to retain such outside legal, accounting or other consultants or advisors as it determines appropriate to assist it in the performance of its functions, or to advise or inform the Committee. The Committee may also meet with investment bankers and financial analysts. The Committee may request any officer or employee of the Company or the Company’s outside counsel or independent auditor to attend a meeting of the Committee or to meet with any member of, or consultants to, the Company. The Company shall provide for payment of compensation to any advisors retained by the Committee.</w:t>
      </w:r>
    </w:p>
    <w:p>
      <w:pPr>
        <w:spacing w:after="0" w:line="61"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Any amendment or other modification of this Charter shall be made and approved by the Board of the Company.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Disclosure of Charter</w:t>
      </w:r>
      <w:r>
        <w:rPr>
          <w:rFonts w:ascii="Arial" w:cs="Arial" w:eastAsia="Arial" w:hAnsi="Arial"/>
          <w:sz w:val="18"/>
          <w:szCs w:val="18"/>
          <w:color w:val="auto"/>
        </w:rPr>
        <w:t>. This Charter, as amended from time to time, shall be made available to the public on the Company’s website.</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The following Nominating and Corporate Governance Committee Charter (the “</w:t>
      </w:r>
      <w:r>
        <w:rPr>
          <w:rFonts w:ascii="Arial" w:cs="Arial" w:eastAsia="Arial" w:hAnsi="Arial"/>
          <w:sz w:val="18"/>
          <w:szCs w:val="18"/>
          <w:b w:val="1"/>
          <w:bCs w:val="1"/>
          <w:color w:val="auto"/>
        </w:rPr>
        <w:t>Charter</w:t>
      </w:r>
      <w:r>
        <w:rPr>
          <w:rFonts w:ascii="Arial" w:cs="Arial" w:eastAsia="Arial" w:hAnsi="Arial"/>
          <w:sz w:val="18"/>
          <w:szCs w:val="18"/>
          <w:color w:val="auto"/>
        </w:rPr>
        <w:t>”) was adopted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9" w:lineRule="exact"/>
        <w:rPr>
          <w:sz w:val="20"/>
          <w:szCs w:val="20"/>
          <w:color w:val="auto"/>
        </w:rPr>
      </w:pPr>
    </w:p>
    <w:p>
      <w:pPr>
        <w:ind w:left="460" w:right="120" w:hanging="452"/>
        <w:spacing w:after="0" w:line="29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Members</w:t>
      </w:r>
      <w:r>
        <w:rPr>
          <w:rFonts w:ascii="Arial" w:cs="Arial" w:eastAsia="Arial" w:hAnsi="Arial"/>
          <w:sz w:val="16"/>
          <w:szCs w:val="16"/>
          <w:color w:val="auto"/>
        </w:rPr>
        <w:t>. The Board shall appoint the members of the Nominating and Corporate Governance Committee (the “</w:t>
      </w:r>
      <w:r>
        <w:rPr>
          <w:rFonts w:ascii="Arial" w:cs="Arial" w:eastAsia="Arial" w:hAnsi="Arial"/>
          <w:sz w:val="16"/>
          <w:szCs w:val="16"/>
          <w:b w:val="1"/>
          <w:bCs w:val="1"/>
          <w:color w:val="auto"/>
        </w:rPr>
        <w:t>Committee</w:t>
      </w:r>
      <w:r>
        <w:rPr>
          <w:rFonts w:ascii="Arial" w:cs="Arial" w:eastAsia="Arial" w:hAnsi="Arial"/>
          <w:sz w:val="16"/>
          <w:szCs w:val="16"/>
          <w:color w:val="auto"/>
        </w:rPr>
        <w:t>”). The Committee shall be comprised of at least two independent directors of the Board who shall also satisfy such other criteria imposed on members of the Committee pursuant to the federal securities laws and the rules and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NASDAQ Stock Market (or any exchange or national listing market system upon which the Company’s securities are listed or quoted for trading) (“</w:t>
      </w:r>
      <w:r>
        <w:rPr>
          <w:rFonts w:ascii="Arial" w:cs="Arial" w:eastAsia="Arial" w:hAnsi="Arial"/>
          <w:sz w:val="16"/>
          <w:szCs w:val="16"/>
          <w:b w:val="1"/>
          <w:bCs w:val="1"/>
          <w:color w:val="auto"/>
        </w:rPr>
        <w:t>NASDAQ</w:t>
      </w:r>
      <w:r>
        <w:rPr>
          <w:rFonts w:ascii="Arial" w:cs="Arial" w:eastAsia="Arial" w:hAnsi="Arial"/>
          <w:sz w:val="16"/>
          <w:szCs w:val="16"/>
          <w:color w:val="auto"/>
        </w:rPr>
        <w:t>”). The term “independent director” means a director who meets the definition of “independence” under the rules and regulations of the SEC and NASDAQ. The Committee and its members shall be subject to the provisions of the Company’s Bylaws relating to members and filling vacancies. Unless the Board elects a Chairman of the Committee, the Committee shall elect a Chairman by majority vote.</w:t>
      </w:r>
    </w:p>
    <w:p>
      <w:pPr>
        <w:spacing w:after="0" w:line="38" w:lineRule="exact"/>
        <w:rPr>
          <w:rFonts w:ascii="Arial" w:cs="Arial" w:eastAsia="Arial" w:hAnsi="Arial"/>
          <w:sz w:val="16"/>
          <w:szCs w:val="16"/>
          <w:color w:val="auto"/>
        </w:rPr>
      </w:pPr>
    </w:p>
    <w:p>
      <w:pPr>
        <w:ind w:left="460" w:right="18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Committee is to assist the Board in: (i) identifying, screening and recommending qualified candidates to serve as directors of the Company and (ii) maintaining oversight of the Board’s and the Company’s governance functions and effectiveness.</w:t>
      </w:r>
    </w:p>
    <w:p>
      <w:pPr>
        <w:spacing w:after="0" w:line="4"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On behalf of the Board, the Committee shall, among its duties and responsibilities as may be delegated to the Committee by the Board, and in addition to any duties and responsibilities imparted to the Committee by the SEC, the listing standards of NASDAQ or any other applicable laws or regulations: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Nomination Matters</w:t>
      </w:r>
    </w:p>
    <w:p>
      <w:pPr>
        <w:spacing w:after="0" w:line="90" w:lineRule="exact"/>
        <w:rPr>
          <w:sz w:val="20"/>
          <w:szCs w:val="20"/>
          <w:color w:val="auto"/>
        </w:rPr>
      </w:pPr>
    </w:p>
    <w:p>
      <w:pPr>
        <w:ind w:left="900" w:right="140" w:hanging="446"/>
        <w:spacing w:after="0" w:line="298"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Recommend to the Board candidates for election or reelection to the Board at each annual meeting of stockholders of the Company or any other meeting of Company stockholders where the election of directors is to be considered. Nominees for director shall be selected on the basis of experience, integrity, ability to make independent analytical inquiries, understanding of the Company’s business environment, willingness to devote adequate time to Board duties and such other specific criteria as may be established by the Committee from time to time.</w:t>
      </w:r>
    </w:p>
    <w:p>
      <w:pPr>
        <w:spacing w:after="0" w:line="31"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Recommend to the Board candidates for election by the Board to fill vacancies occurring on the Board. Candidates for Board nomination shall submit credentials and listing of affiliations to assure that they meet the requirements of the selection criteria established by the Committee from time to time. Such credentials and affiliations shall be reviewed by the Committee and the Board as a part of the nomination process.</w:t>
      </w:r>
    </w:p>
    <w:p>
      <w:pPr>
        <w:sectPr>
          <w:pgSz w:w="11900" w:h="16838" w:orient="portrait"/>
          <w:cols w:equalWidth="0" w:num="1">
            <w:col w:w="11420"/>
          </w:cols>
          <w:pgMar w:left="240" w:top="125" w:right="239" w:bottom="1440" w:gutter="0" w:footer="0" w:header="0"/>
        </w:sectPr>
      </w:pPr>
    </w:p>
    <w:bookmarkStart w:id="191" w:name="page192"/>
    <w:bookmarkEnd w:id="191"/>
    <w:p>
      <w:pPr>
        <w:ind w:left="446" w:right="200" w:hanging="446"/>
        <w:spacing w:after="0" w:line="268" w:lineRule="auto"/>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 stockholders’ nominees in accordance with applicable rules and regulations and develop procedures regarding the nomination process as required by the federal securities laws and the rules and regulations of the SEC and NASDAQ.</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Make recommendations to the Board concerning the selection criteria to be used by the Committee in seeking nominees for election to the Board.</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Aid in attracting qualified candidates to serve on the Board and interview and otherwise assist in the screening of such candidates.</w:t>
      </w:r>
    </w:p>
    <w:p>
      <w:pPr>
        <w:spacing w:after="0" w:line="90" w:lineRule="exact"/>
        <w:rPr>
          <w:rFonts w:ascii="Arial" w:cs="Arial" w:eastAsia="Arial" w:hAnsi="Arial"/>
          <w:sz w:val="18"/>
          <w:szCs w:val="18"/>
          <w:color w:val="auto"/>
        </w:rPr>
      </w:pPr>
    </w:p>
    <w:p>
      <w:pPr>
        <w:ind w:left="446" w:right="100" w:hanging="446"/>
        <w:spacing w:after="0" w:line="332" w:lineRule="auto"/>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Evaluate and make recommendations to the Board concerning the structure, composition and functioning of the Board and all Board committees. In addition, evaluate Board effectiveness, the mix of director experience, personalities and other characteristics needed to balance the Board.</w:t>
      </w:r>
    </w:p>
    <w:p>
      <w:pPr>
        <w:spacing w:after="0" w:line="4" w:lineRule="exact"/>
        <w:rPr>
          <w:sz w:val="20"/>
          <w:szCs w:val="20"/>
          <w:color w:val="auto"/>
        </w:rPr>
      </w:pPr>
    </w:p>
    <w:p>
      <w:pPr>
        <w:ind w:left="446" w:hanging="446"/>
        <w:spacing w:after="0"/>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Corporate Governance Matters</w:t>
      </w:r>
    </w:p>
    <w:p>
      <w:pPr>
        <w:spacing w:after="0" w:line="90" w:lineRule="exact"/>
        <w:rPr>
          <w:sz w:val="20"/>
          <w:szCs w:val="20"/>
          <w:color w:val="auto"/>
        </w:rPr>
      </w:pPr>
    </w:p>
    <w:p>
      <w:pPr>
        <w:ind w:left="446" w:right="300" w:hanging="446"/>
        <w:spacing w:after="0" w:line="259"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 and recommend to the Board from time to time corporate governance guidelines applicable to the Company. The Committee shall, from time to time as it deems appropriate, review and reassess the adequacy of such guidelines and recommend and propose changes to the Board for approval.</w:t>
      </w:r>
    </w:p>
    <w:p>
      <w:pPr>
        <w:spacing w:after="0" w:line="59"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Review any issues relating to conflicts of interests and (in conjunction with the Audit Committee of the Board as necessary or appropriate) all related party transactions in accordance with SEC and NASDAQ requirements and general best corporate practices, and report the same to the Board.</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Board make-up from time to time as appropriate.</w:t>
      </w:r>
    </w:p>
    <w:p>
      <w:pPr>
        <w:spacing w:after="0" w:line="90" w:lineRule="exact"/>
        <w:rPr>
          <w:rFonts w:ascii="Arial" w:cs="Arial" w:eastAsia="Arial" w:hAnsi="Arial"/>
          <w:sz w:val="18"/>
          <w:szCs w:val="18"/>
          <w:color w:val="auto"/>
        </w:rPr>
      </w:pPr>
    </w:p>
    <w:p>
      <w:pPr>
        <w:ind w:left="1026" w:right="160" w:hanging="567"/>
        <w:spacing w:after="0" w:line="259" w:lineRule="auto"/>
        <w:tabs>
          <w:tab w:leader="none" w:pos="10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For so long as the Company’s securities are listed on NASDAQ or any other national exchange or for as long as the Company is otherwise required to do so, the Board shall have a majority of independent directors, pursuant to the rules and regulations of the NASDAQ or such other national exchange, as applicable.</w:t>
      </w:r>
    </w:p>
    <w:p>
      <w:pPr>
        <w:spacing w:after="0" w:line="59" w:lineRule="exact"/>
        <w:rPr>
          <w:rFonts w:ascii="Arial" w:cs="Arial" w:eastAsia="Arial" w:hAnsi="Arial"/>
          <w:sz w:val="18"/>
          <w:szCs w:val="18"/>
          <w:color w:val="auto"/>
        </w:rPr>
      </w:pPr>
    </w:p>
    <w:p>
      <w:pPr>
        <w:ind w:left="1026" w:right="60" w:hanging="567"/>
        <w:spacing w:after="0" w:line="306" w:lineRule="auto"/>
        <w:tabs>
          <w:tab w:leader="none" w:pos="1026"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Independent directors should not, if at all possible, and all director candidates should have no, material financial, economic or other ties to any member of Company management or the Board or be a member of a board of, or otherwise be associated with, an entity whose interests conflict with the interests of the Company or an entity which is a related party (a “</w:t>
      </w:r>
      <w:r>
        <w:rPr>
          <w:rFonts w:ascii="Arial" w:cs="Arial" w:eastAsia="Arial" w:hAnsi="Arial"/>
          <w:sz w:val="16"/>
          <w:szCs w:val="16"/>
          <w:b w:val="1"/>
          <w:bCs w:val="1"/>
          <w:color w:val="auto"/>
        </w:rPr>
        <w:t>Conflicting Board</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1026" w:hanging="567"/>
        <w:spacing w:after="0"/>
        <w:tabs>
          <w:tab w:leader="none" w:pos="1026" w:val="left"/>
        </w:tabs>
        <w:numPr>
          <w:ilvl w:val="1"/>
          <w:numId w:val="98"/>
        </w:numPr>
        <w:rPr>
          <w:rFonts w:ascii="Arial" w:cs="Arial" w:eastAsia="Arial" w:hAnsi="Arial"/>
          <w:sz w:val="16"/>
          <w:szCs w:val="16"/>
          <w:color w:val="auto"/>
        </w:rPr>
      </w:pPr>
      <w:r>
        <w:rPr>
          <w:rFonts w:ascii="Arial" w:cs="Arial" w:eastAsia="Arial" w:hAnsi="Arial"/>
          <w:sz w:val="16"/>
          <w:szCs w:val="16"/>
          <w:color w:val="auto"/>
        </w:rPr>
        <w:t>Board members should have appropriate and complimentary skill sets to provide needed guidance to company operations and planning.</w:t>
      </w:r>
    </w:p>
    <w:p>
      <w:pPr>
        <w:spacing w:after="0" w:line="18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6"/>
          </w:cols>
          <w:pgMar w:left="694" w:top="280" w:right="279" w:bottom="1440" w:gutter="0" w:footer="0" w:header="0"/>
        </w:sectPr>
      </w:pPr>
    </w:p>
    <w:bookmarkStart w:id="192" w:name="page193"/>
    <w:bookmarkEnd w:id="192"/>
    <w:p>
      <w:pPr>
        <w:ind w:left="1026" w:right="300" w:hanging="567"/>
        <w:spacing w:after="0" w:line="268" w:lineRule="auto"/>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shall review and evaluate the performance of incumbent directors whose term of office is scheduled to expire at the next annual meeting of shareholders in order to:</w:t>
      </w:r>
    </w:p>
    <w:p>
      <w:pPr>
        <w:spacing w:after="0" w:line="50"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6"/>
          <w:szCs w:val="16"/>
          <w:color w:val="auto"/>
        </w:rPr>
      </w:pPr>
      <w:r>
        <w:rPr>
          <w:rFonts w:ascii="Arial" w:cs="Arial" w:eastAsia="Arial" w:hAnsi="Arial"/>
          <w:sz w:val="16"/>
          <w:szCs w:val="16"/>
          <w:color w:val="auto"/>
        </w:rPr>
        <w:t>Solicit input from such incumbent director with respect to his or her desire and availability to continue his or her service as a director.</w:t>
      </w:r>
    </w:p>
    <w:p>
      <w:pPr>
        <w:spacing w:after="0" w:line="113" w:lineRule="exact"/>
        <w:rPr>
          <w:rFonts w:ascii="Arial" w:cs="Arial" w:eastAsia="Arial" w:hAnsi="Arial"/>
          <w:sz w:val="16"/>
          <w:szCs w:val="16"/>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Evaluate the participation, attendance and contribution of such incumbent director in Board and committee meetings.</w:t>
      </w:r>
    </w:p>
    <w:p>
      <w:pPr>
        <w:spacing w:after="0" w:line="90" w:lineRule="exact"/>
        <w:rPr>
          <w:rFonts w:ascii="Arial" w:cs="Arial" w:eastAsia="Arial" w:hAnsi="Arial"/>
          <w:sz w:val="18"/>
          <w:szCs w:val="18"/>
          <w:color w:val="auto"/>
        </w:rPr>
      </w:pPr>
    </w:p>
    <w:p>
      <w:pPr>
        <w:ind w:left="1466" w:hanging="440"/>
        <w:spacing w:after="0" w:line="298" w:lineRule="auto"/>
        <w:tabs>
          <w:tab w:leader="none" w:pos="1466" w:val="left"/>
        </w:tabs>
        <w:numPr>
          <w:ilvl w:val="2"/>
          <w:numId w:val="99"/>
        </w:numPr>
        <w:rPr>
          <w:rFonts w:ascii="Arial" w:cs="Arial" w:eastAsia="Arial" w:hAnsi="Arial"/>
          <w:sz w:val="16"/>
          <w:szCs w:val="16"/>
          <w:color w:val="auto"/>
        </w:rPr>
      </w:pPr>
      <w:r>
        <w:rPr>
          <w:rFonts w:ascii="Arial" w:cs="Arial" w:eastAsia="Arial" w:hAnsi="Arial"/>
          <w:sz w:val="16"/>
          <w:szCs w:val="16"/>
          <w:color w:val="auto"/>
        </w:rPr>
        <w:t>Review the characteristics and qualifications of such incumbent director to continue his or her service as a director in light of (A) such director’s personal circumstances including their involvement of such director in his or her primary business activity and/or his or her community, (B) the capacity, health and availability of such director, (C) the developing needs of the Company, and (iv) the characteristics recommended to be sought in candidates for directors of the Company.</w:t>
      </w:r>
    </w:p>
    <w:p>
      <w:pPr>
        <w:spacing w:after="0" w:line="31" w:lineRule="exact"/>
        <w:rPr>
          <w:rFonts w:ascii="Arial" w:cs="Arial" w:eastAsia="Arial" w:hAnsi="Arial"/>
          <w:sz w:val="16"/>
          <w:szCs w:val="16"/>
          <w:color w:val="auto"/>
        </w:rPr>
      </w:pPr>
    </w:p>
    <w:p>
      <w:pPr>
        <w:ind w:left="1026" w:hanging="567"/>
        <w:spacing w:after="0"/>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t>Election/Re-election of Board Members</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Chairman</w:t>
      </w:r>
    </w:p>
    <w:p>
      <w:pPr>
        <w:spacing w:after="0" w:line="90" w:lineRule="exact"/>
        <w:rPr>
          <w:rFonts w:ascii="Arial" w:cs="Arial" w:eastAsia="Arial" w:hAnsi="Arial"/>
          <w:sz w:val="18"/>
          <w:szCs w:val="18"/>
          <w:color w:val="auto"/>
        </w:rPr>
      </w:pPr>
    </w:p>
    <w:p>
      <w:pPr>
        <w:ind w:left="1926" w:hanging="441"/>
        <w:spacing w:after="0"/>
        <w:tabs>
          <w:tab w:leader="none" w:pos="1926" w:val="left"/>
        </w:tabs>
        <w:numPr>
          <w:ilvl w:val="3"/>
          <w:numId w:val="99"/>
        </w:numPr>
        <w:rPr>
          <w:rFonts w:ascii="Arial" w:cs="Arial" w:eastAsia="Arial" w:hAnsi="Arial"/>
          <w:sz w:val="16"/>
          <w:szCs w:val="16"/>
          <w:color w:val="auto"/>
        </w:rPr>
      </w:pPr>
      <w:r>
        <w:rPr>
          <w:rFonts w:ascii="Arial" w:cs="Arial" w:eastAsia="Arial" w:hAnsi="Arial"/>
          <w:sz w:val="16"/>
          <w:szCs w:val="16"/>
          <w:color w:val="auto"/>
        </w:rPr>
        <w:t>The Chairman of the Board shall be elected yearly by the members of the Board by a secret ballot or as otherwise determined.</w:t>
      </w:r>
    </w:p>
    <w:p>
      <w:pPr>
        <w:spacing w:after="0" w:line="113" w:lineRule="exact"/>
        <w:rPr>
          <w:rFonts w:ascii="Arial" w:cs="Arial" w:eastAsia="Arial" w:hAnsi="Arial"/>
          <w:sz w:val="16"/>
          <w:szCs w:val="16"/>
          <w:color w:val="auto"/>
        </w:rPr>
      </w:pPr>
    </w:p>
    <w:p>
      <w:pPr>
        <w:ind w:left="1926" w:right="40" w:hanging="441"/>
        <w:spacing w:after="0" w:line="268" w:lineRule="auto"/>
        <w:tabs>
          <w:tab w:leader="none" w:pos="1926" w:val="left"/>
        </w:tabs>
        <w:numPr>
          <w:ilvl w:val="3"/>
          <w:numId w:val="99"/>
        </w:numPr>
        <w:rPr>
          <w:rFonts w:ascii="Arial" w:cs="Arial" w:eastAsia="Arial" w:hAnsi="Arial"/>
          <w:sz w:val="18"/>
          <w:szCs w:val="18"/>
          <w:color w:val="auto"/>
        </w:rPr>
      </w:pPr>
      <w:r>
        <w:rPr>
          <w:rFonts w:ascii="Arial" w:cs="Arial" w:eastAsia="Arial" w:hAnsi="Arial"/>
          <w:sz w:val="18"/>
          <w:szCs w:val="18"/>
          <w:color w:val="auto"/>
        </w:rPr>
        <w:t>Incumbent Chairman of the Board shall be asked by the Chairman of the Committee if he/she wishes to stand for re-election. If yes, he/she leaves the room for the vote.</w:t>
      </w:r>
    </w:p>
    <w:p>
      <w:pPr>
        <w:spacing w:after="0" w:line="50"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Board members</w:t>
      </w:r>
    </w:p>
    <w:p>
      <w:pPr>
        <w:spacing w:after="0" w:line="90" w:lineRule="exact"/>
        <w:rPr>
          <w:rFonts w:ascii="Arial" w:cs="Arial" w:eastAsia="Arial" w:hAnsi="Arial"/>
          <w:sz w:val="18"/>
          <w:szCs w:val="18"/>
          <w:color w:val="auto"/>
        </w:rPr>
      </w:pPr>
    </w:p>
    <w:p>
      <w:pPr>
        <w:ind w:left="1926" w:hanging="441"/>
        <w:spacing w:after="0"/>
        <w:tabs>
          <w:tab w:leader="none" w:pos="1926" w:val="left"/>
        </w:tabs>
        <w:numPr>
          <w:ilvl w:val="3"/>
          <w:numId w:val="99"/>
        </w:numPr>
        <w:rPr>
          <w:rFonts w:ascii="Arial" w:cs="Arial" w:eastAsia="Arial" w:hAnsi="Arial"/>
          <w:sz w:val="18"/>
          <w:szCs w:val="18"/>
          <w:color w:val="auto"/>
        </w:rPr>
      </w:pPr>
      <w:r>
        <w:rPr>
          <w:rFonts w:ascii="Arial" w:cs="Arial" w:eastAsia="Arial" w:hAnsi="Arial"/>
          <w:sz w:val="18"/>
          <w:szCs w:val="18"/>
          <w:color w:val="auto"/>
        </w:rPr>
        <w:t>Board members shall be elected by the plurality of stockholders.</w:t>
      </w:r>
    </w:p>
    <w:p>
      <w:pPr>
        <w:spacing w:after="0" w:line="90" w:lineRule="exact"/>
        <w:rPr>
          <w:rFonts w:ascii="Arial" w:cs="Arial" w:eastAsia="Arial" w:hAnsi="Arial"/>
          <w:sz w:val="18"/>
          <w:szCs w:val="18"/>
          <w:color w:val="auto"/>
        </w:rPr>
      </w:pPr>
    </w:p>
    <w:p>
      <w:pPr>
        <w:ind w:left="1926" w:right="340" w:hanging="441"/>
        <w:spacing w:after="0" w:line="268" w:lineRule="auto"/>
        <w:tabs>
          <w:tab w:leader="none" w:pos="1926" w:val="left"/>
        </w:tabs>
        <w:numPr>
          <w:ilvl w:val="3"/>
          <w:numId w:val="99"/>
        </w:numPr>
        <w:rPr>
          <w:rFonts w:ascii="Arial" w:cs="Arial" w:eastAsia="Arial" w:hAnsi="Arial"/>
          <w:sz w:val="18"/>
          <w:szCs w:val="18"/>
          <w:color w:val="auto"/>
        </w:rPr>
      </w:pPr>
      <w:r>
        <w:rPr>
          <w:rFonts w:ascii="Arial" w:cs="Arial" w:eastAsia="Arial" w:hAnsi="Arial"/>
          <w:sz w:val="18"/>
          <w:szCs w:val="18"/>
          <w:color w:val="auto"/>
        </w:rPr>
        <w:t>Annually, the Chairman of the Committee shall ask current Board members if they wish to stand for re-election prior to the presentation of the slate to the Company stockholders.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and recommend changes to Board meeting procedures.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Monitor any requests made by the directors to engage outside advisors with respect to corporate governance issues, at the Company’s expense.</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and recommend retirement policies for Company directors as may be adopted from time to time.</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6"/>
          </w:cols>
          <w:pgMar w:left="694" w:top="280" w:right="299" w:bottom="1440" w:gutter="0" w:footer="0" w:header="0"/>
        </w:sectPr>
      </w:pPr>
    </w:p>
    <w:bookmarkStart w:id="193" w:name="page194"/>
    <w:bookmarkEnd w:id="193"/>
    <w:p>
      <w:pPr>
        <w:ind w:left="892" w:hanging="446"/>
        <w:spacing w:after="0"/>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 any outside directorships in other public companies held by senior company officials.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Assure that there is no real or potential conflict of interest.</w:t>
      </w:r>
    </w:p>
    <w:p>
      <w:pPr>
        <w:spacing w:after="0" w:line="90" w:lineRule="exact"/>
        <w:rPr>
          <w:rFonts w:ascii="Arial" w:cs="Arial" w:eastAsia="Arial" w:hAnsi="Arial"/>
          <w:sz w:val="18"/>
          <w:szCs w:val="18"/>
          <w:color w:val="auto"/>
        </w:rPr>
      </w:pPr>
    </w:p>
    <w:p>
      <w:pPr>
        <w:ind w:left="1472" w:right="100" w:hanging="567"/>
        <w:spacing w:after="0" w:line="268" w:lineRule="auto"/>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Senior officials should not have too many memberships on other boards or on Conflicting Boards, so as to be a distraction from the function of the Company’s Board.</w:t>
      </w:r>
    </w:p>
    <w:p>
      <w:pPr>
        <w:spacing w:after="0" w:line="50"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Periodically receive and consider recommendations from the Company’s Chief Executive Officer (CEO) regarding succession at the CEO and other senior officer levels.</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Monitor performance of CEO.</w:t>
      </w:r>
    </w:p>
    <w:p>
      <w:pPr>
        <w:spacing w:after="0" w:line="90"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Committee shall (in conjunction with the Compensation Committee of the Board as necessary or appropriate) initiate an annual review and evaluation of the performance of the CEO. The Committee will meet at least once each year with the CEO to discuss, among other issues deemed pertinent by the Committee:</w:t>
      </w:r>
    </w:p>
    <w:p>
      <w:pPr>
        <w:spacing w:after="0" w:line="59" w:lineRule="exact"/>
        <w:rPr>
          <w:rFonts w:ascii="Arial" w:cs="Arial" w:eastAsia="Arial" w:hAnsi="Arial"/>
          <w:sz w:val="18"/>
          <w:szCs w:val="18"/>
          <w:color w:val="auto"/>
        </w:rPr>
      </w:pPr>
    </w:p>
    <w:p>
      <w:pPr>
        <w:ind w:left="1912" w:hanging="440"/>
        <w:spacing w:after="0"/>
        <w:tabs>
          <w:tab w:leader="none" w:pos="1912" w:val="left"/>
        </w:tabs>
        <w:numPr>
          <w:ilvl w:val="3"/>
          <w:numId w:val="101"/>
        </w:numPr>
        <w:rPr>
          <w:rFonts w:ascii="Arial" w:cs="Arial" w:eastAsia="Arial" w:hAnsi="Arial"/>
          <w:sz w:val="16"/>
          <w:szCs w:val="16"/>
          <w:color w:val="auto"/>
        </w:rPr>
      </w:pPr>
      <w:r>
        <w:rPr>
          <w:rFonts w:ascii="Arial" w:cs="Arial" w:eastAsia="Arial" w:hAnsi="Arial"/>
          <w:sz w:val="16"/>
          <w:szCs w:val="16"/>
          <w:color w:val="auto"/>
        </w:rPr>
        <w:t>The mission, vision, direction and objectives of the CEO, with the emphasis being on long-term rather than short-term goals.</w:t>
      </w:r>
    </w:p>
    <w:p>
      <w:pPr>
        <w:spacing w:after="0" w:line="113" w:lineRule="exact"/>
        <w:rPr>
          <w:rFonts w:ascii="Arial" w:cs="Arial" w:eastAsia="Arial" w:hAnsi="Arial"/>
          <w:sz w:val="16"/>
          <w:szCs w:val="16"/>
          <w:color w:val="auto"/>
        </w:rPr>
      </w:pPr>
    </w:p>
    <w:p>
      <w:pPr>
        <w:ind w:left="1912" w:right="160" w:hanging="440"/>
        <w:spacing w:after="0" w:line="268" w:lineRule="auto"/>
        <w:tabs>
          <w:tab w:leader="none" w:pos="1912" w:val="left"/>
        </w:tabs>
        <w:numPr>
          <w:ilvl w:val="3"/>
          <w:numId w:val="101"/>
        </w:numPr>
        <w:rPr>
          <w:rFonts w:ascii="Arial" w:cs="Arial" w:eastAsia="Arial" w:hAnsi="Arial"/>
          <w:sz w:val="18"/>
          <w:szCs w:val="18"/>
          <w:color w:val="auto"/>
        </w:rPr>
      </w:pPr>
      <w:r>
        <w:rPr>
          <w:rFonts w:ascii="Arial" w:cs="Arial" w:eastAsia="Arial" w:hAnsi="Arial"/>
          <w:sz w:val="18"/>
          <w:szCs w:val="18"/>
          <w:color w:val="auto"/>
        </w:rPr>
        <w:t>The leadership of the CEO, including his or her ability to build or impact corporate culture, his or her team-building skills, and his or her ability to build morale and generate a positive dynamic direction for the Company.</w:t>
      </w:r>
    </w:p>
    <w:p>
      <w:pPr>
        <w:spacing w:after="0" w:line="50" w:lineRule="exact"/>
        <w:rPr>
          <w:rFonts w:ascii="Arial" w:cs="Arial" w:eastAsia="Arial" w:hAnsi="Arial"/>
          <w:sz w:val="18"/>
          <w:szCs w:val="18"/>
          <w:color w:val="auto"/>
        </w:rPr>
      </w:pPr>
    </w:p>
    <w:p>
      <w:pPr>
        <w:ind w:left="1912" w:hanging="440"/>
        <w:spacing w:after="0"/>
        <w:tabs>
          <w:tab w:leader="none" w:pos="1912" w:val="left"/>
        </w:tabs>
        <w:numPr>
          <w:ilvl w:val="3"/>
          <w:numId w:val="101"/>
        </w:numPr>
        <w:rPr>
          <w:rFonts w:ascii="Arial" w:cs="Arial" w:eastAsia="Arial" w:hAnsi="Arial"/>
          <w:sz w:val="18"/>
          <w:szCs w:val="18"/>
          <w:color w:val="auto"/>
        </w:rPr>
      </w:pPr>
      <w:r>
        <w:rPr>
          <w:rFonts w:ascii="Arial" w:cs="Arial" w:eastAsia="Arial" w:hAnsi="Arial"/>
          <w:sz w:val="18"/>
          <w:szCs w:val="18"/>
          <w:color w:val="auto"/>
        </w:rPr>
        <w:t>Organizational matters, including developments, changes and concepts.</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3"/>
          <w:numId w:val="101"/>
        </w:numPr>
        <w:rPr>
          <w:rFonts w:ascii="Arial" w:cs="Arial" w:eastAsia="Arial" w:hAnsi="Arial"/>
          <w:sz w:val="18"/>
          <w:szCs w:val="18"/>
          <w:color w:val="auto"/>
        </w:rPr>
      </w:pPr>
      <w:r>
        <w:rPr>
          <w:rFonts w:ascii="Arial" w:cs="Arial" w:eastAsia="Arial" w:hAnsi="Arial"/>
          <w:sz w:val="18"/>
          <w:szCs w:val="18"/>
          <w:color w:val="auto"/>
        </w:rPr>
        <w:t>Management succession planning and leadership development.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Committee shall present the results of the review and evaluation to the full Board.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 reports and recommendations to the Board within the scope of its functions.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Review this Committee Charter from time to time and recommend any changes thereto to the Board.</w:t>
      </w:r>
    </w:p>
    <w:p>
      <w:pPr>
        <w:spacing w:after="0" w:line="90" w:lineRule="exact"/>
        <w:rPr>
          <w:rFonts w:ascii="Arial" w:cs="Arial" w:eastAsia="Arial" w:hAnsi="Arial"/>
          <w:sz w:val="18"/>
          <w:szCs w:val="18"/>
          <w:color w:val="auto"/>
        </w:rPr>
      </w:pPr>
    </w:p>
    <w:p>
      <w:pPr>
        <w:ind w:left="452" w:right="100" w:hanging="452"/>
        <w:spacing w:after="0" w:line="323" w:lineRule="auto"/>
        <w:tabs>
          <w:tab w:leader="none" w:pos="452"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Meetings</w:t>
      </w:r>
      <w:r>
        <w:rPr>
          <w:rFonts w:ascii="Arial" w:cs="Arial" w:eastAsia="Arial" w:hAnsi="Arial"/>
          <w:sz w:val="15"/>
          <w:szCs w:val="15"/>
          <w:color w:val="auto"/>
        </w:rPr>
        <w:t>. The Committee will meet as often as it deems necessary or appropriate, in its judgment, either in person or telephonically, and as such times and places as the Committee determines. Face to face meetings shall be encouraged at least once each year. The majority of the members of the Committee shall constitute a quorum and shall be empowered to act on behalf of the Committee. Minutes shall be kept of each meeting of the Committee. The Chairman of the Committee shall report to the Board following meetings of the Committee and as otherwise requested by the Chairman of the Board.</w:t>
      </w:r>
    </w:p>
    <w:p>
      <w:pPr>
        <w:spacing w:after="0" w:line="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194" w:name="page195"/>
    <w:bookmarkEnd w:id="194"/>
    <w:p>
      <w:pPr>
        <w:ind w:left="452" w:hanging="452"/>
        <w:spacing w:after="0" w:line="255" w:lineRule="auto"/>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Advisors</w:t>
      </w:r>
      <w:r>
        <w:rPr>
          <w:rFonts w:ascii="Arial" w:cs="Arial" w:eastAsia="Arial" w:hAnsi="Arial"/>
          <w:sz w:val="18"/>
          <w:szCs w:val="18"/>
          <w:color w:val="auto"/>
        </w:rPr>
        <w:t>. The Committee shall have the authority to retain such outside legal or other consultants or advisors as it determines appropriate to assist it in the performance of its functions, or to advise or inform the Committee. The Committee may also meet with investment bankers and financial analysts. The Committee may request any officer or employee of the Company or the Company’s outside counsel or independent auditor to attend a meeting of the Committee or to meet with any member of, or consultants to, the Company. The Company shall provide for payment of compensation to any advisors retained by the Committee.</w:t>
      </w:r>
    </w:p>
    <w:p>
      <w:pPr>
        <w:spacing w:after="0" w:line="61" w:lineRule="exact"/>
        <w:rPr>
          <w:rFonts w:ascii="Arial" w:cs="Arial" w:eastAsia="Arial" w:hAnsi="Arial"/>
          <w:sz w:val="18"/>
          <w:szCs w:val="18"/>
          <w:color w:val="auto"/>
        </w:rPr>
      </w:pPr>
    </w:p>
    <w:p>
      <w:pPr>
        <w:jc w:val="both"/>
        <w:ind w:left="452" w:right="200" w:hanging="452"/>
        <w:spacing w:after="0" w:line="259" w:lineRule="auto"/>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Investigations</w:t>
      </w:r>
      <w:r>
        <w:rPr>
          <w:rFonts w:ascii="Arial" w:cs="Arial" w:eastAsia="Arial" w:hAnsi="Arial"/>
          <w:sz w:val="18"/>
          <w:szCs w:val="18"/>
          <w:color w:val="auto"/>
        </w:rPr>
        <w:t>. The Committee shall have the authority to conduct or authorize investigations into any matter within the scope of its responsibilities as it shall deem appropriate, including the authority to request any officer, employee or advisor of the Company to meet with the Committee or any advisors engaged by the Committee.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Any amendment or other modification of this Charter shall be made and approved by the Board of the Company.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Disclosure of Charter</w:t>
      </w:r>
      <w:r>
        <w:rPr>
          <w:rFonts w:ascii="Arial" w:cs="Arial" w:eastAsia="Arial" w:hAnsi="Arial"/>
          <w:sz w:val="18"/>
          <w:szCs w:val="18"/>
          <w:color w:val="auto"/>
        </w:rPr>
        <w:t>. This Charter, as amended from time to time, shall be made available to the public on the Company’s website.</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sectPr>
      <w:pgSz w:w="11900" w:h="16838" w:orient="portrait"/>
      <w:cols w:equalWidth="0" w:num="1">
        <w:col w:w="11332"/>
      </w:cols>
      <w:pgMar w:left="248"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decimal"/>
      <w:start w:val="1"/>
    </w:lvl>
    <w:lvl w:ilvl="1">
      <w:lvlJc w:val="left"/>
      <w:lvlText w:val="•"/>
      <w:numFmt w:val="bullet"/>
      <w:start w:val="1"/>
    </w:lvl>
  </w:abstractNum>
  <w:abstractNum w:abstractNumId="6">
    <w:nsid w:val="23F9C13C"/>
    <w:multiLevelType w:val="hybridMultilevel"/>
    <w:lvl w:ilvl="0">
      <w:lvlJc w:val="left"/>
      <w:lvlText w:val="%1."/>
      <w:numFmt w:val="decimal"/>
      <w:start w:val="4"/>
    </w:lvl>
    <w:lvl w:ilvl="1">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1."/>
      <w:numFmt w:val="decimal"/>
      <w:start w:val="1"/>
    </w:lvl>
    <w:lvl w:ilvl="1">
      <w:lvlJc w:val="left"/>
      <w:lvlText w:val="•"/>
      <w:numFmt w:val="bullet"/>
      <w:start w:val="1"/>
    </w:lvl>
  </w:abstractNum>
  <w:abstractNum w:abstractNumId="28">
    <w:nsid w:val="1DBABF00"/>
    <w:multiLevelType w:val="hybridMultilevel"/>
    <w:lvl w:ilvl="0">
      <w:lvlJc w:val="left"/>
      <w:lvlText w:val="%1."/>
      <w:numFmt w:val="decimal"/>
      <w:start w:val="2"/>
    </w:lvl>
    <w:lvl w:ilvl="1">
      <w:lvlJc w:val="left"/>
      <w:lvlText w:val="•"/>
      <w:numFmt w:val="bullet"/>
      <w:start w:val="1"/>
    </w:lvl>
  </w:abstractNum>
  <w:abstractNum w:abstractNumId="29">
    <w:nsid w:val="4AD084E9"/>
    <w:multiLevelType w:val="hybridMultilevel"/>
    <w:lvl w:ilvl="0">
      <w:lvlJc w:val="left"/>
      <w:lvlText w:val="%1."/>
      <w:numFmt w:val="decimal"/>
      <w:start w:val="3"/>
    </w:lvl>
    <w:lvl w:ilvl="1">
      <w:lvlJc w:val="left"/>
      <w:lvlText w:val="•"/>
      <w:numFmt w:val="bullet"/>
      <w:start w:val="1"/>
    </w:lvl>
  </w:abstractNum>
  <w:abstractNum w:abstractNumId="30">
    <w:nsid w:val="1F48EAA1"/>
    <w:multiLevelType w:val="hybridMultilevel"/>
    <w:lvl w:ilvl="0">
      <w:lvlJc w:val="left"/>
      <w:lvlText w:val="%1."/>
      <w:numFmt w:val="decimal"/>
      <w:start w:val="4"/>
    </w:lvl>
    <w:lvl w:ilvl="1">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lowerRoman"/>
      <w:start w:val="1"/>
    </w:lvl>
  </w:abstractNum>
  <w:abstractNum w:abstractNumId="38">
    <w:nsid w:val="799D0247"/>
    <w:multiLevelType w:val="hybridMultilevel"/>
    <w:lvl w:ilvl="0">
      <w:lvlJc w:val="left"/>
      <w:lvlText w:val="(%1)"/>
      <w:numFmt w:val="lowerRoman"/>
      <w:start w:val="2"/>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decimal"/>
      <w:start w:val="1"/>
    </w:lvl>
  </w:abstractNum>
  <w:abstractNum w:abstractNumId="45">
    <w:nsid w:val="540A471C"/>
    <w:multiLevelType w:val="hybridMultilevel"/>
    <w:lvl w:ilvl="0">
      <w:lvlJc w:val="left"/>
      <w:lvlText w:val="(%1)"/>
      <w:numFmt w:val="decimal"/>
      <w:start w:val="7"/>
    </w:lvl>
  </w:abstractNum>
  <w:abstractNum w:abstractNumId="46">
    <w:nsid w:val="7BD3EE7B"/>
    <w:multiLevelType w:val="hybridMultilevel"/>
    <w:lvl w:ilvl="0">
      <w:lvlJc w:val="left"/>
      <w:lvlText w:val="(%1)"/>
      <w:numFmt w:val="lowerRoman"/>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1)"/>
      <w:numFmt w:val="lowerLetter"/>
      <w:start w:val="5"/>
    </w:lvl>
  </w:abstractNum>
  <w:abstractNum w:abstractNumId="60">
    <w:nsid w:val="14330624"/>
    <w:multiLevelType w:val="hybridMultilevel"/>
    <w:lvl w:ilvl="0">
      <w:lvlJc w:val="left"/>
      <w:lvlText w:val="(%1)"/>
      <w:numFmt w:val="lowerLetter"/>
      <w:start w:val="2"/>
    </w:lvl>
  </w:abstractNum>
  <w:abstractNum w:abstractNumId="61">
    <w:nsid w:val="7FFFCA11"/>
    <w:multiLevelType w:val="hybridMultilevel"/>
    <w:lvl w:ilvl="0">
      <w:lvlJc w:val="left"/>
      <w:lvlText w:val="(%1)"/>
      <w:numFmt w:val="lowerLetter"/>
      <w:start w:val="3"/>
    </w:lvl>
  </w:abstractNum>
  <w:abstractNum w:abstractNumId="62">
    <w:nsid w:val="1A27709E"/>
    <w:multiLevelType w:val="hybridMultilevel"/>
    <w:lvl w:ilvl="0">
      <w:lvlJc w:val="left"/>
      <w:lvlText w:val="*"/>
      <w:numFmt w:val="bullet"/>
      <w:start w:val="1"/>
    </w:lvl>
    <w:lvl w:ilvl="1">
      <w:lvlJc w:val="left"/>
      <w:lvlText w:val="(%2)"/>
      <w:numFmt w:val="lowerLetter"/>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5">
    <w:nsid w:val="74DE0EE3"/>
    <w:multiLevelType w:val="hybridMultilevel"/>
    <w:lvl w:ilvl="0">
      <w:lvlJc w:val="left"/>
      <w:lvlText w:val="(%1)"/>
      <w:numFmt w:val="upperLetter"/>
      <w:start w:val="3"/>
    </w:lvl>
    <w:lvl w:ilvl="1">
      <w:lvlJc w:val="left"/>
      <w:lvlText w:val="(%2)"/>
      <w:numFmt w:val="decimal"/>
      <w:start w:val="1"/>
    </w:lvl>
  </w:abstractNum>
  <w:abstractNum w:abstractNumId="76">
    <w:nsid w:val="68EBC550"/>
    <w:multiLevelType w:val="hybridMultilevel"/>
    <w:lvl w:ilvl="0">
      <w:lvlJc w:val="left"/>
      <w:lvlText w:val="(%1)"/>
      <w:numFmt w:val="lowerRoman"/>
      <w:start w:val="2"/>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decimal"/>
      <w:start w:val="1"/>
    </w:lvl>
  </w:abstractNum>
  <w:abstractNum w:abstractNumId="80">
    <w:nsid w:val="39EE015C"/>
    <w:multiLevelType w:val="hybridMultilevel"/>
    <w:lvl w:ilvl="0">
      <w:lvlJc w:val="left"/>
      <w:lvlText w:val="(%1)"/>
      <w:numFmt w:val="decimal"/>
      <w:start w:val="2"/>
    </w:lvl>
  </w:abstractNum>
  <w:abstractNum w:abstractNumId="81">
    <w:nsid w:val="57FC4FBB"/>
    <w:multiLevelType w:val="hybridMultilevel"/>
    <w:lvl w:ilvl="0">
      <w:lvlJc w:val="left"/>
      <w:lvlText w:val="(%1)"/>
      <w:numFmt w:val="decimal"/>
      <w:start w:val="2"/>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3"/>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1."/>
      <w:numFmt w:val="decimal"/>
      <w:start w:val="3"/>
    </w:lvl>
    <w:lvl w:ilvl="1">
      <w:lvlJc w:val="left"/>
      <w:lvlText w:val="•"/>
      <w:numFmt w:val="bullet"/>
      <w:start w:val="1"/>
    </w:lvl>
  </w:abstractNum>
  <w:abstractNum w:abstractNumId="90">
    <w:nsid w:val="50801EE1"/>
    <w:multiLevelType w:val="hybridMultilevel"/>
    <w:lvl w:ilvl="0">
      <w:lvlJc w:val="left"/>
      <w:lvlText w:val="%1."/>
      <w:numFmt w:val="decimal"/>
      <w:start w:val="1"/>
    </w:lvl>
    <w:lvl w:ilvl="1">
      <w:lvlJc w:val="left"/>
      <w:lvlText w:val="•"/>
      <w:numFmt w:val="bullet"/>
      <w:start w:val="1"/>
    </w:lvl>
  </w:abstractNum>
  <w:abstractNum w:abstractNumId="91">
    <w:nsid w:val="488AC1A"/>
    <w:multiLevelType w:val="hybridMultilevel"/>
    <w:lvl w:ilvl="0">
      <w:lvlJc w:val="left"/>
      <w:lvlText w:val="%1."/>
      <w:numFmt w:val="decimal"/>
      <w:start w:val="2"/>
    </w:lvl>
    <w:lvl w:ilvl="1">
      <w:lvlJc w:val="left"/>
      <w:lvlText w:val="•"/>
      <w:numFmt w:val="bullet"/>
      <w:start w:val="1"/>
    </w:lvl>
  </w:abstractNum>
  <w:abstractNum w:abstractNumId="92">
    <w:nsid w:val="5FB8011C"/>
    <w:multiLevelType w:val="hybridMultilevel"/>
    <w:lvl w:ilvl="0">
      <w:lvlJc w:val="left"/>
      <w:lvlText w:val="%1."/>
      <w:numFmt w:val="decimal"/>
      <w:start w:val="4"/>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lowerLetter"/>
      <w:start w:val="3"/>
    </w:lvl>
  </w:abstractNum>
  <w:abstractNum w:abstractNumId="96">
    <w:nsid w:val="6A5F7029"/>
    <w:multiLevelType w:val="hybridMultilevel"/>
    <w:lvl w:ilvl="0">
      <w:lvlJc w:val="left"/>
      <w:lvlText w:val="%1."/>
      <w:numFmt w:val="upperLetter"/>
      <w:start w:val="2"/>
    </w:lvl>
  </w:abstractNum>
  <w:abstractNum w:abstractNumId="97">
    <w:nsid w:val="7D5E18F8"/>
    <w:multiLevelType w:val="hybridMultilevel"/>
    <w:lvl w:ilvl="0">
      <w:lvlJc w:val="left"/>
      <w:lvlText w:val="(%1)"/>
      <w:numFmt w:val="lowerLetter"/>
      <w:start w:val="1"/>
    </w:lvl>
    <w:lvl w:ilvl="1">
      <w:lvlJc w:val="left"/>
      <w:lvlText w:val="(%2)"/>
      <w:numFmt w:val="decimal"/>
      <w:start w:val="1"/>
    </w:lvl>
  </w:abstractNum>
  <w:abstractNum w:abstractNumId="98">
    <w:nsid w:val="5F3534A4"/>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lvl w:ilvl="3">
      <w:lvlJc w:val="left"/>
      <w:lvlText w:val="(%4)"/>
      <w:numFmt w:val="upperLetter"/>
      <w:start w:val="1"/>
    </w:lvl>
  </w:abstractNum>
  <w:abstractNum w:abstractNumId="99">
    <w:nsid w:val="73A1821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lowerRoman"/>
      <w:start w:val="1"/>
    </w:lvl>
  </w:abstractNum>
  <w:abstractNum w:abstractNumId="101">
    <w:nsid w:val="555C55B5"/>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02">
    <w:nsid w:val="3FA62AC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2019-12-11T04:01:58Z</dcterms:created>
  <dcterms:modified xsi:type="dcterms:W3CDTF">2019-12-11T04:01:58Z</dcterms:modified>
</cp:coreProperties>
</file>