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xwel-20250331x10q.htm"/>
        <w:bookmarkStart w:id="1" w:name="ksxwel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07802d8d_dddd_4090_9a27_7c3882e208c6"/>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XWELL,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pn_UJqNU1kGP9oANwPGuNQ_5_2"/>
      <w:bookmarkStart w:id="4" w:name="Tc_KbkwFZpejk-_9NTyaAVVJA_5_0"/>
      <w:bookmarkStart w:id="5" w:name="Tc_ygwkPRIdbkiHP-XleNYZcg_4_0"/>
      <w:bookmarkStart w:id="6" w:name="Tc_c1rHCtPn_kGY55y8GKVt_A_2_2"/>
      <w:bookmarkStart w:id="7" w:name="Tc_86NzsRrgZE6E3EN-tuWsJQ_2_0"/>
      <w:bookmarkStart w:id="8" w:name="_1670dc7f_3967_438e_b623_59a3f2a41dfd"/>
      <w:bookmarkStart w:id="9" w:name="Tc_pn_UJqNU1kGP9oANwPGuNQ_5_2"/>
      <w:bookmarkStart w:id="10" w:name="Tc_KbkwFZpejk-_9NTyaAVVJA_5_0"/>
      <w:bookmarkStart w:id="11" w:name="Tc_ygwkPRIdbkiHP-XleNYZcg_4_0"/>
      <w:bookmarkStart w:id="12" w:name="Tc_c1rHCtPn_kGY55y8GKVt_A_2_2"/>
      <w:bookmarkStart w:id="13" w:name="Tc_86NzsRrgZE6E3EN-tuWsJQ_2_0"/>
      <w:bookmarkStart w:id="14" w:name="_1670dc7f_3967_438e_b623_59a3f2a41dfd"/>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0SVrw8XpkE2hj1le2WqOcA_2_4"/>
      <w:bookmarkStart w:id="16" w:name="Tc_PMBQrA7PdUKwoEChIVMsyw_1_4"/>
      <w:bookmarkStart w:id="17" w:name="Tc_X1Kt7j1IMUCOSr_gJ_Rssg_1_2"/>
      <w:bookmarkStart w:id="18" w:name="Tc_9vAmlmr2QUmWsfSH4hUJmQ_1_0"/>
      <w:bookmarkStart w:id="19" w:name="_2b7c7af7_3bda_434d_a88c_b37f3b56b004"/>
      <w:bookmarkStart w:id="20" w:name="Tc_0SVrw8XpkE2hj1le2WqOcA_2_4"/>
      <w:bookmarkStart w:id="21" w:name="Tc_PMBQrA7PdUKwoEChIVMsyw_1_4"/>
      <w:bookmarkStart w:id="22" w:name="Tc_X1Kt7j1IMUCOSr_gJ_Rssg_1_2"/>
      <w:bookmarkStart w:id="23" w:name="Tc_9vAmlmr2QUmWsfSH4hUJmQ_1_0"/>
      <w:bookmarkStart w:id="24" w:name="_2b7c7af7_3bda_434d_a88c_b37f3b56b004"/>
      <w:bookmarkEnd w:id="2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696"/>
        <w:gridCol w:w="32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2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ym0afGkMFkutHZwfCkFs6A_2_2"/>
      <w:bookmarkStart w:id="26" w:name="Tc_xFUVqrbOa02wUmCcSpTwOw_1_2"/>
      <w:bookmarkStart w:id="27" w:name="Tc_02EC1YtzpU-kn9iVHFa-ag_1_1"/>
      <w:bookmarkStart w:id="28" w:name="Tc_CGG4zzwoMki5_q4CxkSaYQ_0_3"/>
      <w:bookmarkStart w:id="29" w:name="Tc_T8Zuzp6biU6682eb9EzH6w_0_2"/>
      <w:bookmarkStart w:id="30" w:name="Tc_CSuQSzlNfkaZILic5YhzPw_0_1"/>
      <w:bookmarkStart w:id="31" w:name="Tc_BLDf_Qji-E2dwcLhTM6Q5A_0_0"/>
      <w:bookmarkStart w:id="32" w:name="_856ccd18_83af_422a_8199_4e911668d10e"/>
      <w:bookmarkStart w:id="33" w:name="Tc_ym0afGkMFkutHZwfCkFs6A_2_2"/>
      <w:bookmarkStart w:id="34" w:name="Tc_xFUVqrbOa02wUmCcSpTwOw_1_2"/>
      <w:bookmarkStart w:id="35" w:name="Tc_02EC1YtzpU-kn9iVHFa-ag_1_1"/>
      <w:bookmarkStart w:id="36" w:name="Tc_CGG4zzwoMki5_q4CxkSaYQ_0_3"/>
      <w:bookmarkStart w:id="37" w:name="Tc_T8Zuzp6biU6682eb9EzH6w_0_2"/>
      <w:bookmarkStart w:id="38" w:name="Tc_CSuQSzlNfkaZILic5YhzPw_0_1"/>
      <w:bookmarkStart w:id="39" w:name="Tc_BLDf_Qji-E2dwcLhTM6Q5A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18"/>
        </w:rPr>
      </w:pPr>
      <w:r>
        <w:rPr>
          <w:rFonts w:ascii="Times New Roman;Times;serif" w:hAnsi="Times New Roman;Times;serif"/>
          <w:sz w:val="20"/>
        </w:rPr>
        <w:t>As of May 15, 2025, 5,261,024</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e72a5fc3_e65a_4059_bc0a_475e055777e9"/>
      <w:bookmarkEnd w:id="41"/>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014" w:type="dxa"/>
        <w:jc w:val="left"/>
        <w:tblInd w:w="0" w:type="dxa"/>
        <w:tblLayout w:type="fixed"/>
        <w:tblCellMar>
          <w:top w:w="0" w:type="dxa"/>
          <w:left w:w="0" w:type="dxa"/>
          <w:bottom w:w="0" w:type="dxa"/>
          <w:right w:w="0" w:type="dxa"/>
        </w:tblCellMar>
      </w:tblPr>
      <w:tblGrid>
        <w:gridCol w:w="811"/>
        <w:gridCol w:w="7366"/>
        <w:gridCol w:w="32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PARTIFINANCIALINFORMATION_936580"/>
      <w:bookmarkStart w:id="44" w:name="_236b1716_daf4_4be0_8ee0_40950b1bd576"/>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ConsolidatedCondensedFinancialState"/>
      <w:bookmarkEnd w:id="45"/>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46" w:name="Tc_2CPUNzsw-kKavAfJSFoH-Q_43_5"/>
      <w:bookmarkStart w:id="47" w:name="Tc_v0kefcY63kq-8V4MfSY80g_43_2"/>
      <w:bookmarkStart w:id="48" w:name="Tc_6_mB0ksxrU-FGjb8fJoNKg_43_0"/>
      <w:bookmarkStart w:id="49" w:name="Tc_K0UGBx3dX0aj2FjCb6mZQw_42_0"/>
      <w:bookmarkStart w:id="50" w:name="Tc_H5dLmkPzl0aNFyMc7MXhQQ_41_0"/>
      <w:bookmarkStart w:id="51" w:name="Tc_PrfRcSu4a0iQl5bqGfXGDQ_40_0"/>
      <w:bookmarkStart w:id="52" w:name="Tc_C8V8AeihcUab-knlnNtfgg_39_0"/>
      <w:bookmarkStart w:id="53" w:name="Tc_g65e44rCS0i-hRYS2kA4Yw_38_0"/>
      <w:bookmarkStart w:id="54" w:name="Tc_cfDDDK7GdU6ypoY-bbSg3w_37_0"/>
      <w:bookmarkStart w:id="55" w:name="Tc__U4eUqg5jkuoQxykYXsoaw_36_0"/>
      <w:bookmarkStart w:id="56" w:name="Tc_xU0ptO8TOUS0EW0G796TmA_35_0"/>
      <w:bookmarkStart w:id="57" w:name="Tc_BNrpmqrRUU2LVFkamLyjCQ_34_0"/>
      <w:bookmarkStart w:id="58" w:name="Tc_bWjn6kwNeEidpfs8AFSNnQ_33_0"/>
      <w:bookmarkStart w:id="59" w:name="Tc_sxZ4xjAjvUGTRTpbvjT2mw_31_0"/>
      <w:bookmarkStart w:id="60" w:name="Tc_hKNaiI2OdEOLjF-b5gVQNg_30_0"/>
      <w:bookmarkStart w:id="61" w:name="Tc_dQTggo3_oEKbSUICVtuZgQ_29_0"/>
      <w:bookmarkStart w:id="62" w:name="Tc_xFueKMBM8kSAern0buaf_A_28_6"/>
      <w:bookmarkStart w:id="63" w:name="Tc_c1wAKrpGX0CGiLeaTNO_nA_28_0"/>
      <w:bookmarkStart w:id="64" w:name="Tc_o-QwWcOA80SOk6NRW32JeQ_27_6"/>
      <w:bookmarkStart w:id="65" w:name="Tc_B-GCCyLKHEe6tYOP9voPMw_27_0"/>
      <w:bookmarkStart w:id="66" w:name="Tc_44tuCgCtqUq1nHVU0O--aQ_26_0"/>
      <w:bookmarkStart w:id="67" w:name="Tc_dVW_1cmIjkq2ZDV-BDKZ8Q_24_0"/>
      <w:bookmarkStart w:id="68" w:name="Tc_nrUghZ7p70SNvAe8LbR2Jg_23_0"/>
      <w:bookmarkStart w:id="69" w:name="Tc_N3CvlfoI9UKApsea6kDIzg_22_0"/>
      <w:bookmarkStart w:id="70" w:name="Tc_sGFW92HGTESclcpy98y_IA_21_0"/>
      <w:bookmarkStart w:id="71" w:name="Tc__98DoqOn6keuOYiwEv8Gwg_20_5"/>
      <w:bookmarkStart w:id="72" w:name="Tc_36-fCdgYtkaoEUlGCN-tyg_20_2"/>
      <w:bookmarkStart w:id="73" w:name="Tc_fFCzu06A5Ua7wK-Kb2KofQ_20_0"/>
      <w:bookmarkStart w:id="74" w:name="Tc_6dVbcoZBokKhurP6jOo5zQ_19_0"/>
      <w:bookmarkStart w:id="75" w:name="Tc_jsDnV8LpVkis17p5rzi4AQ_17_5"/>
      <w:bookmarkStart w:id="76" w:name="Tc_sA1jqmq8skiilX87_E4ONQ_17_2"/>
      <w:bookmarkStart w:id="77" w:name="Tc_rqGxCz0GHUedxjzEtUL7pQ_17_0"/>
      <w:bookmarkStart w:id="78" w:name="Tc_KYVYU0Bzm0ScpoAGmUE61g_16_0"/>
      <w:bookmarkStart w:id="79" w:name="Tc_SQQeV_yo4kWZLKT3J0cfSQ_15_0"/>
      <w:bookmarkStart w:id="80" w:name="Tc_T2o53AVZkEWQBrOmbbsF1g_14_0"/>
      <w:bookmarkStart w:id="81" w:name="Tc_fyhEhpbw9Eyh02ZXn256Xw_13_0"/>
      <w:bookmarkStart w:id="82" w:name="Tc_qO1l6be74EuDjDvpUKzXUg_12_0"/>
      <w:bookmarkStart w:id="83" w:name="Tc_Wl2LcrBSBkaL9AGec1Z1oQ_11_0"/>
      <w:bookmarkStart w:id="84" w:name="Tc_EkRP9WAwRk6esjnf3Bsk0Q_9_0"/>
      <w:bookmarkStart w:id="85" w:name="Tc_e-Gh3EXg5keDkuWE0-IbHQ_8_0"/>
      <w:bookmarkStart w:id="86" w:name="Tc_HlWOd7PsFEmN0jmD40mkKg_7_0"/>
      <w:bookmarkStart w:id="87" w:name="Tc_IJa5awKyGki_Lk3Qo5U-nQ_6_0"/>
      <w:bookmarkStart w:id="88" w:name="Tc_MIhjkNCnGUeX0JqbaLking_5_0"/>
      <w:bookmarkStart w:id="89" w:name="Tc_V3aoxAQXSEGz47hgipjDmQ_4_5"/>
      <w:bookmarkStart w:id="90" w:name="Tc_VexZ-D9ylkS9pH3VwfhODA_4_2"/>
      <w:bookmarkStart w:id="91" w:name="Tc_TLHXMt16nEOMFCB89X10cA_4_0"/>
      <w:bookmarkStart w:id="92" w:name="Tc_zgeYcNSfLUe0SUQOd9T0tA_3_0"/>
      <w:bookmarkStart w:id="93" w:name="Tc_9QLXMuvpAEyvEv7hxjEy7w_2_5"/>
      <w:bookmarkStart w:id="94" w:name="Tc_56AB_JZAsEmwqWgaTuDUvA_2_2"/>
      <w:bookmarkStart w:id="95" w:name="Tc_tYCv-JJPIUGtoIOqB0sCrQ_1_5"/>
      <w:bookmarkStart w:id="96" w:name="Tc_1VfQnKV6BUW3krsoV0yPww_1_2"/>
      <w:bookmarkStart w:id="97" w:name="_1b64d133_a76f_429e_bc3a_50d5ab4644a0"/>
      <w:bookmarkStart w:id="98" w:name="Tc_2CPUNzsw-kKavAfJSFoH-Q_43_5"/>
      <w:bookmarkStart w:id="99" w:name="Tc_v0kefcY63kq-8V4MfSY80g_43_2"/>
      <w:bookmarkStart w:id="100" w:name="Tc_6_mB0ksxrU-FGjb8fJoNKg_43_0"/>
      <w:bookmarkStart w:id="101" w:name="Tc_K0UGBx3dX0aj2FjCb6mZQw_42_0"/>
      <w:bookmarkStart w:id="102" w:name="Tc_H5dLmkPzl0aNFyMc7MXhQQ_41_0"/>
      <w:bookmarkStart w:id="103" w:name="Tc_PrfRcSu4a0iQl5bqGfXGDQ_40_0"/>
      <w:bookmarkStart w:id="104" w:name="Tc_C8V8AeihcUab-knlnNtfgg_39_0"/>
      <w:bookmarkStart w:id="105" w:name="Tc_g65e44rCS0i-hRYS2kA4Yw_38_0"/>
      <w:bookmarkStart w:id="106" w:name="Tc_cfDDDK7GdU6ypoY-bbSg3w_37_0"/>
      <w:bookmarkStart w:id="107" w:name="Tc__U4eUqg5jkuoQxykYXsoaw_36_0"/>
      <w:bookmarkStart w:id="108" w:name="Tc_xU0ptO8TOUS0EW0G796TmA_35_0"/>
      <w:bookmarkStart w:id="109" w:name="Tc_BNrpmqrRUU2LVFkamLyjCQ_34_0"/>
      <w:bookmarkStart w:id="110" w:name="Tc_bWjn6kwNeEidpfs8AFSNnQ_33_0"/>
      <w:bookmarkStart w:id="111" w:name="Tc_sxZ4xjAjvUGTRTpbvjT2mw_31_0"/>
      <w:bookmarkStart w:id="112" w:name="Tc_hKNaiI2OdEOLjF-b5gVQNg_30_0"/>
      <w:bookmarkStart w:id="113" w:name="Tc_dQTggo3_oEKbSUICVtuZgQ_29_0"/>
      <w:bookmarkStart w:id="114" w:name="Tc_xFueKMBM8kSAern0buaf_A_28_6"/>
      <w:bookmarkStart w:id="115" w:name="Tc_c1wAKrpGX0CGiLeaTNO_nA_28_0"/>
      <w:bookmarkStart w:id="116" w:name="Tc_o-QwWcOA80SOk6NRW32JeQ_27_6"/>
      <w:bookmarkStart w:id="117" w:name="Tc_B-GCCyLKHEe6tYOP9voPMw_27_0"/>
      <w:bookmarkStart w:id="118" w:name="Tc_44tuCgCtqUq1nHVU0O--aQ_26_0"/>
      <w:bookmarkStart w:id="119" w:name="Tc_dVW_1cmIjkq2ZDV-BDKZ8Q_24_0"/>
      <w:bookmarkStart w:id="120" w:name="Tc_nrUghZ7p70SNvAe8LbR2Jg_23_0"/>
      <w:bookmarkStart w:id="121" w:name="Tc_N3CvlfoI9UKApsea6kDIzg_22_0"/>
      <w:bookmarkStart w:id="122" w:name="Tc_sGFW92HGTESclcpy98y_IA_21_0"/>
      <w:bookmarkStart w:id="123" w:name="Tc__98DoqOn6keuOYiwEv8Gwg_20_5"/>
      <w:bookmarkStart w:id="124" w:name="Tc_36-fCdgYtkaoEUlGCN-tyg_20_2"/>
      <w:bookmarkStart w:id="125" w:name="Tc_fFCzu06A5Ua7wK-Kb2KofQ_20_0"/>
      <w:bookmarkStart w:id="126" w:name="Tc_6dVbcoZBokKhurP6jOo5zQ_19_0"/>
      <w:bookmarkStart w:id="127" w:name="Tc_jsDnV8LpVkis17p5rzi4AQ_17_5"/>
      <w:bookmarkStart w:id="128" w:name="Tc_sA1jqmq8skiilX87_E4ONQ_17_2"/>
      <w:bookmarkStart w:id="129" w:name="Tc_rqGxCz0GHUedxjzEtUL7pQ_17_0"/>
      <w:bookmarkStart w:id="130" w:name="Tc_KYVYU0Bzm0ScpoAGmUE61g_16_0"/>
      <w:bookmarkStart w:id="131" w:name="Tc_SQQeV_yo4kWZLKT3J0cfSQ_15_0"/>
      <w:bookmarkStart w:id="132" w:name="Tc_T2o53AVZkEWQBrOmbbsF1g_14_0"/>
      <w:bookmarkStart w:id="133" w:name="Tc_fyhEhpbw9Eyh02ZXn256Xw_13_0"/>
      <w:bookmarkStart w:id="134" w:name="Tc_qO1l6be74EuDjDvpUKzXUg_12_0"/>
      <w:bookmarkStart w:id="135" w:name="Tc_Wl2LcrBSBkaL9AGec1Z1oQ_11_0"/>
      <w:bookmarkStart w:id="136" w:name="Tc_EkRP9WAwRk6esjnf3Bsk0Q_9_0"/>
      <w:bookmarkStart w:id="137" w:name="Tc_e-Gh3EXg5keDkuWE0-IbHQ_8_0"/>
      <w:bookmarkStart w:id="138" w:name="Tc_HlWOd7PsFEmN0jmD40mkKg_7_0"/>
      <w:bookmarkStart w:id="139" w:name="Tc_IJa5awKyGki_Lk3Qo5U-nQ_6_0"/>
      <w:bookmarkStart w:id="140" w:name="Tc_MIhjkNCnGUeX0JqbaLking_5_0"/>
      <w:bookmarkStart w:id="141" w:name="Tc_V3aoxAQXSEGz47hgipjDmQ_4_5"/>
      <w:bookmarkStart w:id="142" w:name="Tc_VexZ-D9ylkS9pH3VwfhODA_4_2"/>
      <w:bookmarkStart w:id="143" w:name="Tc_TLHXMt16nEOMFCB89X10cA_4_0"/>
      <w:bookmarkStart w:id="144" w:name="Tc_zgeYcNSfLUe0SUQOd9T0tA_3_0"/>
      <w:bookmarkStart w:id="145" w:name="Tc_9QLXMuvpAEyvEv7hxjEy7w_2_5"/>
      <w:bookmarkStart w:id="146" w:name="Tc_56AB_JZAsEmwqWgaTuDUvA_2_2"/>
      <w:bookmarkStart w:id="147" w:name="Tc_tYCv-JJPIUGtoIOqB0sCrQ_1_5"/>
      <w:bookmarkStart w:id="148" w:name="Tc_1VfQnKV6BUW3krsoV0yPww_1_2"/>
      <w:bookmarkStart w:id="149" w:name="_1b64d133_a76f_429e_bc3a_50d5ab4644a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460"/>
        <w:gridCol w:w="326"/>
        <w:gridCol w:w="196"/>
        <w:gridCol w:w="770"/>
        <w:gridCol w:w="326"/>
        <w:gridCol w:w="221"/>
        <w:gridCol w:w="906"/>
      </w:tblGrid>
      <w:tr>
        <w:trPr/>
        <w:tc>
          <w:tcPr>
            <w:tcW w:w="7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37100" cy="175260"/>
                      <wp:effectExtent l="0" t="0" r="0" b="0"/>
                      <wp:wrapNone/>
                      <wp:docPr id="1" name="Frame1"/>
                      <a:graphic xmlns:a="http://schemas.openxmlformats.org/drawingml/2006/main">
                        <a:graphicData uri="http://schemas.microsoft.com/office/word/2010/wordprocessingShape">
                          <wps:wsp>
                            <wps:cNvSpPr txBox="1"/>
                            <wps:spPr>
                              <a:xfrm>
                                <a:off x="0" y="0"/>
                                <a:ext cx="4737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88950" cy="175260"/>
                      <wp:effectExtent l="0" t="0" r="0" b="0"/>
                      <wp:wrapNone/>
                      <wp:docPr id="4" name="Frame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0335" cy="175260"/>
                      <wp:effectExtent l="0" t="0" r="0" b="0"/>
                      <wp:wrapNone/>
                      <wp:docPr id="6" name="Frame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5310" cy="175260"/>
                      <wp:effectExtent l="0" t="0" r="0" b="0"/>
                      <wp:wrapNone/>
                      <wp:docPr id="7" name="Frame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3,650</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7,247</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1,843</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15,337</w:t>
            </w:r>
          </w:p>
        </w:tc>
      </w:tr>
      <w:tr>
        <w:trPr/>
        <w:tc>
          <w:tcPr>
            <w:tcW w:w="74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1,809</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3,409</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24,827</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25,352</w:t>
            </w:r>
          </w:p>
        </w:tc>
      </w:tr>
      <w:tr>
        <w:trPr/>
        <w:tc>
          <w:tcPr>
            <w:tcW w:w="74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1,612</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4,088</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8,860</w:t>
            </w:r>
          </w:p>
        </w:tc>
        <w:tc>
          <w:tcPr>
            <w:tcW w:w="326"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9,224</w:t>
            </w:r>
          </w:p>
        </w:tc>
      </w:tr>
      <w:tr>
        <w:trPr/>
        <w:tc>
          <w:tcPr>
            <w:tcW w:w="746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8,386</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21,401</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17,610</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Temporary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Series G Convertible Preferred Stock, $0.01 par value per share and $1,000 stated value per share, 4,000 shares authorized; 4,000 and 0 shares issued and outstanding as of March 31, 2025 and December 31, 2024, respectively; Liquidation preference of $4,388,444 as of March 31, 2025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$0.01 par value per share, 150,000,000 shares authorized; 5,261,024 shares issued and outstanding as of March 31, 2025 and December 31, 2024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473,337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473,824</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(477,425)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(472,706)</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(1,959)</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deficit attributable to XWELL, Inc.</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8,530</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2,859</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temporary equity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24,827</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25,352</w:t>
            </w:r>
          </w:p>
        </w:tc>
      </w:tr>
    </w:tbl>
    <w:p>
      <w:pPr>
        <w:pStyle w:val="TextBody"/>
        <w:bidi w:val="0"/>
        <w:spacing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3e1d9f68_d182_4a5b_b977_760b32c69db7"/>
      <w:bookmarkEnd w:id="150"/>
      <w:r>
        <w:rPr>
          <w:rFonts w:ascii="Times New Roman;Times;serif" w:hAnsi="Times New Roman;Times;serif"/>
          <w:b/>
          <w:sz w:val="20"/>
        </w:rPr>
        <w:t>XWELL, Inc. and Subsidiaries</w:t>
      </w:r>
    </w:p>
    <w:p>
      <w:pPr>
        <w:pStyle w:val="TextBody"/>
        <w:bidi w:val="0"/>
        <w:spacing w:before="0" w:after="0"/>
        <w:ind w:left="720" w:right="0" w:hanging="0"/>
        <w:jc w:val="center"/>
        <w:rPr>
          <w:rFonts w:ascii="Times New Roman;Times;serif" w:hAnsi="Times New Roman;Times;serif"/>
          <w:b/>
          <w:sz w:val="18"/>
        </w:rPr>
      </w:pPr>
      <w:r>
        <w:rPr>
          <w:rFonts w:ascii="Times New Roman;Times;serif" w:hAnsi="Times New Roman;Times;serif"/>
          <w:b/>
          <w:sz w:val="18"/>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(Unaudited) </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data)</w:t>
      </w:r>
    </w:p>
    <w:p>
      <w:pPr>
        <w:pStyle w:val="Normal"/>
        <w:bidi w:val="0"/>
        <w:spacing w:before="0" w:after="0"/>
        <w:jc w:val="left"/>
        <w:rPr>
          <w:sz w:val="4"/>
          <w:szCs w:val="4"/>
        </w:rPr>
      </w:pPr>
      <w:r>
        <w:rPr>
          <w:sz w:val="4"/>
          <w:szCs w:val="4"/>
        </w:rPr>
      </w:r>
      <w:bookmarkStart w:id="151" w:name="Tc_vqe3oY-tdk-Fwh254BN2bw_42_0"/>
      <w:bookmarkStart w:id="152" w:name="Tc_NxRGPObmO06WYSlQgkOaTg_41_0"/>
      <w:bookmarkStart w:id="153" w:name="Tc_CwMhU9iUsk6_fq1wQopsrA_40_0"/>
      <w:bookmarkStart w:id="154" w:name="Tc_m_pYe_E3XUq899kDNslmqA_39_5"/>
      <w:bookmarkStart w:id="155" w:name="Tc_xpQkHNcfzEeJfaszQsM_Ww_39_2"/>
      <w:bookmarkStart w:id="156" w:name="Tc_ryXvT_xkn0-gbkPxTKI7Nw_39_0"/>
      <w:bookmarkStart w:id="157" w:name="Tc_iPdak7bpGUSUZ2SecrZ3Iw_38_2"/>
      <w:bookmarkStart w:id="158" w:name="Tc_WKm9YwlbME2ox0ykaFdmxA_38_0"/>
      <w:bookmarkStart w:id="159" w:name="Tc_zs5tgCa4PkyljT-iTDgQBw_37_6"/>
      <w:bookmarkStart w:id="160" w:name="Tc_PwKJs5OsDUGwnj48rxzmsQ_37_0"/>
      <w:bookmarkStart w:id="161" w:name="Tc_O0gXlpQga0OtpzMjTBfyDA_36_6"/>
      <w:bookmarkStart w:id="162" w:name="Tc_IApyHSjM5EK1qG_D6yk7iw_36_0"/>
      <w:bookmarkStart w:id="163" w:name="Tc_MEzerrN4qkKXjc451SkXSQ_35_0"/>
      <w:bookmarkStart w:id="164" w:name="Tc_seHRtnIOVUCGaXfd6hHMIA_34_5"/>
      <w:bookmarkStart w:id="165" w:name="Tc_VeFezlYX102JD_pk7_SHjQ_34_2"/>
      <w:bookmarkStart w:id="166" w:name="Tc_fDBB8bntv0aOHdRXQCL7_A_34_0"/>
      <w:bookmarkStart w:id="167" w:name="Tc_KqbvCgzLekayeXh1IMxBLQ_33_0"/>
      <w:bookmarkStart w:id="168" w:name="Tc_o_6xOeHDPUqAvDOQrll8Uw_32_0"/>
      <w:bookmarkStart w:id="169" w:name="Tc_rbv0PYPtKk-MY0sfLB1IDQ_31_5"/>
      <w:bookmarkStart w:id="170" w:name="Tc_mplAmbDtw0G83D1LaQRZ0g_31_2"/>
      <w:bookmarkStart w:id="171" w:name="Tc_bEP3WG4UfEGIfU5emlqofQ_31_0"/>
      <w:bookmarkStart w:id="172" w:name="Tc_cpWWoh_1GkeVhWdDFesQdg_30_0"/>
      <w:bookmarkStart w:id="173" w:name="Tc_08B4m3PD10ahO2-_jXzgiw_29_0"/>
      <w:bookmarkStart w:id="174" w:name="Tc_i5HH8W1x_USY_g4B5lra9w_28_6"/>
      <w:bookmarkStart w:id="175" w:name="Tc_5o7F4xqJJkKrceRUdWIfqg_28_3"/>
      <w:bookmarkStart w:id="176" w:name="Tc_NuHKmsYb7U2XcufEz6gKNw_28_0"/>
      <w:bookmarkStart w:id="177" w:name="Tc_Uzup4_PBo0eLu0JsqJbhOw_27_0"/>
      <w:bookmarkStart w:id="178" w:name="Tc_UxCCFCPZj0mP1MQvBnz4KQ_26_0"/>
      <w:bookmarkStart w:id="179" w:name="Tc_0oZjyG6Ec0-Q7kgA5DTFMw_25_0"/>
      <w:bookmarkStart w:id="180" w:name="Tc_Ev3oF_2mGkOYgZUrvaAIIA_24_0"/>
      <w:bookmarkStart w:id="181" w:name="Tc_VtYrZzyaHkK5ElOnka9P3w_23_0"/>
      <w:bookmarkStart w:id="182" w:name="Tc_K7U8HWigD0WPp2KmEpJEYw_22_6"/>
      <w:bookmarkStart w:id="183" w:name="Tc_ZOkUJnJeMUGgA9bMjJsg-w_22_0"/>
      <w:bookmarkStart w:id="184" w:name="Tc_pde-BQFk40arg0P96niaQw_21_6"/>
      <w:bookmarkStart w:id="185" w:name="Tc_bvwNsKbn10uUqSu4_mHamQ_21_0"/>
      <w:bookmarkStart w:id="186" w:name="Tc_hkr2AIf54kC39sUwgjUHLg_20_6"/>
      <w:bookmarkStart w:id="187" w:name="Tc_qmwWTbmW_0G_tYEvUu89NA_20_0"/>
      <w:bookmarkStart w:id="188" w:name="Tc_uEz7PzWgekyYpgusgAU1sw_19_0"/>
      <w:bookmarkStart w:id="189" w:name="Tc_c3h4by3SBE6TeCNBAhg_OQ_18_0"/>
      <w:bookmarkStart w:id="190" w:name="Tc_WlbMv2phw0-bMtmSSe4cOw_17_0"/>
      <w:bookmarkStart w:id="191" w:name="Tc_C91I9lA0s0Kl-I5EQsJWAA_16_3"/>
      <w:bookmarkStart w:id="192" w:name="Tc__y_xfClVM0m--zSOwzKtXQ_16_0"/>
      <w:bookmarkStart w:id="193" w:name="Tc_-N1IhadL8k-mrqTCVP0Slg_15_0"/>
      <w:bookmarkStart w:id="194" w:name="Tc_f3GTJll8WECPU_tbnaVUJQ_14_0"/>
      <w:bookmarkStart w:id="195" w:name="Tc_wgvEWcfYXEmA7RIGLN7Nmg_13_0"/>
      <w:bookmarkStart w:id="196" w:name="Tc_mrBxM_LNo0KuM1F8lVsxIA_12_0"/>
      <w:bookmarkStart w:id="197" w:name="Tc_ULVQVRjem0KJRfLpBZcBHg_11_0"/>
      <w:bookmarkStart w:id="198" w:name="Tc_jdlXHz5f60CL3VHp0j-9Ng_10_0"/>
      <w:bookmarkStart w:id="199" w:name="Tc_cld-AtmnZkGvmGOZzmDWDg_9_0"/>
      <w:bookmarkStart w:id="200" w:name="Tc_dr6lI46-uk-L4MvdRHzWqg_7_0"/>
      <w:bookmarkStart w:id="201" w:name="Tc_6GHawZ3YN0yeIOkWDIoyTw_6_0"/>
      <w:bookmarkStart w:id="202" w:name="Tc_G6FwCeM1dkKqOX4UC9XBhg_5_5"/>
      <w:bookmarkStart w:id="203" w:name="Tc_syl-YQNW_kC5ttKUNkLkHg_5_2"/>
      <w:bookmarkStart w:id="204" w:name="Tc_6MPI5gxSLEmeFfpVbrZSkQ_5_0"/>
      <w:bookmarkStart w:id="205" w:name="Tc_1-AS8UZMZEKZYmtoI7i6gQ_4_0"/>
      <w:bookmarkStart w:id="206" w:name="Tc_UhZbBO1Bm0KHOIs5Y61Kag_2_5"/>
      <w:bookmarkStart w:id="207" w:name="Tc_rvWj4WNIvU-Vq6WhJFzI6g_2_2"/>
      <w:bookmarkStart w:id="208" w:name="Tc_LuyLWE11pEeMA5DvXR9PBw_1_2"/>
      <w:bookmarkStart w:id="209" w:name="_d5f39e76_ffda_42ea_b98d_935cecdc7e45"/>
      <w:bookmarkStart w:id="210" w:name="_69cb15e0_d624_4eb0_82ff_d270bfdfbb5a"/>
      <w:bookmarkStart w:id="211" w:name="Tc_vqe3oY-tdk-Fwh254BN2bw_42_0"/>
      <w:bookmarkStart w:id="212" w:name="Tc_NxRGPObmO06WYSlQgkOaTg_41_0"/>
      <w:bookmarkStart w:id="213" w:name="Tc_CwMhU9iUsk6_fq1wQopsrA_40_0"/>
      <w:bookmarkStart w:id="214" w:name="Tc_m_pYe_E3XUq899kDNslmqA_39_5"/>
      <w:bookmarkStart w:id="215" w:name="Tc_xpQkHNcfzEeJfaszQsM_Ww_39_2"/>
      <w:bookmarkStart w:id="216" w:name="Tc_ryXvT_xkn0-gbkPxTKI7Nw_39_0"/>
      <w:bookmarkStart w:id="217" w:name="Tc_iPdak7bpGUSUZ2SecrZ3Iw_38_2"/>
      <w:bookmarkStart w:id="218" w:name="Tc_WKm9YwlbME2ox0ykaFdmxA_38_0"/>
      <w:bookmarkStart w:id="219" w:name="Tc_zs5tgCa4PkyljT-iTDgQBw_37_6"/>
      <w:bookmarkStart w:id="220" w:name="Tc_PwKJs5OsDUGwnj48rxzmsQ_37_0"/>
      <w:bookmarkStart w:id="221" w:name="Tc_O0gXlpQga0OtpzMjTBfyDA_36_6"/>
      <w:bookmarkStart w:id="222" w:name="Tc_IApyHSjM5EK1qG_D6yk7iw_36_0"/>
      <w:bookmarkStart w:id="223" w:name="Tc_MEzerrN4qkKXjc451SkXSQ_35_0"/>
      <w:bookmarkStart w:id="224" w:name="Tc_seHRtnIOVUCGaXfd6hHMIA_34_5"/>
      <w:bookmarkStart w:id="225" w:name="Tc_VeFezlYX102JD_pk7_SHjQ_34_2"/>
      <w:bookmarkStart w:id="226" w:name="Tc_fDBB8bntv0aOHdRXQCL7_A_34_0"/>
      <w:bookmarkStart w:id="227" w:name="Tc_KqbvCgzLekayeXh1IMxBLQ_33_0"/>
      <w:bookmarkStart w:id="228" w:name="Tc_o_6xOeHDPUqAvDOQrll8Uw_32_0"/>
      <w:bookmarkStart w:id="229" w:name="Tc_rbv0PYPtKk-MY0sfLB1IDQ_31_5"/>
      <w:bookmarkStart w:id="230" w:name="Tc_mplAmbDtw0G83D1LaQRZ0g_31_2"/>
      <w:bookmarkStart w:id="231" w:name="Tc_bEP3WG4UfEGIfU5emlqofQ_31_0"/>
      <w:bookmarkStart w:id="232" w:name="Tc_cpWWoh_1GkeVhWdDFesQdg_30_0"/>
      <w:bookmarkStart w:id="233" w:name="Tc_08B4m3PD10ahO2-_jXzgiw_29_0"/>
      <w:bookmarkStart w:id="234" w:name="Tc_i5HH8W1x_USY_g4B5lra9w_28_6"/>
      <w:bookmarkStart w:id="235" w:name="Tc_5o7F4xqJJkKrceRUdWIfqg_28_3"/>
      <w:bookmarkStart w:id="236" w:name="Tc_NuHKmsYb7U2XcufEz6gKNw_28_0"/>
      <w:bookmarkStart w:id="237" w:name="Tc_Uzup4_PBo0eLu0JsqJbhOw_27_0"/>
      <w:bookmarkStart w:id="238" w:name="Tc_UxCCFCPZj0mP1MQvBnz4KQ_26_0"/>
      <w:bookmarkStart w:id="239" w:name="Tc_0oZjyG6Ec0-Q7kgA5DTFMw_25_0"/>
      <w:bookmarkStart w:id="240" w:name="Tc_Ev3oF_2mGkOYgZUrvaAIIA_24_0"/>
      <w:bookmarkStart w:id="241" w:name="Tc_VtYrZzyaHkK5ElOnka9P3w_23_0"/>
      <w:bookmarkStart w:id="242" w:name="Tc_K7U8HWigD0WPp2KmEpJEYw_22_6"/>
      <w:bookmarkStart w:id="243" w:name="Tc_ZOkUJnJeMUGgA9bMjJsg-w_22_0"/>
      <w:bookmarkStart w:id="244" w:name="Tc_pde-BQFk40arg0P96niaQw_21_6"/>
      <w:bookmarkStart w:id="245" w:name="Tc_bvwNsKbn10uUqSu4_mHamQ_21_0"/>
      <w:bookmarkStart w:id="246" w:name="Tc_hkr2AIf54kC39sUwgjUHLg_20_6"/>
      <w:bookmarkStart w:id="247" w:name="Tc_qmwWTbmW_0G_tYEvUu89NA_20_0"/>
      <w:bookmarkStart w:id="248" w:name="Tc_uEz7PzWgekyYpgusgAU1sw_19_0"/>
      <w:bookmarkStart w:id="249" w:name="Tc_c3h4by3SBE6TeCNBAhg_OQ_18_0"/>
      <w:bookmarkStart w:id="250" w:name="Tc_WlbMv2phw0-bMtmSSe4cOw_17_0"/>
      <w:bookmarkStart w:id="251" w:name="Tc_C91I9lA0s0Kl-I5EQsJWAA_16_3"/>
      <w:bookmarkStart w:id="252" w:name="Tc__y_xfClVM0m--zSOwzKtXQ_16_0"/>
      <w:bookmarkStart w:id="253" w:name="Tc_-N1IhadL8k-mrqTCVP0Slg_15_0"/>
      <w:bookmarkStart w:id="254" w:name="Tc_f3GTJll8WECPU_tbnaVUJQ_14_0"/>
      <w:bookmarkStart w:id="255" w:name="Tc_wgvEWcfYXEmA7RIGLN7Nmg_13_0"/>
      <w:bookmarkStart w:id="256" w:name="Tc_mrBxM_LNo0KuM1F8lVsxIA_12_0"/>
      <w:bookmarkStart w:id="257" w:name="Tc_ULVQVRjem0KJRfLpBZcBHg_11_0"/>
      <w:bookmarkStart w:id="258" w:name="Tc_jdlXHz5f60CL3VHp0j-9Ng_10_0"/>
      <w:bookmarkStart w:id="259" w:name="Tc_cld-AtmnZkGvmGOZzmDWDg_9_0"/>
      <w:bookmarkStart w:id="260" w:name="Tc_dr6lI46-uk-L4MvdRHzWqg_7_0"/>
      <w:bookmarkStart w:id="261" w:name="Tc_6GHawZ3YN0yeIOkWDIoyTw_6_0"/>
      <w:bookmarkStart w:id="262" w:name="Tc_G6FwCeM1dkKqOX4UC9XBhg_5_5"/>
      <w:bookmarkStart w:id="263" w:name="Tc_syl-YQNW_kC5ttKUNkLkHg_5_2"/>
      <w:bookmarkStart w:id="264" w:name="Tc_6MPI5gxSLEmeFfpVbrZSkQ_5_0"/>
      <w:bookmarkStart w:id="265" w:name="Tc_1-AS8UZMZEKZYmtoI7i6gQ_4_0"/>
      <w:bookmarkStart w:id="266" w:name="Tc_UhZbBO1Bm0KHOIs5Y61Kag_2_5"/>
      <w:bookmarkStart w:id="267" w:name="Tc_rvWj4WNIvU-Vq6WhJFzI6g_2_2"/>
      <w:bookmarkStart w:id="268" w:name="Tc_LuyLWE11pEeMA5DvXR9PBw_1_2"/>
      <w:bookmarkStart w:id="269" w:name="_d5f39e76_ffda_42ea_b98d_935cecdc7e45"/>
      <w:bookmarkStart w:id="270" w:name="_69cb15e0_d624_4eb0_82ff_d270bfdfbb5a"/>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W w:w="7645" w:type="dxa"/>
        <w:jc w:val="left"/>
        <w:tblInd w:w="0" w:type="dxa"/>
        <w:tblLayout w:type="fixed"/>
        <w:tblCellMar>
          <w:top w:w="0" w:type="dxa"/>
          <w:left w:w="0" w:type="dxa"/>
          <w:bottom w:w="0" w:type="dxa"/>
          <w:right w:w="0" w:type="dxa"/>
        </w:tblCellMar>
      </w:tblPr>
      <w:tblGrid>
        <w:gridCol w:w="4711"/>
        <w:gridCol w:w="326"/>
        <w:gridCol w:w="206"/>
        <w:gridCol w:w="871"/>
        <w:gridCol w:w="343"/>
        <w:gridCol w:w="206"/>
        <w:gridCol w:w="982"/>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91485" cy="175260"/>
                      <wp:effectExtent l="0" t="0" r="0" b="0"/>
                      <wp:wrapNone/>
                      <wp:docPr id="8" name="Frame8"/>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3085" cy="175260"/>
                      <wp:effectExtent l="0" t="0" r="0" b="0"/>
                      <wp:wrapNone/>
                      <wp:docPr id="11" name="Frame1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7805" cy="175260"/>
                      <wp:effectExtent l="0" t="0" r="0" b="0"/>
                      <wp:wrapNone/>
                      <wp:docPr id="12" name="Frame1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0810" cy="175260"/>
                      <wp:effectExtent l="0" t="0" r="0" b="0"/>
                      <wp:wrapNone/>
                      <wp:docPr id="13" name="Frame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23570" cy="175260"/>
                      <wp:effectExtent l="0" t="0" r="0" b="0"/>
                      <wp:wrapNone/>
                      <wp:docPr id="14" name="Frame14"/>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4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3" w:type="dxa"/>
            <w:tcBorders/>
            <w:vAlign w:val="center"/>
          </w:tcPr>
          <w:p>
            <w:pPr>
              <w:pStyle w:val="TableContents"/>
              <w:bidi w:val="0"/>
              <w:spacing w:before="0" w:after="1"/>
              <w:ind w:left="0" w:right="0" w:hanging="0"/>
              <w:jc w:val="center"/>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pPr>
            <w:r>
              <w:rPr/>
              <w:t>  </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6,420</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7,023</w:t>
            </w:r>
          </w:p>
        </w:tc>
        <w:tc>
          <w:tcPr>
            <w:tcW w:w="343" w:type="dxa"/>
            <w:tcBorders/>
            <w:vAlign w:val="center"/>
          </w:tcPr>
          <w:p>
            <w:pPr>
              <w:pStyle w:val="TableContents"/>
              <w:bidi w:val="0"/>
              <w:spacing w:before="0" w:after="1"/>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8,726</w:t>
            </w:r>
          </w:p>
        </w:tc>
      </w:tr>
      <w:tr>
        <w:trPr/>
        <w:tc>
          <w:tcPr>
            <w:tcW w:w="4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lef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pPr>
            <w:r>
              <w:rPr/>
              <w:t>  </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Labor</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3,967</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4,149</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1,134</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964</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5,704</w:t>
            </w:r>
          </w:p>
        </w:tc>
        <w:tc>
          <w:tcPr>
            <w:tcW w:w="343" w:type="dxa"/>
            <w:tcBorders/>
            <w:vAlign w:val="center"/>
          </w:tcPr>
          <w:p>
            <w:pPr>
              <w:pStyle w:val="TableContents"/>
              <w:bidi w:val="0"/>
              <w:spacing w:before="0" w:after="1"/>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1,319</w:t>
            </w:r>
          </w:p>
        </w:tc>
        <w:tc>
          <w:tcPr>
            <w:tcW w:w="343"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2,671</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4,311</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4,173</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4,477</w:t>
            </w:r>
          </w:p>
        </w:tc>
        <w:tc>
          <w:tcPr>
            <w:tcW w:w="343" w:type="dxa"/>
            <w:tcBorders/>
            <w:shd w:fill="CCEEFF" w:val="clear"/>
            <w:vAlign w:val="center"/>
          </w:tcPr>
          <w:p>
            <w:pPr>
              <w:pStyle w:val="TableContents"/>
              <w:bidi w:val="0"/>
              <w:spacing w:before="0" w:after="1"/>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5,050</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(3,158)</w:t>
            </w:r>
          </w:p>
        </w:tc>
        <w:tc>
          <w:tcPr>
            <w:tcW w:w="343"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(2,379)</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343"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2,590</w:t>
            </w:r>
          </w:p>
        </w:tc>
        <w:tc>
          <w:tcPr>
            <w:tcW w:w="343"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righ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issuance of Series G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(3,443)</w:t>
            </w:r>
          </w:p>
        </w:tc>
        <w:tc>
          <w:tcPr>
            <w:tcW w:w="343"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exchange loss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investments, realized and unrealized</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w:t>
            </w:r>
          </w:p>
        </w:tc>
        <w:tc>
          <w:tcPr>
            <w:tcW w:w="343"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w:t>
            </w:r>
          </w:p>
        </w:tc>
        <w:tc>
          <w:tcPr>
            <w:tcW w:w="343"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(4,719)</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(4,588)</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 from operations</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(4,399)</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82" w:type="dxa"/>
            <w:tcBorders/>
            <w:vAlign w:val="center"/>
          </w:tcPr>
          <w:p>
            <w:pPr>
              <w:pStyle w:val="TableContents"/>
              <w:bidi w:val="0"/>
              <w:spacing w:before="0" w:after="1"/>
              <w:ind w:left="0" w:right="0" w:hanging="0"/>
              <w:jc w:val="lef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82" w:type="dxa"/>
            <w:tcBorders/>
            <w:shd w:fill="CCEEFF" w:val="clear"/>
            <w:vAlign w:val="center"/>
          </w:tcPr>
          <w:p>
            <w:pPr>
              <w:pStyle w:val="TableContents"/>
              <w:bidi w:val="0"/>
              <w:spacing w:before="0" w:after="1"/>
              <w:ind w:left="0" w:right="0" w:hanging="0"/>
              <w:jc w:val="right"/>
              <w:rPr/>
            </w:pPr>
            <w:r>
              <w:rPr/>
              <w:t>—</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accretion</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 common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(5,286)</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(0.60)</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82" w:type="dxa"/>
            <w:tcBorders/>
            <w:shd w:fill="CCEEFF" w:val="clear"/>
            <w:vAlign w:val="center"/>
          </w:tcPr>
          <w:p>
            <w:pPr>
              <w:pStyle w:val="TableContents"/>
              <w:bidi w:val="0"/>
              <w:spacing w:before="0" w:after="1"/>
              <w:ind w:left="0" w:right="0" w:hanging="0"/>
              <w:jc w:val="right"/>
              <w:rPr/>
            </w:pPr>
            <w:r>
              <w:rPr/>
              <w:t>  </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5,261,024</w:t>
            </w:r>
          </w:p>
        </w:tc>
        <w:tc>
          <w:tcPr>
            <w:tcW w:w="343"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4,182,617</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5,261,024</w:t>
            </w:r>
          </w:p>
        </w:tc>
        <w:tc>
          <w:tcPr>
            <w:tcW w:w="343"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4,182,617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1" w:name="_7efdf81d_fbe5_4dc0_83f4_55883ce47f11"/>
      <w:bookmarkEnd w:id="271"/>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2" w:name="Tc_pzIZqwEFf0GbNkX-ZMs1ag_12_29"/>
      <w:bookmarkStart w:id="273" w:name="Tc_OfcW3grpck2JCg9Hw6wMEA_12_26"/>
      <w:bookmarkStart w:id="274" w:name="Tc_qkIeCmV3GEKk5gOQz9zj5A_12_23"/>
      <w:bookmarkStart w:id="275" w:name="Tc_wJT-k2IRSEO_dvm7uNB64w_12_20"/>
      <w:bookmarkStart w:id="276" w:name="Tc_XDYMhOwVIUukYFPMfnzXrQ_12_17"/>
      <w:bookmarkStart w:id="277" w:name="Tc_ACHOFkuZ4EulOfeTdNv5dw_12_14"/>
      <w:bookmarkStart w:id="278" w:name="Tc_w-HXHEpgXEidtZHa4GZ12A_12_11"/>
      <w:bookmarkStart w:id="279" w:name="Tc_xpaL0cs6X0u2PfrF7sBu3A_12_5"/>
      <w:bookmarkStart w:id="280" w:name="Tc_h25BgvnZjkCsET4mbfMElg_12_0"/>
      <w:bookmarkStart w:id="281" w:name="Tc_K4jJNk03GkSZI2lGmSQgsQ_11_21"/>
      <w:bookmarkStart w:id="282" w:name="Tc_mXvJP9tf8ke2O4SQgNz8hQ_11_15"/>
      <w:bookmarkStart w:id="283" w:name="Tc_P4dUsHO1bU-vRKYYFRKJeQ_11_12"/>
      <w:bookmarkStart w:id="284" w:name="Tc_QTWJPrxZZ0mAEdw8mpqYwA_11_9"/>
      <w:bookmarkStart w:id="285" w:name="Tc_Nqozp0uQ3UGTieWa1c5kRQ_11_6"/>
      <w:bookmarkStart w:id="286" w:name="Tc_IvPfmyaK3kmHRHWkww71Cw_11_3"/>
      <w:bookmarkStart w:id="287" w:name="Tc_qkvTkUOkVUG6e7Jg4nQL5g_11_0"/>
      <w:bookmarkStart w:id="288" w:name="Tc_yQ8yA55QVk6nUdsDD5Dkow_10_18"/>
      <w:bookmarkStart w:id="289" w:name="Tc_L-y-rNKa2UW7d9AZv1OoKg_10_15"/>
      <w:bookmarkStart w:id="290" w:name="Tc_DrI951Q6V0S7YUsB2v_RZw_10_12"/>
      <w:bookmarkStart w:id="291" w:name="Tc_GRT5PEzeKEqSVvdPr4VNAA_10_9"/>
      <w:bookmarkStart w:id="292" w:name="Tc_PbDGF5G_FE-3XUFf4oEZnQ_10_6"/>
      <w:bookmarkStart w:id="293" w:name="Tc_cYqBR_MmD0yVtoQkh8zEnA_10_3"/>
      <w:bookmarkStart w:id="294" w:name="Tc_HMUdnz8SfECQgepBcEYj_Q_10_0"/>
      <w:bookmarkStart w:id="295" w:name="Tc_6JwdP0OYs0OsS2UElwrgXA_9_27"/>
      <w:bookmarkStart w:id="296" w:name="Tc_YT_JdXKO20CnX5YKAjC8ng_9_21"/>
      <w:bookmarkStart w:id="297" w:name="Tc_twVFGBP-xEWVBWR6S9LvPQ_9_18"/>
      <w:bookmarkStart w:id="298" w:name="Tc_BouuXyjgzE2Llzbi0Kr3RQ_9_12"/>
      <w:bookmarkStart w:id="299" w:name="Tc_p1iQ5Oh2bEWtF7iq5jXppw_9_9"/>
      <w:bookmarkStart w:id="300" w:name="Tc_HI55OhqycUqKC5cK-M5Fag_9_3"/>
      <w:bookmarkStart w:id="301" w:name="Tc_lS8vYNbQTkus3cbmPal76Q_9_0"/>
      <w:bookmarkStart w:id="302" w:name="Tc_SPw5IuqBW0mt898fmY98sA_8_27"/>
      <w:bookmarkStart w:id="303" w:name="Tc_KUYWAH9hw0C2pUlKkET7ng_8_21"/>
      <w:bookmarkStart w:id="304" w:name="Tc_v1zJ0UbH9EufRRgOhoL7xA_8_18"/>
      <w:bookmarkStart w:id="305" w:name="Tc_KZLhvorZbkOFLGrKdPHBlg_8_12"/>
      <w:bookmarkStart w:id="306" w:name="Tc_zfj7d3ccQk61YWw2BjnwAA_8_9"/>
      <w:bookmarkStart w:id="307" w:name="Tc_fyO3Qk71S0SjJMviXmJfsg_8_3"/>
      <w:bookmarkStart w:id="308" w:name="Tc_Oz_NMtNnZEqcLs-gwFNlYw_8_0"/>
      <w:bookmarkStart w:id="309" w:name="Tc_GNW5RneRUky6VcpuLBflhA_7_30"/>
      <w:bookmarkStart w:id="310" w:name="Tc_h2Hn1H6gZ0yyoFG1O85Urg_7_27"/>
      <w:bookmarkStart w:id="311" w:name="Tc_eoeocuJCBkGx-oeqmigKJQ_7_24"/>
      <w:bookmarkStart w:id="312" w:name="Tc_g-zcpoc7VUydag9_QtbulA_7_21"/>
      <w:bookmarkStart w:id="313" w:name="Tc_Xlja9_4NA0yLrwMMNl3VBA_7_18"/>
      <w:bookmarkStart w:id="314" w:name="Tc_Izml73yX_UuDXW-9G0lSMA_7_15"/>
      <w:bookmarkStart w:id="315" w:name="Tc__EF8CNKAck-LlwpFdnQKIw_7_12"/>
      <w:bookmarkStart w:id="316" w:name="Tc_tuncAbGyu0qpwfQkKBKgAg_7_9"/>
      <w:bookmarkStart w:id="317" w:name="Tc_jqiSCN---U-QBpMFUjBJ-Q_7_6"/>
      <w:bookmarkStart w:id="318" w:name="Tc_mWZBQbUISkS31I5cUVZAZg_7_0"/>
      <w:bookmarkStart w:id="319" w:name="Tc_e1qxLGtUV0i-Hugc-jBIOg_6_21"/>
      <w:bookmarkStart w:id="320" w:name="Tc_ChWmK-fnW0WQe-QBA6c37g_6_18"/>
      <w:bookmarkStart w:id="321" w:name="Tc_fnWy-qaJM0qfVgjLWpzWDw_6_12"/>
      <w:bookmarkStart w:id="322" w:name="Tc_HpAGL4svGE25PzmDaIx53A_6_9"/>
      <w:bookmarkStart w:id="323" w:name="Tc_SBbVrUHvVEeKtQQBtq5YDw_6_6"/>
      <w:bookmarkStart w:id="324" w:name="Tc_MDqA8ul6Vk-cyBdc-cAY2A_6_3"/>
      <w:bookmarkStart w:id="325" w:name="Tc_A9xSFepTZ0-PbGGoV1iXDw_6_0"/>
      <w:bookmarkStart w:id="326" w:name="Tc_h3m_MfsNcE6TpMSvo3069w_5_29"/>
      <w:bookmarkStart w:id="327" w:name="Tc_Jj784KxqbEeEvkjec4ZVoQ_5_26"/>
      <w:bookmarkStart w:id="328" w:name="Tc_PpO1YGTqM0uYP2Pfufsbiw_5_23"/>
      <w:bookmarkStart w:id="329" w:name="Tc_PNWCyf4VhU2CnkRfkabFbA_5_20"/>
      <w:bookmarkStart w:id="330" w:name="Tc_1esp-xDvj0G2uYVKRP3aEQ_5_17"/>
      <w:bookmarkStart w:id="331" w:name="Tc_clbgLq7g6EiEJPn1Fc0k8g_5_14"/>
      <w:bookmarkStart w:id="332" w:name="Tc_F-GCMzxJgUyqXQUAjRf9AA_5_11"/>
      <w:bookmarkStart w:id="333" w:name="Tc_GZuKCV6K3E-GsWYS_6y0HA_5_6"/>
      <w:bookmarkStart w:id="334" w:name="Tc_S1vTJo1KhkyHyR2RGkSf1g_5_5"/>
      <w:bookmarkStart w:id="335" w:name="Tc_xmVsa4Km502wu9SPlKcZaw_5_3"/>
      <w:bookmarkStart w:id="336" w:name="Tc_A_4iHaFDSUaF7snsNdmSNw_5_0"/>
      <w:bookmarkStart w:id="337" w:name="Tc_aktJ3dYxVkmgmYpl-QoBNg_4_29"/>
      <w:bookmarkStart w:id="338" w:name="Tc_kFIdvHabJEiLxhE1CDSfHg_4_26"/>
      <w:bookmarkStart w:id="339" w:name="Tc_LFHcLOcOPUiUTvTE-MzOFQ_4_23"/>
      <w:bookmarkStart w:id="340" w:name="Tc_3qUwIZMxIkCJ8jviXKQ_SQ_4_20"/>
      <w:bookmarkStart w:id="341" w:name="Tc_dis8c99iGEGHJ_FFL3Arvg_4_17"/>
      <w:bookmarkStart w:id="342" w:name="Tc_N4YLnSRaBk6xHyScRWadcQ_4_14"/>
      <w:bookmarkStart w:id="343" w:name="Tc_NF9JUyn0l0m2nk5a5bQBCA_4_11"/>
      <w:bookmarkStart w:id="344" w:name="Tc_9slyUCXIL0-Uu51DirJVDA_4_9"/>
      <w:bookmarkStart w:id="345" w:name="Tc_MzRKXQqj3EubkKrjZfXRtg_4_5"/>
      <w:bookmarkStart w:id="346" w:name="Tc_ITKvB2IOPEK2M-aZKmDcEA_4_3"/>
      <w:bookmarkStart w:id="347" w:name="Tc_qzd8AcGMO0GbXQQswckJMg_3_29"/>
      <w:bookmarkStart w:id="348" w:name="Tc_d8lCC3FtKUGtPEHd07rCuA_3_26"/>
      <w:bookmarkStart w:id="349" w:name="Tc_59ks5dmwGEy-NOb7S8cV1w_3_23"/>
      <w:bookmarkStart w:id="350" w:name="Tc_vueVPhnMmkWzOsoC2QgpQQ_3_20"/>
      <w:bookmarkStart w:id="351" w:name="Tc_JQOo2Mj7rkCJuELVex5bsQ_3_17"/>
      <w:bookmarkStart w:id="352" w:name="Tc_jfWfHhi00kClLdtXRH8u2g_3_14"/>
      <w:bookmarkStart w:id="353" w:name="Tc_kv5peTCTCEiKtLW8XO5q8g_3_9"/>
      <w:bookmarkStart w:id="354" w:name="Tc_jrkPA8wO1U6bIuuNEya46A_3_3"/>
      <w:bookmarkStart w:id="355" w:name="Tc_kVpRyLX1gkGP6_xe2K-gVw_2_26"/>
      <w:bookmarkStart w:id="356" w:name="Tc_Ib5AVFpi50W1cGxPE3xh9Q_2_23"/>
      <w:bookmarkStart w:id="357" w:name="Tc_rsI02jv2AkWg3eLk-6DdXA_2_20"/>
      <w:bookmarkStart w:id="358" w:name="Tc_JLK2tetOaku0t18jA4JrxA_2_14"/>
      <w:bookmarkStart w:id="359" w:name="Tc_TE6DoHpVzE-x3VgK30bH2A_2_3"/>
      <w:bookmarkStart w:id="360" w:name="Tc_eSPybUmZzUCoiL-T3qztXg_1_20"/>
      <w:bookmarkStart w:id="361" w:name="_f926ee1d_6f17_4e3c_b3b1_cd58758c1286"/>
      <w:bookmarkStart w:id="362" w:name="Tc_pzIZqwEFf0GbNkX-ZMs1ag_12_29"/>
      <w:bookmarkStart w:id="363" w:name="Tc_OfcW3grpck2JCg9Hw6wMEA_12_26"/>
      <w:bookmarkStart w:id="364" w:name="Tc_qkIeCmV3GEKk5gOQz9zj5A_12_23"/>
      <w:bookmarkStart w:id="365" w:name="Tc_wJT-k2IRSEO_dvm7uNB64w_12_20"/>
      <w:bookmarkStart w:id="366" w:name="Tc_XDYMhOwVIUukYFPMfnzXrQ_12_17"/>
      <w:bookmarkStart w:id="367" w:name="Tc_ACHOFkuZ4EulOfeTdNv5dw_12_14"/>
      <w:bookmarkStart w:id="368" w:name="Tc_w-HXHEpgXEidtZHa4GZ12A_12_11"/>
      <w:bookmarkStart w:id="369" w:name="Tc_xpaL0cs6X0u2PfrF7sBu3A_12_5"/>
      <w:bookmarkStart w:id="370" w:name="Tc_h25BgvnZjkCsET4mbfMElg_12_0"/>
      <w:bookmarkStart w:id="371" w:name="Tc_K4jJNk03GkSZI2lGmSQgsQ_11_21"/>
      <w:bookmarkStart w:id="372" w:name="Tc_mXvJP9tf8ke2O4SQgNz8hQ_11_15"/>
      <w:bookmarkStart w:id="373" w:name="Tc_P4dUsHO1bU-vRKYYFRKJeQ_11_12"/>
      <w:bookmarkStart w:id="374" w:name="Tc_QTWJPrxZZ0mAEdw8mpqYwA_11_9"/>
      <w:bookmarkStart w:id="375" w:name="Tc_Nqozp0uQ3UGTieWa1c5kRQ_11_6"/>
      <w:bookmarkStart w:id="376" w:name="Tc_IvPfmyaK3kmHRHWkww71Cw_11_3"/>
      <w:bookmarkStart w:id="377" w:name="Tc_qkvTkUOkVUG6e7Jg4nQL5g_11_0"/>
      <w:bookmarkStart w:id="378" w:name="Tc_yQ8yA55QVk6nUdsDD5Dkow_10_18"/>
      <w:bookmarkStart w:id="379" w:name="Tc_L-y-rNKa2UW7d9AZv1OoKg_10_15"/>
      <w:bookmarkStart w:id="380" w:name="Tc_DrI951Q6V0S7YUsB2v_RZw_10_12"/>
      <w:bookmarkStart w:id="381" w:name="Tc_GRT5PEzeKEqSVvdPr4VNAA_10_9"/>
      <w:bookmarkStart w:id="382" w:name="Tc_PbDGF5G_FE-3XUFf4oEZnQ_10_6"/>
      <w:bookmarkStart w:id="383" w:name="Tc_cYqBR_MmD0yVtoQkh8zEnA_10_3"/>
      <w:bookmarkStart w:id="384" w:name="Tc_HMUdnz8SfECQgepBcEYj_Q_10_0"/>
      <w:bookmarkStart w:id="385" w:name="Tc_6JwdP0OYs0OsS2UElwrgXA_9_27"/>
      <w:bookmarkStart w:id="386" w:name="Tc_YT_JdXKO20CnX5YKAjC8ng_9_21"/>
      <w:bookmarkStart w:id="387" w:name="Tc_twVFGBP-xEWVBWR6S9LvPQ_9_18"/>
      <w:bookmarkStart w:id="388" w:name="Tc_BouuXyjgzE2Llzbi0Kr3RQ_9_12"/>
      <w:bookmarkStart w:id="389" w:name="Tc_p1iQ5Oh2bEWtF7iq5jXppw_9_9"/>
      <w:bookmarkStart w:id="390" w:name="Tc_HI55OhqycUqKC5cK-M5Fag_9_3"/>
      <w:bookmarkStart w:id="391" w:name="Tc_lS8vYNbQTkus3cbmPal76Q_9_0"/>
      <w:bookmarkStart w:id="392" w:name="Tc_SPw5IuqBW0mt898fmY98sA_8_27"/>
      <w:bookmarkStart w:id="393" w:name="Tc_KUYWAH9hw0C2pUlKkET7ng_8_21"/>
      <w:bookmarkStart w:id="394" w:name="Tc_v1zJ0UbH9EufRRgOhoL7xA_8_18"/>
      <w:bookmarkStart w:id="395" w:name="Tc_KZLhvorZbkOFLGrKdPHBlg_8_12"/>
      <w:bookmarkStart w:id="396" w:name="Tc_zfj7d3ccQk61YWw2BjnwAA_8_9"/>
      <w:bookmarkStart w:id="397" w:name="Tc_fyO3Qk71S0SjJMviXmJfsg_8_3"/>
      <w:bookmarkStart w:id="398" w:name="Tc_Oz_NMtNnZEqcLs-gwFNlYw_8_0"/>
      <w:bookmarkStart w:id="399" w:name="Tc_GNW5RneRUky6VcpuLBflhA_7_30"/>
      <w:bookmarkStart w:id="400" w:name="Tc_h2Hn1H6gZ0yyoFG1O85Urg_7_27"/>
      <w:bookmarkStart w:id="401" w:name="Tc_eoeocuJCBkGx-oeqmigKJQ_7_24"/>
      <w:bookmarkStart w:id="402" w:name="Tc_g-zcpoc7VUydag9_QtbulA_7_21"/>
      <w:bookmarkStart w:id="403" w:name="Tc_Xlja9_4NA0yLrwMMNl3VBA_7_18"/>
      <w:bookmarkStart w:id="404" w:name="Tc_Izml73yX_UuDXW-9G0lSMA_7_15"/>
      <w:bookmarkStart w:id="405" w:name="Tc__EF8CNKAck-LlwpFdnQKIw_7_12"/>
      <w:bookmarkStart w:id="406" w:name="Tc_tuncAbGyu0qpwfQkKBKgAg_7_9"/>
      <w:bookmarkStart w:id="407" w:name="Tc_jqiSCN---U-QBpMFUjBJ-Q_7_6"/>
      <w:bookmarkStart w:id="408" w:name="Tc_mWZBQbUISkS31I5cUVZAZg_7_0"/>
      <w:bookmarkStart w:id="409" w:name="Tc_e1qxLGtUV0i-Hugc-jBIOg_6_21"/>
      <w:bookmarkStart w:id="410" w:name="Tc_ChWmK-fnW0WQe-QBA6c37g_6_18"/>
      <w:bookmarkStart w:id="411" w:name="Tc_fnWy-qaJM0qfVgjLWpzWDw_6_12"/>
      <w:bookmarkStart w:id="412" w:name="Tc_HpAGL4svGE25PzmDaIx53A_6_9"/>
      <w:bookmarkStart w:id="413" w:name="Tc_SBbVrUHvVEeKtQQBtq5YDw_6_6"/>
      <w:bookmarkStart w:id="414" w:name="Tc_MDqA8ul6Vk-cyBdc-cAY2A_6_3"/>
      <w:bookmarkStart w:id="415" w:name="Tc_A9xSFepTZ0-PbGGoV1iXDw_6_0"/>
      <w:bookmarkStart w:id="416" w:name="Tc_h3m_MfsNcE6TpMSvo3069w_5_29"/>
      <w:bookmarkStart w:id="417" w:name="Tc_Jj784KxqbEeEvkjec4ZVoQ_5_26"/>
      <w:bookmarkStart w:id="418" w:name="Tc_PpO1YGTqM0uYP2Pfufsbiw_5_23"/>
      <w:bookmarkStart w:id="419" w:name="Tc_PNWCyf4VhU2CnkRfkabFbA_5_20"/>
      <w:bookmarkStart w:id="420" w:name="Tc_1esp-xDvj0G2uYVKRP3aEQ_5_17"/>
      <w:bookmarkStart w:id="421" w:name="Tc_clbgLq7g6EiEJPn1Fc0k8g_5_14"/>
      <w:bookmarkStart w:id="422" w:name="Tc_F-GCMzxJgUyqXQUAjRf9AA_5_11"/>
      <w:bookmarkStart w:id="423" w:name="Tc_GZuKCV6K3E-GsWYS_6y0HA_5_6"/>
      <w:bookmarkStart w:id="424" w:name="Tc_S1vTJo1KhkyHyR2RGkSf1g_5_5"/>
      <w:bookmarkStart w:id="425" w:name="Tc_xmVsa4Km502wu9SPlKcZaw_5_3"/>
      <w:bookmarkStart w:id="426" w:name="Tc_A_4iHaFDSUaF7snsNdmSNw_5_0"/>
      <w:bookmarkStart w:id="427" w:name="Tc_aktJ3dYxVkmgmYpl-QoBNg_4_29"/>
      <w:bookmarkStart w:id="428" w:name="Tc_kFIdvHabJEiLxhE1CDSfHg_4_26"/>
      <w:bookmarkStart w:id="429" w:name="Tc_LFHcLOcOPUiUTvTE-MzOFQ_4_23"/>
      <w:bookmarkStart w:id="430" w:name="Tc_3qUwIZMxIkCJ8jviXKQ_SQ_4_20"/>
      <w:bookmarkStart w:id="431" w:name="Tc_dis8c99iGEGHJ_FFL3Arvg_4_17"/>
      <w:bookmarkStart w:id="432" w:name="Tc_N4YLnSRaBk6xHyScRWadcQ_4_14"/>
      <w:bookmarkStart w:id="433" w:name="Tc_NF9JUyn0l0m2nk5a5bQBCA_4_11"/>
      <w:bookmarkStart w:id="434" w:name="Tc_9slyUCXIL0-Uu51DirJVDA_4_9"/>
      <w:bookmarkStart w:id="435" w:name="Tc_MzRKXQqj3EubkKrjZfXRtg_4_5"/>
      <w:bookmarkStart w:id="436" w:name="Tc_ITKvB2IOPEK2M-aZKmDcEA_4_3"/>
      <w:bookmarkStart w:id="437" w:name="Tc_qzd8AcGMO0GbXQQswckJMg_3_29"/>
      <w:bookmarkStart w:id="438" w:name="Tc_d8lCC3FtKUGtPEHd07rCuA_3_26"/>
      <w:bookmarkStart w:id="439" w:name="Tc_59ks5dmwGEy-NOb7S8cV1w_3_23"/>
      <w:bookmarkStart w:id="440" w:name="Tc_vueVPhnMmkWzOsoC2QgpQQ_3_20"/>
      <w:bookmarkStart w:id="441" w:name="Tc_JQOo2Mj7rkCJuELVex5bsQ_3_17"/>
      <w:bookmarkStart w:id="442" w:name="Tc_jfWfHhi00kClLdtXRH8u2g_3_14"/>
      <w:bookmarkStart w:id="443" w:name="Tc_kv5peTCTCEiKtLW8XO5q8g_3_9"/>
      <w:bookmarkStart w:id="444" w:name="Tc_jrkPA8wO1U6bIuuNEya46A_3_3"/>
      <w:bookmarkStart w:id="445" w:name="Tc_kVpRyLX1gkGP6_xe2K-gVw_2_26"/>
      <w:bookmarkStart w:id="446" w:name="Tc_Ib5AVFpi50W1cGxPE3xh9Q_2_23"/>
      <w:bookmarkStart w:id="447" w:name="Tc_rsI02jv2AkWg3eLk-6DdXA_2_20"/>
      <w:bookmarkStart w:id="448" w:name="Tc_JLK2tetOaku0t18jA4JrxA_2_14"/>
      <w:bookmarkStart w:id="449" w:name="Tc_TE6DoHpVzE-x3VgK30bH2A_2_3"/>
      <w:bookmarkStart w:id="450" w:name="Tc_eSPybUmZzUCoiL-T3qztXg_1_20"/>
      <w:bookmarkStart w:id="451" w:name="_f926ee1d_6f17_4e3c_b3b1_cd58758c1286"/>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tbl>
      <w:tblPr>
        <w:tblW w:w="12224" w:type="dxa"/>
        <w:jc w:val="left"/>
        <w:tblInd w:w="0" w:type="dxa"/>
        <w:tblLayout w:type="fixed"/>
        <w:tblCellMar>
          <w:top w:w="0" w:type="dxa"/>
          <w:left w:w="0" w:type="dxa"/>
          <w:bottom w:w="0" w:type="dxa"/>
          <w:right w:w="0" w:type="dxa"/>
        </w:tblCellMar>
      </w:tblPr>
      <w:tblGrid>
        <w:gridCol w:w="1081"/>
        <w:gridCol w:w="326"/>
        <w:gridCol w:w="326"/>
        <w:gridCol w:w="511"/>
        <w:gridCol w:w="326"/>
        <w:gridCol w:w="196"/>
        <w:gridCol w:w="376"/>
        <w:gridCol w:w="326"/>
        <w:gridCol w:w="109"/>
        <w:gridCol w:w="826"/>
        <w:gridCol w:w="326"/>
        <w:gridCol w:w="206"/>
        <w:gridCol w:w="365"/>
        <w:gridCol w:w="109"/>
        <w:gridCol w:w="196"/>
        <w:gridCol w:w="691"/>
        <w:gridCol w:w="326"/>
        <w:gridCol w:w="196"/>
        <w:gridCol w:w="751"/>
        <w:gridCol w:w="326"/>
        <w:gridCol w:w="252"/>
        <w:gridCol w:w="739"/>
        <w:gridCol w:w="326"/>
        <w:gridCol w:w="196"/>
        <w:gridCol w:w="571"/>
        <w:gridCol w:w="326"/>
        <w:gridCol w:w="216"/>
        <w:gridCol w:w="565"/>
        <w:gridCol w:w="326"/>
        <w:gridCol w:w="196"/>
        <w:gridCol w:w="6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86435" cy="175260"/>
                      <wp:effectExtent l="0" t="0" r="0" b="0"/>
                      <wp:wrapNone/>
                      <wp:docPr id="15" name="Frame1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24485" cy="175260"/>
                      <wp:effectExtent l="0" t="0" r="0" b="0"/>
                      <wp:wrapNone/>
                      <wp:docPr id="18" name="Frame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8760" cy="175260"/>
                      <wp:effectExtent l="0" t="0" r="0" b="0"/>
                      <wp:wrapNone/>
                      <wp:docPr id="21" name="Frame2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4510" cy="175260"/>
                      <wp:effectExtent l="0" t="0" r="0" b="0"/>
                      <wp:wrapNone/>
                      <wp:docPr id="24" name="Frame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6" name="Frame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1775" cy="175260"/>
                      <wp:effectExtent l="0" t="0" r="0" b="0"/>
                      <wp:wrapNone/>
                      <wp:docPr id="27" name="Frame2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8785" cy="175260"/>
                      <wp:effectExtent l="0" t="0" r="0" b="0"/>
                      <wp:wrapNone/>
                      <wp:docPr id="30"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76885" cy="175260"/>
                      <wp:effectExtent l="0" t="0" r="0" b="0"/>
                      <wp:wrapNone/>
                      <wp:docPr id="33" name="Frame3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0020" cy="175260"/>
                      <wp:effectExtent l="0" t="0" r="0" b="0"/>
                      <wp:wrapNone/>
                      <wp:docPr id="35" name="Frame3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9265" cy="175260"/>
                      <wp:effectExtent l="0" t="0" r="0" b="0"/>
                      <wp:wrapNone/>
                      <wp:docPr id="36" name="Frame3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9" name="Frame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160" cy="175260"/>
                      <wp:effectExtent l="0" t="0" r="0" b="0"/>
                      <wp:wrapNone/>
                      <wp:docPr id="41"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58775" cy="175260"/>
                      <wp:effectExtent l="0" t="0" r="0" b="0"/>
                      <wp:wrapNone/>
                      <wp:docPr id="42" name="Frame42"/>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1160" cy="175260"/>
                      <wp:effectExtent l="0" t="0" r="0" b="0"/>
                      <wp:wrapNone/>
                      <wp:docPr id="45" name="Frame4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G Convertible</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(472,706)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G Preferred Stock in private placement, net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2,859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2" w:name="Tc_cOeisAtSB0yCB7flFQ3-Qg_10_23"/>
      <w:bookmarkStart w:id="453" w:name="Tc_OsHD8L20Kkm7GWnh1y1cbQ_10_20"/>
      <w:bookmarkStart w:id="454" w:name="Tc_YM_CKsb4XEOzRGqM1q6bog_10_17"/>
      <w:bookmarkStart w:id="455" w:name="Tc_B8dR3JmpyUa5dsLUqbNXQg_10_14"/>
      <w:bookmarkStart w:id="456" w:name="Tc_x2l9kRMtKECzdhYbQF1PCA_10_11"/>
      <w:bookmarkStart w:id="457" w:name="Tc_MwQ7YOKGlEqhei3_ZhIx5w_10_8"/>
      <w:bookmarkStart w:id="458" w:name="Tc_SMoBpf15ikKRw1ezqD5-kA_10_5"/>
      <w:bookmarkStart w:id="459" w:name="Tc_roHc91cUD0mqw4FDWDHjHg_10_0"/>
      <w:bookmarkStart w:id="460" w:name="Tc_ojorJnqZUUecTd0r0mw2YQ_9_15"/>
      <w:bookmarkStart w:id="461" w:name="Tc_SGaDlpabwEePNIVNv86HsA_9_9"/>
      <w:bookmarkStart w:id="462" w:name="Tc_mFC_FhbOxE66byJBheItIA_9_6"/>
      <w:bookmarkStart w:id="463" w:name="Tc_q6-UT8vYpUiibA3lUbTsjA_9_3"/>
      <w:bookmarkStart w:id="464" w:name="Tc_EQRuY0eIs0aldsG7bJtuaw_9_0"/>
      <w:bookmarkStart w:id="465" w:name="Tc_SjryTGj3b0ua8_7jVP33OQ_8_12"/>
      <w:bookmarkStart w:id="466" w:name="Tc_ZkZUo7aVVUKYRShbzz-pbA_8_9"/>
      <w:bookmarkStart w:id="467" w:name="Tc_sTuiQaVRA0i0SQiVrdKHxg_8_6"/>
      <w:bookmarkStart w:id="468" w:name="Tc_QcL2mVnUSUujCw4zIbuOMg_8_3"/>
      <w:bookmarkStart w:id="469" w:name="Tc_Wco7Hqmg10C4jDogUf1rOw_8_0"/>
      <w:bookmarkStart w:id="470" w:name="Tc_5vwPc786nkGqwtxSnrIsIQ_7_15"/>
      <w:bookmarkStart w:id="471" w:name="Tc_0I-0p-y-HkmR9z-t2uzsiA_7_12"/>
      <w:bookmarkStart w:id="472" w:name="Tc_vG9U2L7W1EiLtqErN0hf-w_7_6"/>
      <w:bookmarkStart w:id="473" w:name="Tc_d8KMvP_aBUOZaUOGU2q7Wg_7_3"/>
      <w:bookmarkStart w:id="474" w:name="Tc_438jge5aKU6QHm91133uMQ_7_0"/>
      <w:bookmarkStart w:id="475" w:name="Tc_4IEFeYJrmkW4iPkbPlYKSQ_6_24"/>
      <w:bookmarkStart w:id="476" w:name="Tc_VJBrMA6Z4ECzcsXc2DzqYg_6_21"/>
      <w:bookmarkStart w:id="477" w:name="Tc_DSCK_33tIU6CmEUqg26ZHA_6_18"/>
      <w:bookmarkStart w:id="478" w:name="Tc_LhV3Wggb60mXDflI7_VqNg_6_15"/>
      <w:bookmarkStart w:id="479" w:name="Tc_lYOmdUGbTUihtX3ZY66Siw_6_12"/>
      <w:bookmarkStart w:id="480" w:name="Tc_rqMbww0ZUUWu8YFWnvnyUw_6_9"/>
      <w:bookmarkStart w:id="481" w:name="Tc_VeNpG5KamUaypis2z9MKKA_6_6"/>
      <w:bookmarkStart w:id="482" w:name="Tc_ukLRGRcQJEKFHzuAQfs2wQ_6_0"/>
      <w:bookmarkStart w:id="483" w:name="Tc_yUd5ZTxT6kORhQ0rzU7u8Q_5_23"/>
      <w:bookmarkStart w:id="484" w:name="Tc_sDaNVfWCekiCEt_c10jOBQ_5_20"/>
      <w:bookmarkStart w:id="485" w:name="Tc_C2heYqYZFE6JJLp1Bda3wQ_5_17"/>
      <w:bookmarkStart w:id="486" w:name="Tc_5SBV5QfbHEebbLnVfqgSiQ_5_14"/>
      <w:bookmarkStart w:id="487" w:name="Tc_Q4KlUc8tH0q5kMr7ELVQ7w_5_11"/>
      <w:bookmarkStart w:id="488" w:name="Tc_fL0ItY-vfEm71_FBDdkoHQ_5_8"/>
      <w:bookmarkStart w:id="489" w:name="Tc_yi5uXBydgUmjGTXzNk8a4w_5_5"/>
      <w:bookmarkStart w:id="490" w:name="Tc_txHBSZ0U2UOO2FeEOPeT6A_5_0"/>
      <w:bookmarkStart w:id="491" w:name="Tc_nShIOao3LEqjU6eKY7jUUw_4_23"/>
      <w:bookmarkStart w:id="492" w:name="Tc_W6UIlDZRYEuXwEsDAcyGeQ_4_20"/>
      <w:bookmarkStart w:id="493" w:name="Tc_6718dZ2gwUmurj7YMLKQcg_4_17"/>
      <w:bookmarkStart w:id="494" w:name="Tc_Ib1KzKxp1EOarhAqybUKcA_4_14"/>
      <w:bookmarkStart w:id="495" w:name="Tc_1ixz2aTkt0CyKAUBNwvs2A_4_11"/>
      <w:bookmarkStart w:id="496" w:name="Tc_lQJrWcMlP0au1D3JNGcWyQ_4_8"/>
      <w:bookmarkStart w:id="497" w:name="Tc_RGFCelnSCEyaqohtbrYgkg_4_5"/>
      <w:bookmarkStart w:id="498" w:name="Tc_TeFuiDVu-0yT0KH2CBDEXQ_4_3"/>
      <w:bookmarkStart w:id="499" w:name="Tc__9wBBsejw0ykHuL_2WTSUA_3_23"/>
      <w:bookmarkStart w:id="500" w:name="Tc_0YOj47qvAkSdpG85zd9prQ_3_20"/>
      <w:bookmarkStart w:id="501" w:name="Tc_KYo08wXXLEaEhutYUjWLPQ_3_17"/>
      <w:bookmarkStart w:id="502" w:name="Tc_k5GhQhmW8EidMda2C27i8Q_3_14"/>
      <w:bookmarkStart w:id="503" w:name="Tc_dxNCl8knJkK_vg_C4nVqAA_3_11"/>
      <w:bookmarkStart w:id="504" w:name="Tc_4EaWSZCD8USjII_SlIDg6Q_3_8"/>
      <w:bookmarkStart w:id="505" w:name="Tc_97Xe8PPA10qpwO0UR3OA4g_3_3"/>
      <w:bookmarkStart w:id="506" w:name="Tc_Xl8DG5cg80CDiJ0xQRK4aw_2_20"/>
      <w:bookmarkStart w:id="507" w:name="Tc_Y8YvAZTGhkyYPztZ5mvXrQ_2_17"/>
      <w:bookmarkStart w:id="508" w:name="Tc_TKLZJhQhiU2_fzU1rZc-Jw_2_14"/>
      <w:bookmarkStart w:id="509" w:name="Tc_8D0vrBjRRU2zfelMB_huHg_2_8"/>
      <w:bookmarkStart w:id="510" w:name="Tc_0E6BlpIc90GL2qHkJoAVQg_1_14"/>
      <w:bookmarkStart w:id="511" w:name="_7ab45e77_0619_41de_932a_503d29c89b2d"/>
      <w:bookmarkStart w:id="512" w:name="Tc_cOeisAtSB0yCB7flFQ3-Qg_10_23"/>
      <w:bookmarkStart w:id="513" w:name="Tc_OsHD8L20Kkm7GWnh1y1cbQ_10_20"/>
      <w:bookmarkStart w:id="514" w:name="Tc_YM_CKsb4XEOzRGqM1q6bog_10_17"/>
      <w:bookmarkStart w:id="515" w:name="Tc_B8dR3JmpyUa5dsLUqbNXQg_10_14"/>
      <w:bookmarkStart w:id="516" w:name="Tc_x2l9kRMtKECzdhYbQF1PCA_10_11"/>
      <w:bookmarkStart w:id="517" w:name="Tc_MwQ7YOKGlEqhei3_ZhIx5w_10_8"/>
      <w:bookmarkStart w:id="518" w:name="Tc_SMoBpf15ikKRw1ezqD5-kA_10_5"/>
      <w:bookmarkStart w:id="519" w:name="Tc_roHc91cUD0mqw4FDWDHjHg_10_0"/>
      <w:bookmarkStart w:id="520" w:name="Tc_ojorJnqZUUecTd0r0mw2YQ_9_15"/>
      <w:bookmarkStart w:id="521" w:name="Tc_SGaDlpabwEePNIVNv86HsA_9_9"/>
      <w:bookmarkStart w:id="522" w:name="Tc_mFC_FhbOxE66byJBheItIA_9_6"/>
      <w:bookmarkStart w:id="523" w:name="Tc_q6-UT8vYpUiibA3lUbTsjA_9_3"/>
      <w:bookmarkStart w:id="524" w:name="Tc_EQRuY0eIs0aldsG7bJtuaw_9_0"/>
      <w:bookmarkStart w:id="525" w:name="Tc_SjryTGj3b0ua8_7jVP33OQ_8_12"/>
      <w:bookmarkStart w:id="526" w:name="Tc_ZkZUo7aVVUKYRShbzz-pbA_8_9"/>
      <w:bookmarkStart w:id="527" w:name="Tc_sTuiQaVRA0i0SQiVrdKHxg_8_6"/>
      <w:bookmarkStart w:id="528" w:name="Tc_QcL2mVnUSUujCw4zIbuOMg_8_3"/>
      <w:bookmarkStart w:id="529" w:name="Tc_Wco7Hqmg10C4jDogUf1rOw_8_0"/>
      <w:bookmarkStart w:id="530" w:name="Tc_5vwPc786nkGqwtxSnrIsIQ_7_15"/>
      <w:bookmarkStart w:id="531" w:name="Tc_0I-0p-y-HkmR9z-t2uzsiA_7_12"/>
      <w:bookmarkStart w:id="532" w:name="Tc_vG9U2L7W1EiLtqErN0hf-w_7_6"/>
      <w:bookmarkStart w:id="533" w:name="Tc_d8KMvP_aBUOZaUOGU2q7Wg_7_3"/>
      <w:bookmarkStart w:id="534" w:name="Tc_438jge5aKU6QHm91133uMQ_7_0"/>
      <w:bookmarkStart w:id="535" w:name="Tc_4IEFeYJrmkW4iPkbPlYKSQ_6_24"/>
      <w:bookmarkStart w:id="536" w:name="Tc_VJBrMA6Z4ECzcsXc2DzqYg_6_21"/>
      <w:bookmarkStart w:id="537" w:name="Tc_DSCK_33tIU6CmEUqg26ZHA_6_18"/>
      <w:bookmarkStart w:id="538" w:name="Tc_LhV3Wggb60mXDflI7_VqNg_6_15"/>
      <w:bookmarkStart w:id="539" w:name="Tc_lYOmdUGbTUihtX3ZY66Siw_6_12"/>
      <w:bookmarkStart w:id="540" w:name="Tc_rqMbww0ZUUWu8YFWnvnyUw_6_9"/>
      <w:bookmarkStart w:id="541" w:name="Tc_VeNpG5KamUaypis2z9MKKA_6_6"/>
      <w:bookmarkStart w:id="542" w:name="Tc_ukLRGRcQJEKFHzuAQfs2wQ_6_0"/>
      <w:bookmarkStart w:id="543" w:name="Tc_yUd5ZTxT6kORhQ0rzU7u8Q_5_23"/>
      <w:bookmarkStart w:id="544" w:name="Tc_sDaNVfWCekiCEt_c10jOBQ_5_20"/>
      <w:bookmarkStart w:id="545" w:name="Tc_C2heYqYZFE6JJLp1Bda3wQ_5_17"/>
      <w:bookmarkStart w:id="546" w:name="Tc_5SBV5QfbHEebbLnVfqgSiQ_5_14"/>
      <w:bookmarkStart w:id="547" w:name="Tc_Q4KlUc8tH0q5kMr7ELVQ7w_5_11"/>
      <w:bookmarkStart w:id="548" w:name="Tc_fL0ItY-vfEm71_FBDdkoHQ_5_8"/>
      <w:bookmarkStart w:id="549" w:name="Tc_yi5uXBydgUmjGTXzNk8a4w_5_5"/>
      <w:bookmarkStart w:id="550" w:name="Tc_txHBSZ0U2UOO2FeEOPeT6A_5_0"/>
      <w:bookmarkStart w:id="551" w:name="Tc_nShIOao3LEqjU6eKY7jUUw_4_23"/>
      <w:bookmarkStart w:id="552" w:name="Tc_W6UIlDZRYEuXwEsDAcyGeQ_4_20"/>
      <w:bookmarkStart w:id="553" w:name="Tc_6718dZ2gwUmurj7YMLKQcg_4_17"/>
      <w:bookmarkStart w:id="554" w:name="Tc_Ib1KzKxp1EOarhAqybUKcA_4_14"/>
      <w:bookmarkStart w:id="555" w:name="Tc_1ixz2aTkt0CyKAUBNwvs2A_4_11"/>
      <w:bookmarkStart w:id="556" w:name="Tc_lQJrWcMlP0au1D3JNGcWyQ_4_8"/>
      <w:bookmarkStart w:id="557" w:name="Tc_RGFCelnSCEyaqohtbrYgkg_4_5"/>
      <w:bookmarkStart w:id="558" w:name="Tc_TeFuiDVu-0yT0KH2CBDEXQ_4_3"/>
      <w:bookmarkStart w:id="559" w:name="Tc__9wBBsejw0ykHuL_2WTSUA_3_23"/>
      <w:bookmarkStart w:id="560" w:name="Tc_0YOj47qvAkSdpG85zd9prQ_3_20"/>
      <w:bookmarkStart w:id="561" w:name="Tc_KYo08wXXLEaEhutYUjWLPQ_3_17"/>
      <w:bookmarkStart w:id="562" w:name="Tc_k5GhQhmW8EidMda2C27i8Q_3_14"/>
      <w:bookmarkStart w:id="563" w:name="Tc_dxNCl8knJkK_vg_C4nVqAA_3_11"/>
      <w:bookmarkStart w:id="564" w:name="Tc_4EaWSZCD8USjII_SlIDg6Q_3_8"/>
      <w:bookmarkStart w:id="565" w:name="Tc_97Xe8PPA10qpwO0UR3OA4g_3_3"/>
      <w:bookmarkStart w:id="566" w:name="Tc_Xl8DG5cg80CDiJ0xQRK4aw_2_20"/>
      <w:bookmarkStart w:id="567" w:name="Tc_Y8YvAZTGhkyYPztZ5mvXrQ_2_17"/>
      <w:bookmarkStart w:id="568" w:name="Tc_TKLZJhQhiU2_fzU1rZc-Jw_2_14"/>
      <w:bookmarkStart w:id="569" w:name="Tc_8D0vrBjRRU2zfelMB_huHg_2_8"/>
      <w:bookmarkStart w:id="570" w:name="Tc_0E6BlpIc90GL2qHkJoAVQg_1_14"/>
      <w:bookmarkStart w:id="571" w:name="_7ab45e77_0619_41de_932a_503d29c89b2d"/>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tbl>
      <w:tblPr>
        <w:tblW w:w="11528" w:type="dxa"/>
        <w:jc w:val="left"/>
        <w:tblInd w:w="0" w:type="dxa"/>
        <w:tblLayout w:type="fixed"/>
        <w:tblCellMar>
          <w:top w:w="0" w:type="dxa"/>
          <w:left w:w="0" w:type="dxa"/>
          <w:bottom w:w="0" w:type="dxa"/>
          <w:right w:w="0" w:type="dxa"/>
        </w:tblCellMar>
      </w:tblPr>
      <w:tblGrid>
        <w:gridCol w:w="1081"/>
        <w:gridCol w:w="326"/>
        <w:gridCol w:w="326"/>
        <w:gridCol w:w="826"/>
        <w:gridCol w:w="326"/>
        <w:gridCol w:w="206"/>
        <w:gridCol w:w="365"/>
        <w:gridCol w:w="326"/>
        <w:gridCol w:w="196"/>
        <w:gridCol w:w="691"/>
        <w:gridCol w:w="326"/>
        <w:gridCol w:w="196"/>
        <w:gridCol w:w="751"/>
        <w:gridCol w:w="109"/>
        <w:gridCol w:w="252"/>
        <w:gridCol w:w="739"/>
        <w:gridCol w:w="326"/>
        <w:gridCol w:w="196"/>
        <w:gridCol w:w="601"/>
        <w:gridCol w:w="326"/>
        <w:gridCol w:w="216"/>
        <w:gridCol w:w="565"/>
        <w:gridCol w:w="326"/>
        <w:gridCol w:w="196"/>
        <w:gridCol w:w="601"/>
        <w:gridCol w:w="326"/>
        <w:gridCol w:w="109"/>
        <w:gridCol w:w="109"/>
        <w:gridCol w:w="326"/>
        <w:gridCol w:w="109"/>
        <w:gridCol w:w="154"/>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86435" cy="175260"/>
                      <wp:effectExtent l="0" t="0" r="0" b="0"/>
                      <wp:wrapNone/>
                      <wp:docPr id="46" name="Frame4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1775" cy="175260"/>
                      <wp:effectExtent l="0" t="0" r="0" b="0"/>
                      <wp:wrapNone/>
                      <wp:docPr id="52" name="Frame5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76885" cy="175260"/>
                      <wp:effectExtent l="0" t="0" r="0" b="0"/>
                      <wp:wrapNone/>
                      <wp:docPr id="58" name="Frame5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0020" cy="175260"/>
                      <wp:effectExtent l="0" t="0" r="0" b="0"/>
                      <wp:wrapNone/>
                      <wp:docPr id="60" name="Frame6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9265" cy="175260"/>
                      <wp:effectExtent l="0" t="0" r="0" b="0"/>
                      <wp:wrapNone/>
                      <wp:docPr id="61" name="Frame6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81635" cy="175260"/>
                      <wp:effectExtent l="0" t="0" r="0" b="0"/>
                      <wp:wrapNone/>
                      <wp:docPr id="64" name="Frame6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7160" cy="175260"/>
                      <wp:effectExtent l="0" t="0" r="0" b="0"/>
                      <wp:wrapNone/>
                      <wp:docPr id="66" name="Frame6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58775" cy="175260"/>
                      <wp:effectExtent l="0" t="0" r="0" b="0"/>
                      <wp:wrapNone/>
                      <wp:docPr id="67" name="Frame67"/>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81635" cy="175260"/>
                      <wp:effectExtent l="0" t="0" r="0" b="0"/>
                      <wp:wrapNone/>
                      <wp:docPr id="70" name="Frame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7790" cy="175260"/>
                      <wp:effectExtent l="0" t="0" r="0" b="0"/>
                      <wp:wrapNone/>
                      <wp:docPr id="76" name="Frame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center"/>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4,179,631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(455,853)</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4,182,617</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470,996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(458,365)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18,765</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2" w:name="_de6c9bae_54ba_4ddd_aeca_e6fbc74db872"/>
      <w:bookmarkEnd w:id="572"/>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3" w:name="Tc_2gJgQbGZJ02hTu-MldPqPg_45_6"/>
      <w:bookmarkStart w:id="574" w:name="Tc_T-jquWLek0GyInxCFXBObg_45_0"/>
      <w:bookmarkStart w:id="575" w:name="Tc_Ic0cz060BU-Pny0I3YcrnQ_44_6"/>
      <w:bookmarkStart w:id="576" w:name="Tc_QoM8fDija0WjWbq1RFroKw_44_0"/>
      <w:bookmarkStart w:id="577" w:name="Tc_6hBn76V5H0mSZVSxKC3kRw_43_6"/>
      <w:bookmarkStart w:id="578" w:name="Tc_Dwmlf4fImEqsBqfsTY6I6A_43_0"/>
      <w:bookmarkStart w:id="579" w:name="Tc_GWXV9zg-p0-9LNMJmn9HKw_42_6"/>
      <w:bookmarkStart w:id="580" w:name="Tc_lozfDoiKTEq7ZVPyE88mEw_42_0"/>
      <w:bookmarkStart w:id="581" w:name="Tc_d5QmkB3W-0Wxcw0gz3Eb_g_41_5"/>
      <w:bookmarkStart w:id="582" w:name="Tc_LTqi1Ej9YEiZinPrTBXovA_41_2"/>
      <w:bookmarkStart w:id="583" w:name="Tc_H_b3rrbWXUug5O1uhtTzsQ_41_0"/>
      <w:bookmarkStart w:id="584" w:name="Tc_a9Z3viNYEUqwEp7Im-OEAA_40_0"/>
      <w:bookmarkStart w:id="585" w:name="Tc_YtADaEbt0k2Sd9M1yi93cA_39_6"/>
      <w:bookmarkStart w:id="586" w:name="Tc_XcAGiTWFTkyqb-SMLLz8Pw_39_5"/>
      <w:bookmarkStart w:id="587" w:name="Tc_vnJ2jFmwFEqWyk6ISI3aug_39_3"/>
      <w:bookmarkStart w:id="588" w:name="Tc_9WpXJz-Z40WmWQtW-NzNmA_39_2"/>
      <w:bookmarkStart w:id="589" w:name="Tc_-l8zNnLtikyp9LYTorzcBw_39_0"/>
      <w:bookmarkStart w:id="590" w:name="Tc_fWRtnjx4R0C7eWf5mVfHLg_38_0"/>
      <w:bookmarkStart w:id="591" w:name="Tc_z2hqiUf5qE2CSlCFttd8VQ_37_5"/>
      <w:bookmarkStart w:id="592" w:name="Tc_ZjGGemxhaEO7v5xeWq6v2Q_37_2"/>
      <w:bookmarkStart w:id="593" w:name="Tc_T_r9h878VUubXVkzCWFqTw_37_0"/>
      <w:bookmarkStart w:id="594" w:name="Tc_qYsFYF44H0GOsnn8LjwyVQ_36_0"/>
      <w:bookmarkStart w:id="595" w:name="Tc_qGYvekPaJkWzfHQ5vE32pA_35_0"/>
      <w:bookmarkStart w:id="596" w:name="Tc_1wA4uN0S8U-jfVRhImbwmw_34_0"/>
      <w:bookmarkStart w:id="597" w:name="Tc_vKvQvBx5WEuDC-y49XQu4Q_33_6"/>
      <w:bookmarkStart w:id="598" w:name="Tc_6LFghYVLIEigI3LAnjqHTQ_33_0"/>
      <w:bookmarkStart w:id="599" w:name="Tc__vaVJIxvoUWbZ6cwioOU1Q_32_6"/>
      <w:bookmarkStart w:id="600" w:name="Tc_2-6ilhnc90qw3D63Eik11g_32_0"/>
      <w:bookmarkStart w:id="601" w:name="Tc_lnKwQmJIZUiyIQ9ReyB2cg_31_0"/>
      <w:bookmarkStart w:id="602" w:name="Tc_Z1ySM19ZaEGmtvomhqTYoQ_30_0"/>
      <w:bookmarkStart w:id="603" w:name="Tc_tvNnefeQREiUfxvxmA9RlA_29_0"/>
      <w:bookmarkStart w:id="604" w:name="Tc_zYFj6BdH8UOWlIl6UAriuQ_28_0"/>
      <w:bookmarkStart w:id="605" w:name="Tc_b9CVlDWqeUy2sWp0jHW8hw_27_0"/>
      <w:bookmarkStart w:id="606" w:name="Tc_yVy7I_YYbUu_v2pIc_qY7Q_26_0"/>
      <w:bookmarkStart w:id="607" w:name="Tc_J530-Sx64EisF4Oeg_ZReA_25_0"/>
      <w:bookmarkStart w:id="608" w:name="Tc_siKFv5LF0EywtA58B_g3wQ_24_0"/>
      <w:bookmarkStart w:id="609" w:name="Tc_nAuiJCK2ok20Dpcx_tO2Iw_23_0"/>
      <w:bookmarkStart w:id="610" w:name="Tc_WQZwsEfPEkCVxnR1my9MAA_22_0"/>
      <w:bookmarkStart w:id="611" w:name="Tc_YRAxeM4UnkmpV4Hv3MARLg_21_0"/>
      <w:bookmarkStart w:id="612" w:name="Tc_iARZ_3Ai_U-EPhbl5F-fIA_20_0"/>
      <w:bookmarkStart w:id="613" w:name="Tc_qrUIsYaqLkC6HinjKo6fvw_19_0"/>
      <w:bookmarkStart w:id="614" w:name="Tc_2eQLHjxOuEeB5Kaii0XepA_18_6"/>
      <w:bookmarkStart w:id="615" w:name="Tc_ZsCOGX_t_EK0wnEtZ6IFcQ_18_0"/>
      <w:bookmarkStart w:id="616" w:name="Tc_2g0TQCpZCU-WOW6kaiA_NA_17_6"/>
      <w:bookmarkStart w:id="617" w:name="Tc_upw40kWdhEak4eSblAmvPw_17_0"/>
      <w:bookmarkStart w:id="618" w:name="Tc_iKyCFocZZ0e3R6PrvI5dMA_16_6"/>
      <w:bookmarkStart w:id="619" w:name="Tc_wNYjvDn8b0uBfxiGdesN7Q_16_0"/>
      <w:bookmarkStart w:id="620" w:name="Tc_RQs0fPt7MEGxnEO2WmmcQg_15_0"/>
      <w:bookmarkStart w:id="621" w:name="Tc_D0B3ZAAUNE2jOzZtIFwyOg_14_0"/>
      <w:bookmarkStart w:id="622" w:name="Tc_ETZI1hfG1EW5UjBu5r26tQ_13_6"/>
      <w:bookmarkStart w:id="623" w:name="Tc_x8VbYZL7bkKX7e_rAjSITw_13_0"/>
      <w:bookmarkStart w:id="624" w:name="Tc_zEmgb09A-k2YJep4IakskA_12_0"/>
      <w:bookmarkStart w:id="625" w:name="Tc__ANPpKBrZ0aQpedyqqyPgg_11_6"/>
      <w:bookmarkStart w:id="626" w:name="Tc_d36WdT4tV0yX3jprIwj77g_11_0"/>
      <w:bookmarkStart w:id="627" w:name="Tc_5wXqkS_-10yhp6qNO9U2Tg_10_0"/>
      <w:bookmarkStart w:id="628" w:name="Tc_WVetylTFAUqbPTb0JGrSCQ_9_0"/>
      <w:bookmarkStart w:id="629" w:name="Tc_Iu8SWjAlTEmaMIQbJb6sUg_8_3"/>
      <w:bookmarkStart w:id="630" w:name="Tc_xAu5V5LCbUSXz2LAeDcrAw_8_0"/>
      <w:bookmarkStart w:id="631" w:name="Tc_Hky9B6muFUauFRkRzJVZcg_7_3"/>
      <w:bookmarkStart w:id="632" w:name="Tc_spg4mKrN_UKi4vYs_S_rzg_7_0"/>
      <w:bookmarkStart w:id="633" w:name="Tc_ZL952GtiiUeiqO--RUlO6g_6_0"/>
      <w:bookmarkStart w:id="634" w:name="Tc_iTSHxGZ3MkmjvsMfSZ30fQ_5_0"/>
      <w:bookmarkStart w:id="635" w:name="Tc_-71zgtapH0iW2bf4dPJmnQ_4_5"/>
      <w:bookmarkStart w:id="636" w:name="Tc_q_-rEIrJa0ChZj_rxPfkDA_4_2"/>
      <w:bookmarkStart w:id="637" w:name="Tc_cFOYsvL7JkWUgwEk8WCylg_4_0"/>
      <w:bookmarkStart w:id="638" w:name="Tc_IeKzQ7PsqUi9EtNZAUfUzQ_3_0"/>
      <w:bookmarkStart w:id="639" w:name="Tc_DlmrMmGv_UOsr1eBkFDyVQ_2_5"/>
      <w:bookmarkStart w:id="640" w:name="Tc_5Eh9g8JQTEyNAN7v2LPNnQ_2_2"/>
      <w:bookmarkStart w:id="641" w:name="Tc_rFdaVYbm4kCLhOBa0jtI6Q_1_2"/>
      <w:bookmarkStart w:id="642" w:name="_6ec89fd5_220b_46f1_bbb5_940bcca20957"/>
      <w:bookmarkStart w:id="643" w:name="Tc_2gJgQbGZJ02hTu-MldPqPg_45_6"/>
      <w:bookmarkStart w:id="644" w:name="Tc_T-jquWLek0GyInxCFXBObg_45_0"/>
      <w:bookmarkStart w:id="645" w:name="Tc_Ic0cz060BU-Pny0I3YcrnQ_44_6"/>
      <w:bookmarkStart w:id="646" w:name="Tc_QoM8fDija0WjWbq1RFroKw_44_0"/>
      <w:bookmarkStart w:id="647" w:name="Tc_6hBn76V5H0mSZVSxKC3kRw_43_6"/>
      <w:bookmarkStart w:id="648" w:name="Tc_Dwmlf4fImEqsBqfsTY6I6A_43_0"/>
      <w:bookmarkStart w:id="649" w:name="Tc_GWXV9zg-p0-9LNMJmn9HKw_42_6"/>
      <w:bookmarkStart w:id="650" w:name="Tc_lozfDoiKTEq7ZVPyE88mEw_42_0"/>
      <w:bookmarkStart w:id="651" w:name="Tc_d5QmkB3W-0Wxcw0gz3Eb_g_41_5"/>
      <w:bookmarkStart w:id="652" w:name="Tc_LTqi1Ej9YEiZinPrTBXovA_41_2"/>
      <w:bookmarkStart w:id="653" w:name="Tc_H_b3rrbWXUug5O1uhtTzsQ_41_0"/>
      <w:bookmarkStart w:id="654" w:name="Tc_a9Z3viNYEUqwEp7Im-OEAA_40_0"/>
      <w:bookmarkStart w:id="655" w:name="Tc_YtADaEbt0k2Sd9M1yi93cA_39_6"/>
      <w:bookmarkStart w:id="656" w:name="Tc_XcAGiTWFTkyqb-SMLLz8Pw_39_5"/>
      <w:bookmarkStart w:id="657" w:name="Tc_vnJ2jFmwFEqWyk6ISI3aug_39_3"/>
      <w:bookmarkStart w:id="658" w:name="Tc_9WpXJz-Z40WmWQtW-NzNmA_39_2"/>
      <w:bookmarkStart w:id="659" w:name="Tc_-l8zNnLtikyp9LYTorzcBw_39_0"/>
      <w:bookmarkStart w:id="660" w:name="Tc_fWRtnjx4R0C7eWf5mVfHLg_38_0"/>
      <w:bookmarkStart w:id="661" w:name="Tc_z2hqiUf5qE2CSlCFttd8VQ_37_5"/>
      <w:bookmarkStart w:id="662" w:name="Tc_ZjGGemxhaEO7v5xeWq6v2Q_37_2"/>
      <w:bookmarkStart w:id="663" w:name="Tc_T_r9h878VUubXVkzCWFqTw_37_0"/>
      <w:bookmarkStart w:id="664" w:name="Tc_qYsFYF44H0GOsnn8LjwyVQ_36_0"/>
      <w:bookmarkStart w:id="665" w:name="Tc_qGYvekPaJkWzfHQ5vE32pA_35_0"/>
      <w:bookmarkStart w:id="666" w:name="Tc_1wA4uN0S8U-jfVRhImbwmw_34_0"/>
      <w:bookmarkStart w:id="667" w:name="Tc_vKvQvBx5WEuDC-y49XQu4Q_33_6"/>
      <w:bookmarkStart w:id="668" w:name="Tc_6LFghYVLIEigI3LAnjqHTQ_33_0"/>
      <w:bookmarkStart w:id="669" w:name="Tc__vaVJIxvoUWbZ6cwioOU1Q_32_6"/>
      <w:bookmarkStart w:id="670" w:name="Tc_2-6ilhnc90qw3D63Eik11g_32_0"/>
      <w:bookmarkStart w:id="671" w:name="Tc_lnKwQmJIZUiyIQ9ReyB2cg_31_0"/>
      <w:bookmarkStart w:id="672" w:name="Tc_Z1ySM19ZaEGmtvomhqTYoQ_30_0"/>
      <w:bookmarkStart w:id="673" w:name="Tc_tvNnefeQREiUfxvxmA9RlA_29_0"/>
      <w:bookmarkStart w:id="674" w:name="Tc_zYFj6BdH8UOWlIl6UAriuQ_28_0"/>
      <w:bookmarkStart w:id="675" w:name="Tc_b9CVlDWqeUy2sWp0jHW8hw_27_0"/>
      <w:bookmarkStart w:id="676" w:name="Tc_yVy7I_YYbUu_v2pIc_qY7Q_26_0"/>
      <w:bookmarkStart w:id="677" w:name="Tc_J530-Sx64EisF4Oeg_ZReA_25_0"/>
      <w:bookmarkStart w:id="678" w:name="Tc_siKFv5LF0EywtA58B_g3wQ_24_0"/>
      <w:bookmarkStart w:id="679" w:name="Tc_nAuiJCK2ok20Dpcx_tO2Iw_23_0"/>
      <w:bookmarkStart w:id="680" w:name="Tc_WQZwsEfPEkCVxnR1my9MAA_22_0"/>
      <w:bookmarkStart w:id="681" w:name="Tc_YRAxeM4UnkmpV4Hv3MARLg_21_0"/>
      <w:bookmarkStart w:id="682" w:name="Tc_iARZ_3Ai_U-EPhbl5F-fIA_20_0"/>
      <w:bookmarkStart w:id="683" w:name="Tc_qrUIsYaqLkC6HinjKo6fvw_19_0"/>
      <w:bookmarkStart w:id="684" w:name="Tc_2eQLHjxOuEeB5Kaii0XepA_18_6"/>
      <w:bookmarkStart w:id="685" w:name="Tc_ZsCOGX_t_EK0wnEtZ6IFcQ_18_0"/>
      <w:bookmarkStart w:id="686" w:name="Tc_2g0TQCpZCU-WOW6kaiA_NA_17_6"/>
      <w:bookmarkStart w:id="687" w:name="Tc_upw40kWdhEak4eSblAmvPw_17_0"/>
      <w:bookmarkStart w:id="688" w:name="Tc_iKyCFocZZ0e3R6PrvI5dMA_16_6"/>
      <w:bookmarkStart w:id="689" w:name="Tc_wNYjvDn8b0uBfxiGdesN7Q_16_0"/>
      <w:bookmarkStart w:id="690" w:name="Tc_RQs0fPt7MEGxnEO2WmmcQg_15_0"/>
      <w:bookmarkStart w:id="691" w:name="Tc_D0B3ZAAUNE2jOzZtIFwyOg_14_0"/>
      <w:bookmarkStart w:id="692" w:name="Tc_ETZI1hfG1EW5UjBu5r26tQ_13_6"/>
      <w:bookmarkStart w:id="693" w:name="Tc_x8VbYZL7bkKX7e_rAjSITw_13_0"/>
      <w:bookmarkStart w:id="694" w:name="Tc_zEmgb09A-k2YJep4IakskA_12_0"/>
      <w:bookmarkStart w:id="695" w:name="Tc__ANPpKBrZ0aQpedyqqyPgg_11_6"/>
      <w:bookmarkStart w:id="696" w:name="Tc_d36WdT4tV0yX3jprIwj77g_11_0"/>
      <w:bookmarkStart w:id="697" w:name="Tc_5wXqkS_-10yhp6qNO9U2Tg_10_0"/>
      <w:bookmarkStart w:id="698" w:name="Tc_WVetylTFAUqbPTb0JGrSCQ_9_0"/>
      <w:bookmarkStart w:id="699" w:name="Tc_Iu8SWjAlTEmaMIQbJb6sUg_8_3"/>
      <w:bookmarkStart w:id="700" w:name="Tc_xAu5V5LCbUSXz2LAeDcrAw_8_0"/>
      <w:bookmarkStart w:id="701" w:name="Tc_Hky9B6muFUauFRkRzJVZcg_7_3"/>
      <w:bookmarkStart w:id="702" w:name="Tc_spg4mKrN_UKi4vYs_S_rzg_7_0"/>
      <w:bookmarkStart w:id="703" w:name="Tc_ZL952GtiiUeiqO--RUlO6g_6_0"/>
      <w:bookmarkStart w:id="704" w:name="Tc_iTSHxGZ3MkmjvsMfSZ30fQ_5_0"/>
      <w:bookmarkStart w:id="705" w:name="Tc_-71zgtapH0iW2bf4dPJmnQ_4_5"/>
      <w:bookmarkStart w:id="706" w:name="Tc_q_-rEIrJa0ChZj_rxPfkDA_4_2"/>
      <w:bookmarkStart w:id="707" w:name="Tc_cFOYsvL7JkWUgwEk8WCylg_4_0"/>
      <w:bookmarkStart w:id="708" w:name="Tc_IeKzQ7PsqUi9EtNZAUfUzQ_3_0"/>
      <w:bookmarkStart w:id="709" w:name="Tc_DlmrMmGv_UOsr1eBkFDyVQ_2_5"/>
      <w:bookmarkStart w:id="710" w:name="Tc_5Eh9g8JQTEyNAN7v2LPNnQ_2_2"/>
      <w:bookmarkStart w:id="711" w:name="Tc_rFdaVYbm4kCLhOBa0jtI6Q_1_2"/>
      <w:bookmarkStart w:id="712" w:name="_6ec89fd5_220b_46f1_bbb5_940bcca20957"/>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tbl>
      <w:tblPr>
        <w:tblW w:w="9596" w:type="dxa"/>
        <w:jc w:val="left"/>
        <w:tblInd w:w="0" w:type="dxa"/>
        <w:tblLayout w:type="fixed"/>
        <w:tblCellMar>
          <w:top w:w="0" w:type="dxa"/>
          <w:left w:w="0" w:type="dxa"/>
          <w:bottom w:w="0" w:type="dxa"/>
          <w:right w:w="0" w:type="dxa"/>
        </w:tblCellMar>
      </w:tblPr>
      <w:tblGrid>
        <w:gridCol w:w="6826"/>
        <w:gridCol w:w="326"/>
        <w:gridCol w:w="265"/>
        <w:gridCol w:w="853"/>
        <w:gridCol w:w="147"/>
        <w:gridCol w:w="265"/>
        <w:gridCol w:w="914"/>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34510" cy="175260"/>
                      <wp:effectExtent l="0" t="0" r="0" b="0"/>
                      <wp:wrapNone/>
                      <wp:docPr id="77" name="Frame77"/>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8275" cy="175260"/>
                      <wp:effectExtent l="0" t="0" r="0" b="0"/>
                      <wp:wrapNone/>
                      <wp:docPr id="79" name="Frame7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1655" cy="175260"/>
                      <wp:effectExtent l="0" t="0" r="0" b="0"/>
                      <wp:wrapNone/>
                      <wp:docPr id="80" name="Frame80"/>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3345" cy="175260"/>
                      <wp:effectExtent l="0" t="0" r="0" b="0"/>
                      <wp:wrapNone/>
                      <wp:docPr id="81" name="Frame81"/>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8275" cy="175260"/>
                      <wp:effectExtent l="0" t="0" r="0" b="0"/>
                      <wp:wrapNone/>
                      <wp:docPr id="82" name="Frame8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80390" cy="175260"/>
                      <wp:effectExtent l="0" t="0" r="0" b="0"/>
                      <wp:wrapNone/>
                      <wp:docPr id="83" name="Frame83"/>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7" w:type="dxa"/>
            <w:tcBorders/>
            <w:vAlign w:val="center"/>
          </w:tcPr>
          <w:p>
            <w:pPr>
              <w:pStyle w:val="TableContents"/>
              <w:bidi w:val="0"/>
              <w:spacing w:before="0" w:after="1"/>
              <w:ind w:left="0" w:right="0" w:hanging="0"/>
              <w:jc w:val="center"/>
              <w:rPr/>
            </w:pPr>
            <w:r>
              <w:rPr/>
              <w:t>​</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  </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(4,588)</w:t>
            </w:r>
          </w:p>
        </w:tc>
        <w:tc>
          <w:tcPr>
            <w:tcW w:w="147"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Impairment of long - lived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operating lease right-of-use assets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remeasurement loss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lease termination</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(gain) on equity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liability</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(2,590)</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issuance of Series G Preferred Stock</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3,443</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inventory</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w:t>
            </w:r>
          </w:p>
        </w:tc>
        <w:tc>
          <w:tcPr>
            <w:tcW w:w="147"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(1,223)</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deferred revenue</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147"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other assets, current and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w:t>
            </w:r>
          </w:p>
        </w:tc>
        <w:tc>
          <w:tcPr>
            <w:tcW w:w="147"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other liabilities, current and non-current</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(1,255)</w:t>
            </w:r>
          </w:p>
        </w:tc>
        <w:tc>
          <w:tcPr>
            <w:tcW w:w="147"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(1,987)</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(4,178)</w:t>
            </w:r>
          </w:p>
        </w:tc>
        <w:tc>
          <w:tcPr>
            <w:tcW w:w="147"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  </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w:t>
            </w:r>
          </w:p>
        </w:tc>
        <w:tc>
          <w:tcPr>
            <w:tcW w:w="147"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registered offering, net of fees</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c>
          <w:tcPr>
            <w:tcW w:w="147"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47"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(4,120)</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5,301</w:t>
            </w:r>
          </w:p>
        </w:tc>
        <w:tc>
          <w:tcPr>
            <w:tcW w:w="147"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4,401</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for</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Accrual of Series convertible preferred stock dividends</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Series G convertible preferred stock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warrant liability</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5,873</w:t>
            </w:r>
          </w:p>
        </w:tc>
        <w:tc>
          <w:tcPr>
            <w:tcW w:w="147"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147"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5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13" w:name="_0220b0ab_51db_4e06_b095_e019655a428a"/>
      <w:bookmarkEnd w:id="713"/>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Overview and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 Naples Wax Center provides upscale hair removal and skincare services through its branded locations.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Substantial Doubt about the Company’s Ability to Continue as a Going Concern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assuming that the Company will continue as a going concern. The Company has suffered recurring losses and negative cash flows from operations has insufficient liquidity to fund future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management has concluded that substantial doubt exists about the Company’s ability to continue as a going concern for at least one year from the date of issuance of these unaudited condensed consolidated financial statements. The unaudited condensed consolidated financial statements do not include any adjustments that might result from the outcome of this uncertainty.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exploration of additional financing options. The Company has concluded that they do not have sufficient available liquidity to fund its operations for at least one year for the issuance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2024, as amended. The consolidated balance sheet as of December 31, 2024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months ended March 31, 2025,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liability, deferred tax assets and liabilities, income tax uncertainties, and other contingencies.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Preferred Stock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 records shares of convertible preferred stock at their respective fair values on the dates of issuance, net of issuance costs. The Company concluded that the Company’s Series G Convertible Preferred Stock, par value $0.01</w:t>
      </w:r>
      <w:r>
        <w:rPr>
          <w:rFonts w:ascii="Times New Roman;Times;serif" w:hAnsi="Times New Roman;Times;serif"/>
          <w:b/>
          <w:sz w:val="20"/>
        </w:rPr>
        <w:t xml:space="preserve"> </w:t>
      </w:r>
      <w:r>
        <w:rPr>
          <w:rFonts w:ascii="Times New Roman;Times;serif" w:hAnsi="Times New Roman;Times;serif"/>
          <w:b w:val="false"/>
          <w:sz w:val="20"/>
        </w:rPr>
        <w:t>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the state the convertible preferred stock at redemption value each reporting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Derivative Financial Instruments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unaudited condensed consolidated statements of operations. The classification of derivative instruments, including whether such instruments should be recorded as assets, liabilities or as equity, is evaluated at the end of each reporting period. Derivative liabilities are classified in the condensed consolidated balance sheets as current or non-current based on whether or not net-cash settlement or conversion of the instrument could be required within 12 months of the unaudited condensed consolidated balance sheet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Warrants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Distinguishing Liabilities from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 and comprehensive loss. The warrants are classified as liabilities in accordance with ASC 815 as they do not meet the requirements to be considered indexed to the Company’s own stock. The fair value of the warrant liability was estimated using a Black-Scholes approach (see Note 10).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Basic and Diluted Net Loss per Common Share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three months ended March 31, 2025 and 2024. See Note 3 Potentially Dilutive Securities.</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Distinguishing Liabilities from Equity</w:t>
      </w:r>
    </w:p>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relies on the guidance provided by FASB ASC Topic 480, Distinguishing Liabilities from Equity (“ASC 480”),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balances in the unaudited condensed consolidated financial statements for the three months ended March 31, 2024 have been reclassified to conform to the presentation in the unaudited condensed consolidated financial statements for the three months ended March 31, 2025. In the prior year, the Company separately disclosed salaries and benefits and in the current year the Company has reclassified these costs on the unaudited condensed consolidated statement of operations within general and administrative expenses. These reclassifications had no effect on the Company’s previously reported results of operations, changes in temporary and stockholders’ equity, or cash flows.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4" w:name="Tc_sfdQn1AWG06PHR9oBQIxbg_18_0"/>
      <w:bookmarkStart w:id="715" w:name="Tc_H56D2adf1UqJy5FZODwjKQ_17_6"/>
      <w:bookmarkStart w:id="716" w:name="Tc_b8ipwnpE_U6yPttasCCQ_A_17_0"/>
      <w:bookmarkStart w:id="717" w:name="Tc_pJ5940W0BkCuQ9aMp0Vixw_16_6"/>
      <w:bookmarkStart w:id="718" w:name="Tc_C5wSofrAVkuyMt16NOeMww_16_0"/>
      <w:bookmarkStart w:id="719" w:name="Tc_JcQE5-sABkO3Hrb8qkd60w_15_3"/>
      <w:bookmarkStart w:id="720" w:name="Tc_01oyIbGDME-1yL1tJs5IOg_15_0"/>
      <w:bookmarkStart w:id="721" w:name="Tc_8545SRQgC0CS_HdMIl1hFQ_14_0"/>
      <w:bookmarkStart w:id="722" w:name="Tc_tnM1y1vMakKjP3CL7sY49A_13_0"/>
      <w:bookmarkStart w:id="723" w:name="Tc_uV3hLMymw0O7GeindrvvZQ_11_5"/>
      <w:bookmarkStart w:id="724" w:name="Tc_FYlywAAQEEmuoGBILhOj4g_11_2"/>
      <w:bookmarkStart w:id="725" w:name="Tc_zb_xY3yvjU2ILjcCKFr1mQ_11_0"/>
      <w:bookmarkStart w:id="726" w:name="Tc_6iNHfpcI4UuT92axUGL2Jw_10_0"/>
      <w:bookmarkStart w:id="727" w:name="Tc_9u_EOEL9NEyPkj92Hfafeg_9_0"/>
      <w:bookmarkStart w:id="728" w:name="Tc_iYkK0Jo-fUeSGvEm0IiDgw_8_5"/>
      <w:bookmarkStart w:id="729" w:name="Tc_Yz_QxxhXB0-RVxU7tpXPJA_8_2"/>
      <w:bookmarkStart w:id="730" w:name="Tc_vP7JCa2rtk6wT1-w5JvhkQ_8_0"/>
      <w:bookmarkStart w:id="731" w:name="Tc_H2TJwSblY0ucCNO0IY8aMQ_7_6"/>
      <w:bookmarkStart w:id="732" w:name="Tc_DrYHdGNM9k2imCh9EIBImA_7_0"/>
      <w:bookmarkStart w:id="733" w:name="Tc_6fISxDQT8kev76DiRx8Exg_6_6"/>
      <w:bookmarkStart w:id="734" w:name="Tc_vvkydyTl8UeZk5N8_YUk6w_6_0"/>
      <w:bookmarkStart w:id="735" w:name="Tc_AWvT6Rb2IUaixNldDH-cOA_5_5"/>
      <w:bookmarkStart w:id="736" w:name="Tc_xqat2jA52EKyVIC5n4V_MQ_5_2"/>
      <w:bookmarkStart w:id="737" w:name="Tc_r4W8HSxEi0e4ulXePyBnrg_5_0"/>
      <w:bookmarkStart w:id="738" w:name="Tc_Rtz7ZsqIlEODAQhWeDzFLw_4_0"/>
      <w:bookmarkStart w:id="739" w:name="Tc_RZbBG7zQzkCVXLrgzfPhwQ_3_5"/>
      <w:bookmarkStart w:id="740" w:name="Tc_NEikHSIm2ESyn2HSudI9hA_3_2"/>
      <w:bookmarkStart w:id="741" w:name="Tc_WLTaF-GeCkGU6wNVIvbdpw_2_2"/>
      <w:bookmarkStart w:id="742" w:name="Tc_PquFjIBNyEuUmEbib6S_hA_1_2"/>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rFonts w:ascii="Times New Roman;Times;serif" w:hAnsi="Times New Roman;Times;serif"/>
          <w:b/>
          <w:sz w:val="20"/>
        </w:rPr>
        <w:t>Note 3. Potentially Dilutive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computation of basic and diluted net loss per share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24"/>
        <w:gridCol w:w="326"/>
        <w:gridCol w:w="211"/>
        <w:gridCol w:w="931"/>
        <w:gridCol w:w="326"/>
        <w:gridCol w:w="211"/>
        <w:gridCol w:w="976"/>
      </w:tblGrid>
      <w:tr>
        <w:trPr/>
        <w:tc>
          <w:tcPr>
            <w:tcW w:w="7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587240" cy="175260"/>
                      <wp:effectExtent l="0" t="0" r="0" b="0"/>
                      <wp:wrapNone/>
                      <wp:docPr id="84" name="Frame84"/>
                      <a:graphic xmlns:a="http://schemas.openxmlformats.org/drawingml/2006/main">
                        <a:graphicData uri="http://schemas.microsoft.com/office/word/2010/wordprocessingShape">
                          <wps:wsp>
                            <wps:cNvSpPr txBox="1"/>
                            <wps:spPr>
                              <a:xfrm>
                                <a:off x="0" y="0"/>
                                <a:ext cx="458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19760" cy="175260"/>
                      <wp:effectExtent l="0" t="0" r="0" b="0"/>
                      <wp:wrapNone/>
                      <wp:docPr id="90" name="Frame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accretion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denominator: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5,261,024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4,182,617</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722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the following potentially dilutive securities, having an anti-dilutive impact, in case of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452,474</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and Series B warrants to purchase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G Convertible Preferred Stock on an as converted basis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2,933,452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loss per share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8,797,142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458,932</w:t>
            </w:r>
          </w:p>
        </w:tc>
      </w:tr>
    </w:tbl>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743" w:name="Tc__u2G_DzTpEiNNpnFG5YCOA_6_5"/>
      <w:bookmarkStart w:id="744" w:name="Tc__o1MsDBbdk62V7-7rtPphQ_6_2"/>
      <w:bookmarkStart w:id="745" w:name="Tc_rUFbIfd3CEy5Rz_PpsrjTg_6_0"/>
      <w:bookmarkStart w:id="746" w:name="Tc_C-Z_jwk2VE6cyMsoHxBltw_5_0"/>
      <w:bookmarkStart w:id="747" w:name="Tc_q5QeDoNArkOtJO5XO0gk1Q_4_0"/>
      <w:bookmarkStart w:id="748" w:name="Tc_jq5BWFDHoE-yMe3Z_37Ytw_3_0"/>
      <w:bookmarkStart w:id="749" w:name="Tc_Nosws5BlNUqwzkbcAePggA_2_5"/>
      <w:bookmarkStart w:id="750" w:name="Tc_rENWoXkgtU-6Orhp0yYrmw_2_2"/>
      <w:bookmarkStart w:id="751" w:name="Tc_dK1vhR9dkk6WfYpT3RYO1Q_2_0"/>
      <w:bookmarkStart w:id="752" w:name="Tc_BuVoFqWfsUigiXj7QLEfEQ_1_5"/>
      <w:bookmarkStart w:id="753" w:name="Tc_fDqkQJ-29ES2IiObydlUyA_1_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sz w:val="20"/>
        </w:rPr>
        <w:t xml:space="preserve">Note 4. Cash, Cash Equivalents, and Restricted Cash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Company’s cash and cash equivalents in the Unaudited Condensed Consolidated Balance Sheets to cash, cash equivalents and restricted cash in the Unaudited Condensed Consolidated Statements of Cash Flows as of March 31, 2025, and December 31, 2024 is as follows:</w:t>
      </w:r>
    </w:p>
    <w:p>
      <w:pPr>
        <w:pStyle w:val="TextBody"/>
        <w:bidi w:val="0"/>
        <w:spacing w:before="0" w:after="0"/>
        <w:ind w:left="0" w:right="0" w:hanging="0"/>
        <w:jc w:val="left"/>
        <w:rPr/>
      </w:pPr>
      <w:r>
        <w:rPr/>
        <w:t>​</w:t>
      </w:r>
    </w:p>
    <w:tbl>
      <w:tblPr>
        <w:tblW w:w="9055" w:type="dxa"/>
        <w:jc w:val="left"/>
        <w:tblInd w:w="0" w:type="dxa"/>
        <w:tblLayout w:type="fixed"/>
        <w:tblCellMar>
          <w:top w:w="0" w:type="dxa"/>
          <w:left w:w="0" w:type="dxa"/>
          <w:bottom w:w="0" w:type="dxa"/>
          <w:right w:w="0" w:type="dxa"/>
        </w:tblCellMar>
      </w:tblPr>
      <w:tblGrid>
        <w:gridCol w:w="5191"/>
        <w:gridCol w:w="326"/>
        <w:gridCol w:w="388"/>
        <w:gridCol w:w="1053"/>
        <w:gridCol w:w="326"/>
        <w:gridCol w:w="416"/>
        <w:gridCol w:w="1355"/>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296285" cy="175260"/>
                      <wp:effectExtent l="0" t="0" r="0" b="0"/>
                      <wp:wrapNone/>
                      <wp:docPr id="91" name="Frame91"/>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6380" cy="175260"/>
                      <wp:effectExtent l="0" t="0" r="0" b="0"/>
                      <wp:wrapNone/>
                      <wp:docPr id="93" name="Frame9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8655" cy="175260"/>
                      <wp:effectExtent l="0" t="0" r="0" b="0"/>
                      <wp:wrapNone/>
                      <wp:docPr id="94" name="Frame94"/>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4160" cy="175260"/>
                      <wp:effectExtent l="0" t="0" r="0" b="0"/>
                      <wp:wrapNone/>
                      <wp:docPr id="96" name="Frame9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860425" cy="175260"/>
                      <wp:effectExtent l="0" t="0" r="0" b="0"/>
                      <wp:wrapNone/>
                      <wp:docPr id="97" name="Frame97"/>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1,954</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4,401</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5,301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4" w:name="Tc_zN_87xvyvkCOuGRYrpUyAQ_4_5"/>
      <w:bookmarkStart w:id="755" w:name="Tc_-joTujaUi0Cybdt0uo7zqg_4_2"/>
      <w:bookmarkStart w:id="756" w:name="Tc_JoY50cMO70KgJNbnX44Vdw_4_0"/>
      <w:bookmarkStart w:id="757" w:name="Tc_emhwS4GjqU25VGZDkWOJ1g_3_0"/>
      <w:bookmarkStart w:id="758" w:name="Tc_CHykO9DjFUyQ6A-86Dgwvw_2_5"/>
      <w:bookmarkStart w:id="759" w:name="Tc_V9CgXu6WpkmPf9sF4Sskdg_2_2"/>
      <w:bookmarkStart w:id="760" w:name="Tc_ropA-QJGb0Ck-Ji2Gr325Q_2_0"/>
      <w:bookmarkStart w:id="761" w:name="Tc__YcNBiwPI0uav46lfA-NGw_1_5"/>
      <w:bookmarkStart w:id="762" w:name="Tc_0nFmVHa1-EuOYtfAU34rPg_1_2"/>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Note 5.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and December 31, 2024, other current assets consisted of the following:</w:t>
      </w:r>
    </w:p>
    <w:p>
      <w:pPr>
        <w:pStyle w:val="TextBody"/>
        <w:bidi w:val="0"/>
        <w:spacing w:before="0" w:after="0"/>
        <w:ind w:left="0" w:right="0" w:hanging="0"/>
        <w:jc w:val="left"/>
        <w:rPr/>
      </w:pPr>
      <w:r>
        <w:rPr/>
        <w:t>​</w:t>
      </w:r>
    </w:p>
    <w:tbl>
      <w:tblPr>
        <w:tblW w:w="6010" w:type="dxa"/>
        <w:jc w:val="left"/>
        <w:tblInd w:w="0" w:type="dxa"/>
        <w:tblLayout w:type="fixed"/>
        <w:tblCellMar>
          <w:top w:w="0" w:type="dxa"/>
          <w:left w:w="0" w:type="dxa"/>
          <w:bottom w:w="0" w:type="dxa"/>
          <w:right w:w="0" w:type="dxa"/>
        </w:tblCellMar>
      </w:tblPr>
      <w:tblGrid>
        <w:gridCol w:w="2146"/>
        <w:gridCol w:w="326"/>
        <w:gridCol w:w="388"/>
        <w:gridCol w:w="1053"/>
        <w:gridCol w:w="326"/>
        <w:gridCol w:w="416"/>
        <w:gridCol w:w="1355"/>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62710" cy="175260"/>
                      <wp:effectExtent l="0" t="0" r="0" b="0"/>
                      <wp:wrapNone/>
                      <wp:docPr id="98" name="Frame9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6380" cy="175260"/>
                      <wp:effectExtent l="0" t="0" r="0" b="0"/>
                      <wp:wrapNone/>
                      <wp:docPr id="100" name="Frame10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8655" cy="175260"/>
                      <wp:effectExtent l="0" t="0" r="0" b="0"/>
                      <wp:wrapNone/>
                      <wp:docPr id="101" name="Frame10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64160" cy="175260"/>
                      <wp:effectExtent l="0" t="0" r="0" b="0"/>
                      <wp:wrapNone/>
                      <wp:docPr id="103" name="Frame10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60425" cy="175260"/>
                      <wp:effectExtent l="0" t="0" r="0" b="0"/>
                      <wp:wrapNone/>
                      <wp:docPr id="104" name="Frame10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326"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63" w:name="Tc_-aBwKlDFQESnnx_5Xw5AyQ_8_2"/>
      <w:bookmarkStart w:id="764" w:name="Tc_I5vad1R0ikGuY3RZ5mN4aQ_8_0"/>
      <w:bookmarkStart w:id="765" w:name="Tc__v3Be8bI1Eagv9wIyV07Bw_7_0"/>
      <w:bookmarkStart w:id="766" w:name="Tc_UdFVMFwJxkapVNipabqf1w_6_0"/>
      <w:bookmarkStart w:id="767" w:name="Tc_fs_1GOWbxUOVnTmx_pKm2g_5_0"/>
      <w:bookmarkStart w:id="768" w:name="Tc_PbBN-YQvEUGzWK3tdaS3Ig_4_0"/>
      <w:bookmarkStart w:id="769" w:name="Tc_67q_LHfzYkmYrHkEs17h9A_3_0"/>
      <w:bookmarkStart w:id="770" w:name="Tc_peI6tg9oX0modJZ0BDdbPA_2_2"/>
      <w:bookmarkStart w:id="771" w:name="Tc_PSBTq-0wX0miKtumTfSoFQ_2_0"/>
      <w:bookmarkStart w:id="772" w:name="Tc_uz3_SaPV906ixpC2B9DtPA_1_2"/>
      <w:bookmarkStart w:id="773" w:name="Tc_4CIizBTmEU6sZVJ_MF8SPg_1_0"/>
      <w:bookmarkStart w:id="774" w:name="Tc_Lpt184q-C0CJiDMdQM9pFg_8_17"/>
      <w:bookmarkStart w:id="775" w:name="Tc_tTOKyr_ZzE-3-HIDqw7zlA_8_14"/>
      <w:bookmarkStart w:id="776" w:name="Tc_qVrUyutHMU2nYaNdDpxnTg_8_11"/>
      <w:bookmarkStart w:id="777" w:name="Tc_voORRQpP5kOopEwVKN9jjw_8_8"/>
      <w:bookmarkStart w:id="778" w:name="Tc_zNhxWBaO-USEBYxlLF09AA_8_5"/>
      <w:bookmarkStart w:id="779" w:name="Tc_sWTe42EA3k-ts4Zl5NUvOQ_8_2"/>
      <w:bookmarkStart w:id="780" w:name="Tc_GObqd-xtoEu3n9kd_DLhTw_8_0"/>
      <w:bookmarkStart w:id="781" w:name="Tc_9qHAjKeSrEuR6Ldo-7fyrg_7_0"/>
      <w:bookmarkStart w:id="782" w:name="Tc_9D7_pG5Xu0yGFig614luqg_6_0"/>
      <w:bookmarkStart w:id="783" w:name="Tc_oG5nql09CUeCzfCrfCgFHw_5_17"/>
      <w:bookmarkStart w:id="784" w:name="Tc_FiH1GK4F8024DIaKBHJWwA_5_14"/>
      <w:bookmarkStart w:id="785" w:name="Tc_rNG2TcvlfECL4xMmL5xsLg_5_11"/>
      <w:bookmarkStart w:id="786" w:name="Tc_fYjowlD_YkOeZEIFCzYt6A_5_8"/>
      <w:bookmarkStart w:id="787" w:name="Tc_K8VkWKjNekmuYvM0lM6Lgw_5_5"/>
      <w:bookmarkStart w:id="788" w:name="Tc_75XYScJFkUei17Nt4UKO1Q_5_2"/>
      <w:bookmarkStart w:id="789" w:name="Tc_Wg9ZeQQ4TUGEaNPMStt0KQ_5_0"/>
      <w:bookmarkStart w:id="790" w:name="Tc_qOJITSSDzUuAj3IJwuoEqg_4_17"/>
      <w:bookmarkStart w:id="791" w:name="Tc_Tc6DGYPngUSCpH-Cs5LRqg_4_14"/>
      <w:bookmarkStart w:id="792" w:name="Tc_T-RrV-poMkeaiOCuQPArmA_4_11"/>
      <w:bookmarkStart w:id="793" w:name="Tc_QUAGAorzPkmMfas4EvMTZg_4_8"/>
      <w:bookmarkStart w:id="794" w:name="Tc_khkZW2dXYU6KECm2ax7bzQ_4_5"/>
      <w:bookmarkStart w:id="795" w:name="Tc_mDLrfmsj00ufMkAUW1CKSQ_4_2"/>
      <w:bookmarkStart w:id="796" w:name="Tc_OpY2v3iEIUeWIkhQnT-knQ_3_17"/>
      <w:bookmarkStart w:id="797" w:name="Tc_O2wMBcEEcUyTcQIQOEJDow_3_14"/>
      <w:bookmarkStart w:id="798" w:name="Tc_PFVGv4mMQEGqtPXW1ycGdg_3_11"/>
      <w:bookmarkStart w:id="799" w:name="Tc_mONWyUF6P0ekLv7cRKcFSA_3_8"/>
      <w:bookmarkStart w:id="800" w:name="Tc_X0RCSobSekm6hsaGMNqroA_3_5"/>
      <w:bookmarkStart w:id="801" w:name="Tc_Lmo9dvItEEu0nmWVqPAjSg_3_2"/>
      <w:bookmarkStart w:id="802" w:name="Tc_VNI7cm_fIECfweQhHt9pFw_2_17"/>
      <w:bookmarkStart w:id="803" w:name="Tc_wh3HeBKIDUOIsyBPdmN93g_2_11"/>
      <w:bookmarkStart w:id="804" w:name="Tc_jKcYtRp8eUCtJ0l-a8e2EA_2_8"/>
      <w:bookmarkStart w:id="805" w:name="Tc__hg5LmWFdkGXhVOtHDbf1A_2_2"/>
      <w:bookmarkStart w:id="806" w:name="Tc_BeFcjTNcKkWam9cGf5CwAA_1_11"/>
      <w:bookmarkStart w:id="807" w:name="Tc_SdMwx7oB9UCK6tyFtscS9A_1_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Note 6. Intangible Assets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provides information regarding the Company’s intangible assets subject to amortization, which consist of the following:</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1996"/>
        <w:gridCol w:w="326"/>
        <w:gridCol w:w="243"/>
        <w:gridCol w:w="658"/>
        <w:gridCol w:w="326"/>
        <w:gridCol w:w="311"/>
        <w:gridCol w:w="935"/>
        <w:gridCol w:w="326"/>
        <w:gridCol w:w="300"/>
        <w:gridCol w:w="601"/>
        <w:gridCol w:w="326"/>
        <w:gridCol w:w="243"/>
        <w:gridCol w:w="658"/>
        <w:gridCol w:w="326"/>
        <w:gridCol w:w="311"/>
        <w:gridCol w:w="935"/>
        <w:gridCol w:w="326"/>
        <w:gridCol w:w="222"/>
        <w:gridCol w:w="72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67460" cy="175260"/>
                      <wp:effectExtent l="0" t="0" r="0" b="0"/>
                      <wp:wrapNone/>
                      <wp:docPr id="105" name="Frame10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4305" cy="175260"/>
                      <wp:effectExtent l="0" t="0" r="0" b="0"/>
                      <wp:wrapNone/>
                      <wp:docPr id="107" name="Frame10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7830" cy="175260"/>
                      <wp:effectExtent l="0" t="0" r="0" b="0"/>
                      <wp:wrapNone/>
                      <wp:docPr id="108" name="Frame10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7485" cy="175260"/>
                      <wp:effectExtent l="0" t="0" r="0" b="0"/>
                      <wp:wrapNone/>
                      <wp:docPr id="110" name="Frame110"/>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3725" cy="175260"/>
                      <wp:effectExtent l="0" t="0" r="0" b="0"/>
                      <wp:wrapNone/>
                      <wp:docPr id="111" name="Frame111"/>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0500" cy="175260"/>
                      <wp:effectExtent l="0" t="0" r="0" b="0"/>
                      <wp:wrapNone/>
                      <wp:docPr id="113" name="Frame11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81635" cy="175260"/>
                      <wp:effectExtent l="0" t="0" r="0" b="0"/>
                      <wp:wrapNone/>
                      <wp:docPr id="114" name="Frame1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4305" cy="175260"/>
                      <wp:effectExtent l="0" t="0" r="0" b="0"/>
                      <wp:wrapNone/>
                      <wp:docPr id="116" name="Frame11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17830" cy="175260"/>
                      <wp:effectExtent l="0" t="0" r="0" b="0"/>
                      <wp:wrapNone/>
                      <wp:docPr id="117" name="Frame11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7485" cy="175260"/>
                      <wp:effectExtent l="0" t="0" r="0" b="0"/>
                      <wp:wrapNone/>
                      <wp:docPr id="119" name="Frame119"/>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3725" cy="175260"/>
                      <wp:effectExtent l="0" t="0" r="0" b="0"/>
                      <wp:wrapNone/>
                      <wp:docPr id="120" name="Frame120"/>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0970" cy="175260"/>
                      <wp:effectExtent l="0" t="0" r="0" b="0"/>
                      <wp:wrapNone/>
                      <wp:docPr id="122" name="Frame1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59740" cy="175260"/>
                      <wp:effectExtent l="0" t="0" r="0" b="0"/>
                      <wp:wrapNone/>
                      <wp:docPr id="123" name="Frame123"/>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1"/>
              <w:ind w:left="0" w:right="0" w:hanging="0"/>
              <w:jc w:val="center"/>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(2,848)</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1,023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amortized over their expected useful lives. The Company recorded amortization expense of $76 and $84 during the three months ended March 31,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intangible assets balance as of March 31, 2025, the estimated amortization expense for the remainder of the calendar year and each of the succeeding calendar years is as follows:</w:t>
      </w:r>
    </w:p>
    <w:p>
      <w:pPr>
        <w:pStyle w:val="TextBody"/>
        <w:bidi w:val="0"/>
        <w:spacing w:before="0" w:after="0"/>
        <w:ind w:left="0" w:right="0" w:hanging="0"/>
        <w:jc w:val="left"/>
        <w:rPr/>
      </w:pPr>
      <w:r>
        <w:rPr/>
        <w:t>​</w:t>
      </w:r>
    </w:p>
    <w:tbl>
      <w:tblPr>
        <w:tblW w:w="4468" w:type="dxa"/>
        <w:jc w:val="left"/>
        <w:tblInd w:w="0" w:type="dxa"/>
        <w:tblLayout w:type="fixed"/>
        <w:tblCellMar>
          <w:top w:w="0" w:type="dxa"/>
          <w:left w:w="0" w:type="dxa"/>
          <w:bottom w:w="0" w:type="dxa"/>
          <w:right w:w="0" w:type="dxa"/>
        </w:tblCellMar>
      </w:tblPr>
      <w:tblGrid>
        <w:gridCol w:w="3316"/>
        <w:gridCol w:w="326"/>
        <w:gridCol w:w="233"/>
        <w:gridCol w:w="593"/>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05660" cy="175260"/>
                      <wp:effectExtent l="0" t="0" r="0" b="0"/>
                      <wp:wrapNone/>
                      <wp:docPr id="124" name="Frame12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7955" cy="175260"/>
                      <wp:effectExtent l="0" t="0" r="0" b="0"/>
                      <wp:wrapNone/>
                      <wp:docPr id="126" name="Frame12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6555" cy="175260"/>
                      <wp:effectExtent l="0" t="0" r="0" b="0"/>
                      <wp:wrapNone/>
                      <wp:docPr id="127" name="Frame127"/>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947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08" w:name="Tc_uMWGqQR5r0O5XKVYTxQNDQ_10_5"/>
      <w:bookmarkStart w:id="809" w:name="Tc_HVA0QPnxNkuVWw33rqvwWw_10_2"/>
      <w:bookmarkStart w:id="810" w:name="Tc_bNGEUPkNeEyPYx511sKiaA_10_0"/>
      <w:bookmarkStart w:id="811" w:name="Tc_Q3a5X6MltkSKbsCx9zBT5g_9_0"/>
      <w:bookmarkStart w:id="812" w:name="Tc_lePdEOXwy0STSHRmYbLnSA_8_0"/>
      <w:bookmarkStart w:id="813" w:name="Tc_UjtbVB6G2UOtojvYxDIqPA_7_0"/>
      <w:bookmarkStart w:id="814" w:name="Tc_lOCoNfHBv0Suz8wmmvrgbg_6_0"/>
      <w:bookmarkStart w:id="815" w:name="Tc_gmkDsmhMwUOMFMUAvw23hw_5_0"/>
      <w:bookmarkStart w:id="816" w:name="Tc_RI9b-ayHDkCfo_KUMEAuLA_4_0"/>
      <w:bookmarkStart w:id="817" w:name="Tc_7rfi-7UJOUmaZDNiTd7tsw_3_5"/>
      <w:bookmarkStart w:id="818" w:name="Tc_82UwYTneSEej5ReUj-pzCQ_3_2"/>
      <w:bookmarkStart w:id="819" w:name="Tc_uRK9nR16yEu-zSvF0CMvwA_3_0"/>
      <w:bookmarkStart w:id="820" w:name="Tc_12YGLllAWUWhdxB3rXV0nA_2_5"/>
      <w:bookmarkStart w:id="821" w:name="Tc_roCJCuMk3E-Qh_cvNWDZ6g_2_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r>
        <w:rPr>
          <w:rFonts w:ascii="Times New Roman;Times;serif" w:hAnsi="Times New Roman;Times;serif"/>
          <w:b/>
          <w:sz w:val="20"/>
        </w:rPr>
        <w:t>Note 7. Accrued expenses and other current liabilities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As of March 31, 2025, and December 31, 2024, accrued expenses and other current liabilities consisted of the following:</w:t>
      </w:r>
    </w:p>
    <w:p>
      <w:pPr>
        <w:pStyle w:val="TextBody"/>
        <w:bidi w:val="0"/>
        <w:spacing w:before="0" w:after="0"/>
        <w:ind w:left="0" w:right="0" w:hanging="0"/>
        <w:jc w:val="left"/>
        <w:rPr/>
      </w:pPr>
      <w:r>
        <w:rPr/>
        <w:t>​</w:t>
      </w:r>
    </w:p>
    <w:tbl>
      <w:tblPr>
        <w:tblW w:w="8125" w:type="dxa"/>
        <w:jc w:val="left"/>
        <w:tblInd w:w="0" w:type="dxa"/>
        <w:tblLayout w:type="fixed"/>
        <w:tblCellMar>
          <w:top w:w="0" w:type="dxa"/>
          <w:left w:w="0" w:type="dxa"/>
          <w:bottom w:w="0" w:type="dxa"/>
          <w:right w:w="0" w:type="dxa"/>
        </w:tblCellMar>
      </w:tblPr>
      <w:tblGrid>
        <w:gridCol w:w="4261"/>
        <w:gridCol w:w="326"/>
        <w:gridCol w:w="388"/>
        <w:gridCol w:w="1053"/>
        <w:gridCol w:w="326"/>
        <w:gridCol w:w="416"/>
        <w:gridCol w:w="135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705735" cy="175260"/>
                      <wp:effectExtent l="0" t="0" r="0" b="0"/>
                      <wp:wrapNone/>
                      <wp:docPr id="128" name="Frame12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6380" cy="175260"/>
                      <wp:effectExtent l="0" t="0" r="0" b="0"/>
                      <wp:wrapNone/>
                      <wp:docPr id="130" name="Frame13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8655" cy="175260"/>
                      <wp:effectExtent l="0" t="0" r="0" b="0"/>
                      <wp:wrapNone/>
                      <wp:docPr id="131" name="Frame13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4160" cy="175260"/>
                      <wp:effectExtent l="0" t="0" r="0" b="0"/>
                      <wp:wrapNone/>
                      <wp:docPr id="133" name="Frame13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60425" cy="175260"/>
                      <wp:effectExtent l="0" t="0" r="0" b="0"/>
                      <wp:wrapNone/>
                      <wp:docPr id="134" name="Frame13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8"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355"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Tax-related liabilities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 Accruals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Gift certificates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 </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card processing fees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3,342</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4,088</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bookmarkStart w:id="822" w:name="_692211"/>
      <w:bookmarkEnd w:id="822"/>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3" w:name="Tc_1IONCFwj2ESbMrhVgmdOmw_2_4"/>
      <w:bookmarkStart w:id="824" w:name="Tc_I1lFB4Nwxka1_S1oFGFTNQ_2_0"/>
      <w:bookmarkStart w:id="825" w:name="Tc_R6uQlu7mHk2gsxzN9dDvPg_1_4"/>
      <w:bookmarkStart w:id="826" w:name="Tc_W9mTeQ7U006uA1QTniRyPQ_1_0"/>
      <w:bookmarkStart w:id="827" w:name="Tc_BS807m7WMkCulp69Ka9R7Q_10_2"/>
      <w:bookmarkStart w:id="828" w:name="Tc_BHh9GQIEyEGK8StkmJub_w_10_0"/>
      <w:bookmarkStart w:id="829" w:name="Tc_FXdQ0XGnyUiEUtLTROnpHA_9_0"/>
      <w:bookmarkStart w:id="830" w:name="Tc_YhIik38uN0SJNOjG-rO6Fw_8_0"/>
      <w:bookmarkStart w:id="831" w:name="Tc_-DIBU7J6lESgkyb7bxr3Cw_7_0"/>
      <w:bookmarkStart w:id="832" w:name="Tc_uFCVv5yvw0qP8aj87dHnsQ_6_0"/>
      <w:bookmarkStart w:id="833" w:name="Tc_6k7ZWwAJ50yoJSLgkKtQDw_5_0"/>
      <w:bookmarkStart w:id="834" w:name="Tc_TXF0Uwu990qU-MJrgbKKVw_4_0"/>
      <w:bookmarkStart w:id="835" w:name="Tc_Qmgku6kfMUeDVBVsdkwm1g_3_0"/>
      <w:bookmarkStart w:id="836" w:name="Tc_ZaoeuVo1rkOLXfZzT-8jzw_2_2"/>
      <w:bookmarkStart w:id="837" w:name="Tc_ykXODtQSmEekOAeQdedK2Q_2_0"/>
      <w:bookmarkStart w:id="838" w:name="Tc_jZH978CbDkaHb-jf3AM2Pg_1_2"/>
      <w:bookmarkStart w:id="839" w:name="Tc_m3LjLPBYQ0GWzOCD30McvQ_1_0"/>
      <w:bookmarkStart w:id="840" w:name="Tc_ZC03zMI0AkyYOqIFEDYqjw_4_5"/>
      <w:bookmarkStart w:id="841" w:name="Tc_cqsW8m46PEGHRwRLgwz1pA_4_2"/>
      <w:bookmarkStart w:id="842" w:name="Tc_j8wPKfpXJECYCpej8s3okQ_4_0"/>
      <w:bookmarkStart w:id="843" w:name="Tc_YVy0MuiaBEWL3pQ1cOZG5Q_3_0"/>
      <w:bookmarkStart w:id="844" w:name="Tc_ASy5F7famk6jXNLgDZ_TLg_2_5"/>
      <w:bookmarkStart w:id="845" w:name="Tc_ap5hjVuIaE62jP__SehVgQ_2_2"/>
      <w:bookmarkStart w:id="846" w:name="Tc_8wWbDlSAiUiy1meQWMdcPQ_1_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Times New Roman;Times;serif" w:hAnsi="Times New Roman;Times;serif"/>
          <w:b/>
          <w:sz w:val="20"/>
        </w:rPr>
        <w:t>Note 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2025, the Company’s XpresSpa Austin - Bergstrom International Airport (“AUS”) lease was terminated. When a termination occurs, the Company remeasures the related operating lease right of use asset and lease liability and recognizes those adjustments in the condensed consolidated statements of operations and comprehensive loss. Since the related operating right of use asset was fully impaired for the XpresSpa AUS location at the time of the termination, the Company recognized a gain from lease termination of approximately $401 as a result of this termination.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activity in the Company’s current and long-term operating lease liabilities for the three months ended March 31, 2025 and 2024:</w:t>
      </w:r>
    </w:p>
    <w:p>
      <w:pPr>
        <w:pStyle w:val="TextBody"/>
        <w:bidi w:val="0"/>
        <w:spacing w:before="0" w:after="0"/>
        <w:ind w:left="0" w:right="0" w:hanging="0"/>
        <w:jc w:val="left"/>
        <w:rPr/>
      </w:pPr>
      <w:r>
        <w:rPr/>
        <w:t>​</w:t>
      </w:r>
    </w:p>
    <w:tbl>
      <w:tblPr>
        <w:tblW w:w="9010" w:type="dxa"/>
        <w:jc w:val="left"/>
        <w:tblInd w:w="0" w:type="dxa"/>
        <w:tblLayout w:type="fixed"/>
        <w:tblCellMar>
          <w:top w:w="0" w:type="dxa"/>
          <w:left w:w="0" w:type="dxa"/>
          <w:bottom w:w="0" w:type="dxa"/>
          <w:right w:w="0" w:type="dxa"/>
        </w:tblCellMar>
      </w:tblPr>
      <w:tblGrid>
        <w:gridCol w:w="5866"/>
        <w:gridCol w:w="326"/>
        <w:gridCol w:w="317"/>
        <w:gridCol w:w="813"/>
        <w:gridCol w:w="490"/>
        <w:gridCol w:w="317"/>
        <w:gridCol w:w="88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724910" cy="175260"/>
                      <wp:effectExtent l="0" t="0" r="0" b="0"/>
                      <wp:wrapNone/>
                      <wp:docPr id="135" name="Frame135"/>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1295" cy="175260"/>
                      <wp:effectExtent l="0" t="0" r="0" b="0"/>
                      <wp:wrapNone/>
                      <wp:docPr id="137" name="Frame13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6255" cy="175260"/>
                      <wp:effectExtent l="0" t="0" r="0" b="0"/>
                      <wp:wrapNone/>
                      <wp:docPr id="138" name="Frame13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11150" cy="175260"/>
                      <wp:effectExtent l="0" t="0" r="0" b="0"/>
                      <wp:wrapNone/>
                      <wp:docPr id="139" name="Frame139"/>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1295" cy="175260"/>
                      <wp:effectExtent l="0" t="0" r="0" b="0"/>
                      <wp:wrapNone/>
                      <wp:docPr id="140" name="Frame1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59435" cy="175260"/>
                      <wp:effectExtent l="0" t="0" r="0" b="0"/>
                      <wp:wrapNone/>
                      <wp:docPr id="141" name="Frame14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90" w:type="dxa"/>
            <w:tcBorders/>
            <w:vAlign w:val="center"/>
          </w:tcPr>
          <w:p>
            <w:pPr>
              <w:pStyle w:val="TableContents"/>
              <w:bidi w:val="0"/>
              <w:spacing w:before="0" w:after="0"/>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490"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operating leases contain the following future minimum commitments:</w:t>
      </w:r>
    </w:p>
    <w:p>
      <w:pPr>
        <w:pStyle w:val="TextBody"/>
        <w:bidi w:val="0"/>
        <w:spacing w:before="0" w:after="0"/>
        <w:ind w:left="0" w:right="0" w:hanging="0"/>
        <w:jc w:val="left"/>
        <w:rPr/>
      </w:pPr>
      <w:r>
        <w:rPr/>
        <w:t>​</w:t>
      </w:r>
    </w:p>
    <w:tbl>
      <w:tblPr>
        <w:tblW w:w="5649" w:type="dxa"/>
        <w:jc w:val="left"/>
        <w:tblInd w:w="0" w:type="dxa"/>
        <w:tblLayout w:type="fixed"/>
        <w:tblCellMar>
          <w:top w:w="0" w:type="dxa"/>
          <w:left w:w="0" w:type="dxa"/>
          <w:bottom w:w="0" w:type="dxa"/>
          <w:right w:w="0" w:type="dxa"/>
        </w:tblCellMar>
      </w:tblPr>
      <w:tblGrid>
        <w:gridCol w:w="4321"/>
        <w:gridCol w:w="326"/>
        <w:gridCol w:w="211"/>
        <w:gridCol w:w="79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43835" cy="175260"/>
                      <wp:effectExtent l="0" t="0" r="0" b="0"/>
                      <wp:wrapNone/>
                      <wp:docPr id="142" name="Frame14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2285" cy="175260"/>
                      <wp:effectExtent l="0" t="0" r="0" b="0"/>
                      <wp:wrapNone/>
                      <wp:docPr id="145" name="Frame14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10,026</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7546"/>
        <w:gridCol w:w="146"/>
        <w:gridCol w:w="109"/>
        <w:gridCol w:w="466"/>
        <w:gridCol w:w="571"/>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791710" cy="175260"/>
                      <wp:effectExtent l="0" t="0" r="0" b="0"/>
                      <wp:wrapNone/>
                      <wp:docPr id="146" name="Frame146"/>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2710" cy="175260"/>
                      <wp:effectExtent l="0" t="0" r="0" b="0"/>
                      <wp:wrapNone/>
                      <wp:docPr id="147" name="Frame1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95910" cy="175260"/>
                      <wp:effectExtent l="0" t="0" r="0" b="0"/>
                      <wp:wrapNone/>
                      <wp:docPr id="149" name="Frame14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62585" cy="175260"/>
                      <wp:effectExtent l="0" t="0" r="0" b="0"/>
                      <wp:wrapNone/>
                      <wp:docPr id="150" name="Frame1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minimum annual rental obligations for the three months ended March 31, 2025 and 2024, was $498 and $450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product and services revenue were $320 and $360 for the three months ended March 31, 2025 and 2024,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47" w:name="Tc_xj770J7E6k2tCRHZY45lEw_5_5"/>
      <w:bookmarkStart w:id="848" w:name="Tc_xLJ-HnlxHU-YgmSc3jpfAw_5_2"/>
      <w:bookmarkStart w:id="849" w:name="Tc_tC61zL9DVEOA-gZ9ZjYrmA_5_0"/>
      <w:bookmarkStart w:id="850" w:name="Tc_a1p71zUZJ0y6C-mTnwGwBw_4_0"/>
      <w:bookmarkStart w:id="851" w:name="Tc_g6JYw8qpn0GzOhELYCBNHg_3_0"/>
      <w:bookmarkStart w:id="852" w:name="Tc_4A6I1EflHUOx7lCLvmhcew_2_5"/>
      <w:bookmarkStart w:id="853" w:name="Tc_jkPxYzlv2kO5ktGy1Tu8FA_2_2"/>
      <w:bookmarkStart w:id="854" w:name="Tc_-gwdnkWoPEmCfKmPE8Dd5g_2_0"/>
      <w:bookmarkStart w:id="855" w:name="Tc_mS51bKWDRkCDYv3PUs5TAQ_1_5"/>
      <w:bookmarkStart w:id="856" w:name="Tc_DvP_EL1Xx0OPYBpzZ8tlJw_1_2"/>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Note 9. Other Assets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of March 31, 2025 and December 31, 2024, assets consisted of the following:</w:t>
      </w:r>
    </w:p>
    <w:p>
      <w:pPr>
        <w:pStyle w:val="TextBody"/>
        <w:bidi w:val="0"/>
        <w:spacing w:before="0" w:after="0"/>
        <w:ind w:left="0" w:right="0" w:hanging="0"/>
        <w:jc w:val="left"/>
        <w:rPr/>
      </w:pPr>
      <w:r>
        <w:rPr/>
        <w:t>​</w:t>
      </w:r>
    </w:p>
    <w:tbl>
      <w:tblPr>
        <w:tblW w:w="5560" w:type="dxa"/>
        <w:jc w:val="left"/>
        <w:tblInd w:w="0" w:type="dxa"/>
        <w:tblLayout w:type="fixed"/>
        <w:tblCellMar>
          <w:top w:w="0" w:type="dxa"/>
          <w:left w:w="0" w:type="dxa"/>
          <w:bottom w:w="0" w:type="dxa"/>
          <w:right w:w="0" w:type="dxa"/>
        </w:tblCellMar>
      </w:tblPr>
      <w:tblGrid>
        <w:gridCol w:w="1696"/>
        <w:gridCol w:w="326"/>
        <w:gridCol w:w="388"/>
        <w:gridCol w:w="1053"/>
        <w:gridCol w:w="326"/>
        <w:gridCol w:w="416"/>
        <w:gridCol w:w="1355"/>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76960" cy="175260"/>
                      <wp:effectExtent l="0" t="0" r="0" b="0"/>
                      <wp:wrapNone/>
                      <wp:docPr id="151" name="Frame15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46380" cy="175260"/>
                      <wp:effectExtent l="0" t="0" r="0" b="0"/>
                      <wp:wrapNone/>
                      <wp:docPr id="153" name="Frame15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8655" cy="175260"/>
                      <wp:effectExtent l="0" t="0" r="0" b="0"/>
                      <wp:wrapNone/>
                      <wp:docPr id="154" name="Frame154"/>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4160" cy="175260"/>
                      <wp:effectExtent l="0" t="0" r="0" b="0"/>
                      <wp:wrapNone/>
                      <wp:docPr id="156" name="Frame15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60425" cy="175260"/>
                      <wp:effectExtent l="0" t="0" r="0" b="0"/>
                      <wp:wrapNone/>
                      <wp:docPr id="157" name="Frame157"/>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deposits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Private Placement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14, 2025, XWELL, Inc. (the “Company”)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Private Placement occurred on January 14, 2025 (the “Closing Date”). The Private Placement unit described above had a purchase price of $1,000 per unit and aggregate gross proceeds from the Private Placement were $4 million. The Company expects to use the net proceeds from the Private Placement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condensed consolidated statement of operations. Net proceeds from the Private Placement totaled $3,745.</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January 2025 Private Placement of Preferred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but as of the date of this Quarterly Report on Form 10-Q, has not been declared effective by the SEC. On April 14, 2025, the Effectiveness Deadline was extended to May 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Pursuant to the Registration Rights Agreement, the Company shall pay to each holder of Registrable Securities (as defined in the Registration Rights Agreement) relating to such Registration Statement an amount in cash equal to 2%</w:t>
      </w:r>
      <w:r>
        <w:rPr>
          <w:rFonts w:ascii="Times New Roman;Times;serif" w:hAnsi="Times New Roman;Times;serif"/>
          <w:sz w:val="24"/>
        </w:rPr>
        <w:t xml:space="preserve"> </w:t>
      </w:r>
      <w:r>
        <w:rPr>
          <w:rFonts w:ascii="Times New Roman;Times;serif" w:hAnsi="Times New Roman;Times;serif"/>
          <w:sz w:val="20"/>
        </w:rPr>
        <w:t>of such investor’s respective purchase price (as defined in the Securities Purchase Agreement) on the closing date (1) on the date of such filing failure, effectiveness failure, maintenance failure, or current public information failure, as applicable, and (2) on every 30</w:t>
      </w:r>
      <w:r>
        <w:rPr>
          <w:rFonts w:ascii="Times New Roman;Times;serif" w:hAnsi="Times New Roman;Times;serif"/>
          <w:sz w:val="24"/>
        </w:rPr>
        <w:t xml:space="preserve"> </w:t>
      </w:r>
      <w:r>
        <w:rPr>
          <w:rFonts w:ascii="Times New Roman;Times;serif" w:hAnsi="Times New Roman;Times;serif"/>
          <w:sz w:val="20"/>
        </w:rPr>
        <w:t>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w:t>
      </w:r>
      <w:r>
        <w:rPr>
          <w:rFonts w:ascii="Times New Roman;Times;serif" w:hAnsi="Times New Roman;Times;serif"/>
          <w:sz w:val="24"/>
        </w:rPr>
        <w:t xml:space="preserve"> </w:t>
      </w:r>
      <w:r>
        <w:rPr>
          <w:rFonts w:ascii="Times New Roman;Times;serif" w:hAnsi="Times New Roman;Times;serif"/>
          <w:sz w:val="20"/>
        </w:rPr>
        <w:t>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w:t>
      </w:r>
      <w:r>
        <w:rPr>
          <w:rFonts w:ascii="Times New Roman;Times;serif" w:hAnsi="Times New Roman;Times;serif"/>
          <w:sz w:val="24"/>
        </w:rPr>
        <w:t xml:space="preserve"> </w:t>
      </w:r>
      <w:r>
        <w:rPr>
          <w:rFonts w:ascii="Times New Roman;Times;serif" w:hAnsi="Times New Roman;Times;serif"/>
          <w:sz w:val="20"/>
        </w:rPr>
        <w:t>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w:t>
      </w:r>
      <w:r>
        <w:rPr>
          <w:rFonts w:ascii="Times New Roman;Times;serif" w:hAnsi="Times New Roman;Times;serif"/>
          <w:sz w:val="24"/>
        </w:rPr>
        <w:t xml:space="preserve"> </w:t>
      </w:r>
      <w:r>
        <w:rPr>
          <w:rFonts w:ascii="Times New Roman;Times;serif" w:hAnsi="Times New Roman;Times;serif"/>
          <w:sz w:val="20"/>
        </w:rPr>
        <w:t>per month (prorated for partial months) until paid in full.</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G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Preferred Shares were determined to be more akin to a debt-like host than an equity-like host. The Company identified the following embedded features that are not clearly and closely related to the debt host instrument: 1) certain contingent redemption options and 2) variable share-settled conversions, and 3) certain contingent penalty features. These features were bundled together, assigned probabilities of being 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fair value is included as a reduction to the carrying value of the Series G Preferred Shares. During three months ended March 31,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It was deemed probable that the Series G Preferred Shares will become redeemable, the Company recognized accretion of $499 related to the Series G Preferred Shares from inception to March 31, 2025, pursuant to ASC 480-10-S99-3A utilizing the effective interest method, which is included as a deduction from net loss attributable to common stockholders in the condensed consolidated statement of operations.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condensed consolidated statement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2025, the Company recorded a loss of $142 related to the change in fair value of the derivative liability which is recorded in other income (expense) on the condensed consolidated statements of operations. The Company estimated the $1,457 fair value of the bifurcated embedded derivative at March 31, 2025 using a Monte Carlo simulation model, with the following inputs: the fair value of the Company’s common stock of $1.02 on the valuation date, estimated equity volatility of 89%, the time to maturity of 1.79 years, a discounted market interest rate of 6.3%, a risk-free rate of 3.84%, dividend rate of 8.0%, a penalty dividend rate of 15.0%, and probability of default of 9.9%.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Private Placement, the Company issued (i) Series A warrants to acquire up to an aggregate of 2,673,797 shares of Common Stock (the “Series A Warrants”) at an exercise price of $1.496 per share, and (ii) Series B warrants to acquire up to an aggregate of 2,673,797 shares of Common Stock (the “Series B Warrants,” and collectively with the Series A Warrants, the “Warrants”) at an exercise price of $1.7952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Company assessed the Warrants under ASC 815 and determined that the Warrants will be classified </w:t>
      </w:r>
      <w:r>
        <w:rPr>
          <w:rFonts w:ascii="Times New Roman;Times;serif" w:hAnsi="Times New Roman;Times;serif"/>
          <w:sz w:val="20"/>
        </w:rPr>
        <w:t>as</w:t>
      </w:r>
      <w:r>
        <w:rPr>
          <w:rFonts w:ascii="Times New Roman;Times;serif" w:hAnsi="Times New Roman;Times;serif"/>
          <w:sz w:val="20"/>
          <w:shd w:fill="FFFFFF" w:val="clear"/>
        </w:rPr>
        <w:t xml:space="preserve"> liabilities</w:t>
      </w:r>
      <w:r>
        <w:rPr>
          <w:rFonts w:ascii="Times New Roman;Times;serif" w:hAnsi="Times New Roman;Times;serif"/>
          <w:sz w:val="20"/>
        </w:rPr>
        <w:t xml:space="preserve">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w:t>
      </w:r>
      <w:r>
        <w:rPr>
          <w:rFonts w:ascii="Times New Roman;Times;serif" w:hAnsi="Times New Roman;Times;serif"/>
          <w:sz w:val="20"/>
          <w:shd w:fill="FFFFFF" w:val="clear"/>
        </w:rPr>
        <w:t xml:space="preserve">The Company utilized the Black Scholes Model to calculate the value of the Warrants issued on issuance. The fair value of the Warrants of approximately $5.9 million was estimated at January 14, 2025 utilizing the Black Scholes Model using the following weighted average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bookmarkStart w:id="857" w:name="Tc_guhL5n1rlUyxuobcxTgJRw_5_7"/>
      <w:bookmarkStart w:id="858" w:name="Tc_wc7H9K0FTE-lnXNEQUO9WQ_5_4"/>
      <w:bookmarkStart w:id="859" w:name="Tc_lsUWTlE2LkOuqGeVPNFiKA_5_0"/>
      <w:bookmarkStart w:id="860" w:name="Tc_O16EFMFlMUKSdiMa0zrNHA_4_7"/>
      <w:bookmarkStart w:id="861" w:name="Tc_viTH2-tSIEeVc7hSqCO2ng_4_4"/>
      <w:bookmarkStart w:id="862" w:name="Tc_VRpARqWCW06iEm7bl-uA8g_4_0"/>
      <w:bookmarkStart w:id="863" w:name="Tc_-LgfTTe5x06-IWDs-U7osQ_3_8"/>
      <w:bookmarkStart w:id="864" w:name="Tc_bi1cW2TWbkKWPW2ZLLrEWg_3_7"/>
      <w:bookmarkStart w:id="865" w:name="Tc_DwsGHlbsr0G2ZT1uMBX5GA_3_5"/>
      <w:bookmarkStart w:id="866" w:name="Tc_VaSvYIJ1oEeOJZw5MXm7uw_3_4"/>
      <w:bookmarkStart w:id="867" w:name="Tc_0C-_YSMW10y6ua7GEg3Qdg_3_2"/>
      <w:bookmarkStart w:id="868" w:name="Tc_MJfmzkALJkSTb9bSGgQolQ_3_0"/>
      <w:bookmarkStart w:id="869" w:name="Tc_3KekSDHHS0C11QX4XyNgKA_2_7"/>
      <w:bookmarkStart w:id="870" w:name="Tc_G7BqO_V-T0-bF4Ua8ixnIQ_2_4"/>
      <w:bookmarkStart w:id="871" w:name="Tc_75ASbucD0kaFCkuGoy0zFQ_2_2"/>
      <w:bookmarkStart w:id="872" w:name="Tc_FP6X6Z2EHUW56XXC8_lIGw_1_7"/>
      <w:bookmarkStart w:id="873" w:name="Tc_fBTLzKU2Fkmt1qde4A7iOg_1_4"/>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Times New Roman;Times;serif" w:hAnsi="Times New Roman;Times;serif"/>
          <w:sz w:val="20"/>
          <w:shd w:fill="FFFFFF" w:val="clear"/>
        </w:rPr>
        <w:t>assumptions: the fair value of the Company’s common stock per share of $1.37; remaining term of 5 years; equity volatility of 114.0%; and a risk-free interest rate of 4.49%.</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recorded a gain of approximately $2.6 million related to the change in fair value of the warrant liability which is recorded in other income (expense) on the condensed consolidated statements of operations. The fair value of the Warrants of approximately $3.3 million was estimated at March 31, 2025 utilizing the Black Scholes Model using the following weighted average assumptions: </w:t>
      </w:r>
      <w:r>
        <w:rPr>
          <w:rFonts w:ascii="Times New Roman;Times;serif" w:hAnsi="Times New Roman;Times;serif"/>
          <w:sz w:val="20"/>
          <w:shd w:fill="FFFFFF" w:val="clear"/>
        </w:rPr>
        <w:t xml:space="preserve">the fair value of the Company’s common stock per share of $1.02; </w:t>
      </w:r>
      <w:r>
        <w:rPr>
          <w:rFonts w:ascii="Times New Roman;Times;serif" w:hAnsi="Times New Roman;Times;serif"/>
          <w:sz w:val="20"/>
        </w:rPr>
        <w:t xml:space="preserve">remaining term of 4.79 years; equity volatility of 86%; and a risk-free interest rate of 3.88%.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three months ended March 31, 2025:</w:t>
      </w:r>
    </w:p>
    <w:p>
      <w:pPr>
        <w:pStyle w:val="TextBody"/>
        <w:bidi w:val="0"/>
        <w:spacing w:before="0" w:after="0"/>
        <w:ind w:left="0" w:right="0" w:hanging="0"/>
        <w:jc w:val="left"/>
        <w:rPr/>
      </w:pPr>
      <w:r>
        <w:rPr/>
        <w:t>​</w:t>
      </w:r>
    </w:p>
    <w:tbl>
      <w:tblPr>
        <w:tblW w:w="8001" w:type="dxa"/>
        <w:jc w:val="left"/>
        <w:tblInd w:w="0" w:type="dxa"/>
        <w:tblLayout w:type="fixed"/>
        <w:tblCellMar>
          <w:top w:w="0" w:type="dxa"/>
          <w:left w:w="0" w:type="dxa"/>
          <w:bottom w:w="0" w:type="dxa"/>
          <w:right w:w="0" w:type="dxa"/>
        </w:tblCellMar>
      </w:tblPr>
      <w:tblGrid>
        <w:gridCol w:w="1696"/>
        <w:gridCol w:w="326"/>
        <w:gridCol w:w="1471"/>
        <w:gridCol w:w="326"/>
        <w:gridCol w:w="514"/>
        <w:gridCol w:w="1137"/>
        <w:gridCol w:w="326"/>
        <w:gridCol w:w="642"/>
        <w:gridCol w:w="1563"/>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076960" cy="175260"/>
                      <wp:effectExtent l="0" t="0" r="0" b="0"/>
                      <wp:wrapNone/>
                      <wp:docPr id="158" name="Frame15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34085" cy="175260"/>
                      <wp:effectExtent l="0" t="0" r="0" b="0"/>
                      <wp:wrapNone/>
                      <wp:docPr id="160" name="Frame16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26390" cy="175260"/>
                      <wp:effectExtent l="0" t="0" r="0" b="0"/>
                      <wp:wrapNone/>
                      <wp:docPr id="162" name="Frame162"/>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21995" cy="175260"/>
                      <wp:effectExtent l="0" t="0" r="0" b="0"/>
                      <wp:wrapNone/>
                      <wp:docPr id="163" name="Frame163"/>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07670" cy="175260"/>
                      <wp:effectExtent l="0" t="0" r="0" b="0"/>
                      <wp:wrapNone/>
                      <wp:docPr id="165" name="Frame165"/>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92505" cy="175260"/>
                      <wp:effectExtent l="0" t="0" r="0" b="0"/>
                      <wp:wrapNone/>
                      <wp:docPr id="166" name="Frame166"/>
                      <a:graphic xmlns:a="http://schemas.openxmlformats.org/drawingml/2006/main">
                        <a:graphicData uri="http://schemas.microsoft.com/office/word/2010/wordprocessingShape">
                          <wps:wsp>
                            <wps:cNvSpPr txBox="1"/>
                            <wps:spPr>
                              <a:xfrm>
                                <a:off x="0" y="0"/>
                                <a:ext cx="99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26" w:type="dxa"/>
            <w:tcBorders/>
            <w:vAlign w:val="center"/>
          </w:tcPr>
          <w:p>
            <w:pPr>
              <w:pStyle w:val="TableContents"/>
              <w:bidi w:val="0"/>
              <w:spacing w:before="0" w:after="0"/>
              <w:ind w:left="0" w:right="0" w:hanging="0"/>
              <w:jc w:val="center"/>
              <w:rPr/>
            </w:pPr>
            <w:r>
              <w:rPr/>
              <w:t>    </w:t>
            </w:r>
          </w:p>
        </w:tc>
        <w:tc>
          <w:tcPr>
            <w:tcW w:w="2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26" w:type="dxa"/>
            <w:tcBorders/>
            <w:vAlign w:val="center"/>
          </w:tcPr>
          <w:p>
            <w:pPr>
              <w:pStyle w:val="TableContents"/>
              <w:bidi w:val="0"/>
              <w:spacing w:before="0" w:after="0"/>
              <w:ind w:left="0" w:right="0" w:hanging="0"/>
              <w:jc w:val="center"/>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vAlign w:val="center"/>
          </w:tcPr>
          <w:p>
            <w:pPr>
              <w:pStyle w:val="TableContents"/>
              <w:bidi w:val="0"/>
              <w:spacing w:before="0" w:after="0"/>
              <w:ind w:left="0" w:right="0" w:hanging="0"/>
              <w:jc w:val="center"/>
              <w:rPr/>
            </w:pPr>
            <w:r>
              <w:rPr/>
              <w:t>​</w:t>
            </w:r>
          </w:p>
        </w:tc>
        <w:tc>
          <w:tcPr>
            <w:tcW w:w="2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 term (years)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outstanding warrants were exercisable as of March 31, 2025 with an intrinsic value of $0.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11. Commitments and Contingencies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 Holdings, LLC (“XpresSpa”) v. Cordial Endeavor Concessions of Atlanta, LLC (“Cordial”), et al., Arbitration Case No. 2126399.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XpressSpa Holdings, LLC, is party to an arbitration proceeding (the “Arbitration”) which was requested by the City of Atlanta, Georgia related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dispute arises out of the alleged breaches of contract between the parties as well as other improper conduct relating to the agreements. The Arbitration has recently commenced, a scheduling order was issued by the Arbitrator on May 12, 2025. No substantive proceedings have taken place and there have been no substantive rulings.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4" w:name="Tc_h1tdIFoAW0mLKZ9X_jD2cA_10_14"/>
      <w:bookmarkStart w:id="875" w:name="Tc_l7s54H-GQUippzDxUmu9Dg_10_11"/>
      <w:bookmarkStart w:id="876" w:name="Tc_ia5OWcc82k6AcRuOYCsMnQ_10_8"/>
      <w:bookmarkStart w:id="877" w:name="Tc_08Y_QufQPUmMfFdLPdiMuA_10_5"/>
      <w:bookmarkStart w:id="878" w:name="Tc_ITlrKiQThkaH1MjYCgHEqQ_10_2"/>
      <w:bookmarkStart w:id="879" w:name="Tc_Cx0piO3BBkWpqC7ABNzPsg_10_0"/>
      <w:bookmarkStart w:id="880" w:name="Tc_Z-rTVmSPzECnXSww-1anKA_9_14"/>
      <w:bookmarkStart w:id="881" w:name="Tc_JJDHF_TY2EOQbOdYxtMTMg_9_12"/>
      <w:bookmarkStart w:id="882" w:name="Tc_57qZSQchZkudhj3FOM25Mg_9_11"/>
      <w:bookmarkStart w:id="883" w:name="Tc_O_JtU8BxhUCHev2wxOlTlA_9_8"/>
      <w:bookmarkStart w:id="884" w:name="Tc_RDla-kxW4EiO2gF8y1FC8g_9_5"/>
      <w:bookmarkStart w:id="885" w:name="Tc_wP1mJWDTlkS1Zkg3a-bcbQ_9_2"/>
      <w:bookmarkStart w:id="886" w:name="Tc_sN73Dkre8U20FDlzwIa46g_9_0"/>
      <w:bookmarkStart w:id="887" w:name="Tc_KyG4AosuW0a8XSNcmxemkQ_8_14"/>
      <w:bookmarkStart w:id="888" w:name="Tc_adJGq2VufUWjMlVnD4YW7Q_8_11"/>
      <w:bookmarkStart w:id="889" w:name="Tc_5i7g37qXcEeq2FNTD_oikA_8_8"/>
      <w:bookmarkStart w:id="890" w:name="Tc_7mLGxlLdQEaTEhp-IyT2dA_8_5"/>
      <w:bookmarkStart w:id="891" w:name="Tc_cBfG-PYrgUCTfPPCM5PTkw_8_2"/>
      <w:bookmarkStart w:id="892" w:name="Tc_-ID9GlM3sEqg-w5U5DauMQ_7_2"/>
      <w:bookmarkStart w:id="893" w:name="Tc_v7BQqNRrk0e-9X1JpYYPLg_4_14"/>
      <w:bookmarkStart w:id="894" w:name="Tc_406iMxtq0UC01vHCUlyzQA_4_11"/>
      <w:bookmarkStart w:id="895" w:name="Tc_GoG162M9rkOtyQkJTUPgPg_4_8"/>
      <w:bookmarkStart w:id="896" w:name="Tc_8U58ohtp4U6_HhKMCfX-IQ_4_5"/>
      <w:bookmarkStart w:id="897" w:name="Tc_dKm1RQnmW0-G-sFZ2jWdHg_4_2"/>
      <w:bookmarkStart w:id="898" w:name="Tc_NCgEAQ0Vu0-ys5mcYMomWQ_4_0"/>
      <w:bookmarkStart w:id="899" w:name="Tc_l_yluYqdX0SnldAGG7TY2g_3_14"/>
      <w:bookmarkStart w:id="900" w:name="Tc_F_kBWNk7Yk67r6qFHVm-mA_3_12"/>
      <w:bookmarkStart w:id="901" w:name="Tc_byeMyMD55U-IZweh3a51pQ_3_11"/>
      <w:bookmarkStart w:id="902" w:name="Tc_5MDG-fjVA0OtGhao0R7p5g_3_8"/>
      <w:bookmarkStart w:id="903" w:name="Tc_yRmFYR1BuE-UPtqUUwAHPA_3_5"/>
      <w:bookmarkStart w:id="904" w:name="Tc_5RI215cgGEK9akjmoiEeqw_3_2"/>
      <w:bookmarkStart w:id="905" w:name="Tc_33evBhYf0UuG9SU7NslFzw_3_0"/>
      <w:bookmarkStart w:id="906" w:name="Tc_x4LZns2Hk0OZDjj2xtX4bA_2_14"/>
      <w:bookmarkStart w:id="907" w:name="Tc_3B2o3LeD3k2ouq6_z5-GiQ_2_11"/>
      <w:bookmarkStart w:id="908" w:name="Tc_Xy4iZ72oDU6bDhxZXH_jMg_2_8"/>
      <w:bookmarkStart w:id="909" w:name="Tc_aOi9aas9rECNn93hWxRZnw_2_5"/>
      <w:bookmarkStart w:id="910" w:name="Tc_3DrxbbQ-v0K1i2jZjzKrlA_2_2"/>
      <w:bookmarkStart w:id="911" w:name="Tc_AU2lQeZyME-KkIxLmH5Bbw_1_2"/>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b/>
          <w:sz w:val="20"/>
        </w:rPr>
        <w:t>Note 12.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quarter of 2025, the decision was made to convert the final remaining Treat location at JFK International Airport in New York City to an XWELL location. Treat has been aggregated with XpresSpa in the segment tables below and the presentation has been restated for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CODM evaluates performance and allocates resources for all of its reportable segments based on segment revenues and operating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information about reported segments for the period ended March 31, 2025 and 2024:</w:t>
      </w:r>
    </w:p>
    <w:p>
      <w:pPr>
        <w:pStyle w:val="TextBody"/>
        <w:bidi w:val="0"/>
        <w:spacing w:before="0" w:after="0"/>
        <w:ind w:left="0" w:right="0" w:hanging="0"/>
        <w:jc w:val="left"/>
        <w:rPr/>
      </w:pPr>
      <w:r>
        <w:rPr/>
        <w:t>​</w:t>
      </w:r>
    </w:p>
    <w:tbl>
      <w:tblPr>
        <w:tblW w:w="9499" w:type="dxa"/>
        <w:jc w:val="left"/>
        <w:tblInd w:w="0" w:type="dxa"/>
        <w:tblLayout w:type="fixed"/>
        <w:tblCellMar>
          <w:top w:w="0" w:type="dxa"/>
          <w:left w:w="0" w:type="dxa"/>
          <w:bottom w:w="0" w:type="dxa"/>
          <w:right w:w="0" w:type="dxa"/>
        </w:tblCellMar>
      </w:tblPr>
      <w:tblGrid>
        <w:gridCol w:w="2071"/>
        <w:gridCol w:w="326"/>
        <w:gridCol w:w="229"/>
        <w:gridCol w:w="691"/>
        <w:gridCol w:w="326"/>
        <w:gridCol w:w="259"/>
        <w:gridCol w:w="702"/>
        <w:gridCol w:w="326"/>
        <w:gridCol w:w="315"/>
        <w:gridCol w:w="810"/>
        <w:gridCol w:w="326"/>
        <w:gridCol w:w="461"/>
        <w:gridCol w:w="1384"/>
        <w:gridCol w:w="326"/>
        <w:gridCol w:w="211"/>
        <w:gridCol w:w="7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15085" cy="175260"/>
                      <wp:effectExtent l="0" t="0" r="0" b="0"/>
                      <wp:wrapNone/>
                      <wp:docPr id="167" name="Frame16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5415" cy="175260"/>
                      <wp:effectExtent l="0" t="0" r="0" b="0"/>
                      <wp:wrapNone/>
                      <wp:docPr id="169" name="Frame16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4465" cy="175260"/>
                      <wp:effectExtent l="0" t="0" r="0" b="0"/>
                      <wp:wrapNone/>
                      <wp:docPr id="172" name="Frame17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45770" cy="175260"/>
                      <wp:effectExtent l="0" t="0" r="0" b="0"/>
                      <wp:wrapNone/>
                      <wp:docPr id="173" name="Frame173"/>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025" cy="175260"/>
                      <wp:effectExtent l="0" t="0" r="0" b="0"/>
                      <wp:wrapNone/>
                      <wp:docPr id="175" name="Frame1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14350" cy="175260"/>
                      <wp:effectExtent l="0" t="0" r="0" b="0"/>
                      <wp:wrapNone/>
                      <wp:docPr id="176" name="Frame17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92735" cy="175260"/>
                      <wp:effectExtent l="0" t="0" r="0" b="0"/>
                      <wp:wrapNone/>
                      <wp:docPr id="178" name="Frame17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78840" cy="175260"/>
                      <wp:effectExtent l="0" t="0" r="0" b="0"/>
                      <wp:wrapNone/>
                      <wp:docPr id="179" name="Frame179"/>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7360" cy="175260"/>
                      <wp:effectExtent l="0" t="0" r="0" b="0"/>
                      <wp:wrapNone/>
                      <wp:docPr id="182" name="Frame18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2024</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8,726</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12" w:name="Tc_61Oi3lgBb0Wb6fuUkfGyGw_26_14"/>
      <w:bookmarkStart w:id="913" w:name="Tc_H9Ias4MJsUyr31vjVxEgrQ_26_11"/>
      <w:bookmarkStart w:id="914" w:name="Tc_gGTjktUkd0W6qCy1wcG2tg_26_8"/>
      <w:bookmarkStart w:id="915" w:name="Tc_vfpgG4lFYUib5MyHADaPqQ_26_5"/>
      <w:bookmarkStart w:id="916" w:name="Tc_2RiyKzeJBk6X89eNbYFngQ_26_2"/>
      <w:bookmarkStart w:id="917" w:name="Tc_JtqzyFpdU06dh7n1RCbCbQ_26_0"/>
      <w:bookmarkStart w:id="918" w:name="Tc_Hhavsy5NFUOfW4ATueefGw_25_0"/>
      <w:bookmarkStart w:id="919" w:name="Tc_0F4eomeMlEKc3HHuefNfZg_24_0"/>
      <w:bookmarkStart w:id="920" w:name="Tc_QCSZjtspvkSKWQFNhPs-bw_23_0"/>
      <w:bookmarkStart w:id="921" w:name="Tc_sdiROujyM0yQ1vK99p8hqQ_22_12"/>
      <w:bookmarkStart w:id="922" w:name="Tc_TjcaszK-qkC6WFscNAq3vg_22_0"/>
      <w:bookmarkStart w:id="923" w:name="Tc_L8SdCsPVlEuqhf_CWtWvYA_21_12"/>
      <w:bookmarkStart w:id="924" w:name="Tc_bJ0d15vkZUGsglU2zKd7CQ_21_0"/>
      <w:bookmarkStart w:id="925" w:name="Tc_Dgjm642Ogk-Ooc7PIJsIaQ_20_12"/>
      <w:bookmarkStart w:id="926" w:name="Tc_Wg5CHWtnXkOfoWOLWKtLRA_20_0"/>
      <w:bookmarkStart w:id="927" w:name="Tc_cQuSKjpyvk6CRyeLEXUSKg_19_12"/>
      <w:bookmarkStart w:id="928" w:name="Tc_VoXRmf0u3Ea5iHQ5hsRn5g_19_0"/>
      <w:bookmarkStart w:id="929" w:name="Tc_jxYD9w-c2UakjKsXZ8bW6Q_18_0"/>
      <w:bookmarkStart w:id="930" w:name="Tc_X5EIiFRmS0iiBP_-Sl6H8A_17_14"/>
      <w:bookmarkStart w:id="931" w:name="Tc_c8M4jFoy5USMS3a7i_CrHg_17_12"/>
      <w:bookmarkStart w:id="932" w:name="Tc_HlG7LciOQ0KXX6DkPyQHgQ_17_11"/>
      <w:bookmarkStart w:id="933" w:name="Tc_snT_P-7yG0aI42SQ9d_jww_17_8"/>
      <w:bookmarkStart w:id="934" w:name="Tc_mRKi_WloLUypOosA8u8InQ_17_5"/>
      <w:bookmarkStart w:id="935" w:name="Tc_XiOGl8j8fUSYw44xZrc_6A_17_2"/>
      <w:bookmarkStart w:id="936" w:name="Tc_dmZuJlgAMUSwqwS8ZTj5Hg_17_0"/>
      <w:bookmarkStart w:id="937" w:name="Tc_QXAC2Zc1x0-FUmeJLQYkOQ_16_14"/>
      <w:bookmarkStart w:id="938" w:name="Tc_2jR0Z2xMq0mf4RIo7H1R5Q_16_11"/>
      <w:bookmarkStart w:id="939" w:name="Tc_8Bb8R9VNY0yuvmNTKseG3w_16_8"/>
      <w:bookmarkStart w:id="940" w:name="Tc_5lg4wd9Ja0ut8tffAKTQ2Q_16_5"/>
      <w:bookmarkStart w:id="941" w:name="Tc_DfLGiQDW40eoLzGY7m2M0g_16_2"/>
      <w:bookmarkStart w:id="942" w:name="Tc_CashvC-D5ke1_83NNtjQ8Q_15_2"/>
      <w:bookmarkStart w:id="943" w:name="Tc_LSgmC5sA5UyHCf4g85nVBg_12_14"/>
      <w:bookmarkStart w:id="944" w:name="Tc_QWnF0GL3IUuMzWhh-n235g_12_11"/>
      <w:bookmarkStart w:id="945" w:name="Tc_n--ThfdNtkGcOsGcRcbzMA_12_8"/>
      <w:bookmarkStart w:id="946" w:name="Tc_zCXzYisMS06_gG2PTOwFPg_12_5"/>
      <w:bookmarkStart w:id="947" w:name="Tc_J3if4CFsZkW_uXtZZbK8zA_12_2"/>
      <w:bookmarkStart w:id="948" w:name="Tc_GnwQ1z07CUCEabSRKac3UQ_12_0"/>
      <w:bookmarkStart w:id="949" w:name="Tc_4mJrdYv7F0K7qLUnx__foA_11_0"/>
      <w:bookmarkStart w:id="950" w:name="Tc_TgpEpP36kEKq4NrrRbIoWg_10_0"/>
      <w:bookmarkStart w:id="951" w:name="Tc_c0Wx6P6A1EqXBV3hTqRVSg_9_0"/>
      <w:bookmarkStart w:id="952" w:name="Tc_4DYLNZLoOkuRMsjDehO7ew_8_12"/>
      <w:bookmarkStart w:id="953" w:name="Tc_BLcvZWC6akOf2XULyFv-1w_8_0"/>
      <w:bookmarkStart w:id="954" w:name="Tc_r6SCS7IJzU-AanWP9PrSEA_7_12"/>
      <w:bookmarkStart w:id="955" w:name="Tc_-HbNKZv_zEK03d3I2WML2A_7_0"/>
      <w:bookmarkStart w:id="956" w:name="Tc_LTLTGqJvh0m53_73bPGU5g_6_12"/>
      <w:bookmarkStart w:id="957" w:name="Tc_DrhYPi8rc0yKWvrJ8uItMw_6_6"/>
      <w:bookmarkStart w:id="958" w:name="Tc_eB9R24tsoE20zyOKuDXsNA_6_0"/>
      <w:bookmarkStart w:id="959" w:name="Tc_TMH2W_Sdt0aDz928S_VbbA_5_12"/>
      <w:bookmarkStart w:id="960" w:name="Tc_lrqEdK-p6kmlVk7F7evGtg_5_0"/>
      <w:bookmarkStart w:id="961" w:name="Tc_6764Wd99H0CStNRrYY8pRg_4_0"/>
      <w:bookmarkStart w:id="962" w:name="Tc_ZGQ912yaDkiFRBqF-GY7AQ_3_14"/>
      <w:bookmarkStart w:id="963" w:name="Tc_zIliHOHM10-KgXcvG7sAIA_3_12"/>
      <w:bookmarkStart w:id="964" w:name="Tc_ReJx3pyfjUWKN359trl5lQ_3_11"/>
      <w:bookmarkStart w:id="965" w:name="Tc_FznVXIw6Xk6wm2Pk24T2Lg_3_8"/>
      <w:bookmarkStart w:id="966" w:name="Tc_VFo53alaw0iSYgG27GoJCw_3_5"/>
      <w:bookmarkStart w:id="967" w:name="Tc_rj4IEonSi02b8s2pofMi0A_3_2"/>
      <w:bookmarkStart w:id="968" w:name="Tc_AB0VfNe1fE-g5rvyIMPbiA_3_0"/>
      <w:bookmarkStart w:id="969" w:name="Tc_Uy07mNdZyUOlHxd8yInoTQ_2_14"/>
      <w:bookmarkStart w:id="970" w:name="Tc_5etGhFJzf0OdRc5EKArAcw_2_11"/>
      <w:bookmarkStart w:id="971" w:name="Tc_-dFrvmDLWUOY0QWBT_zSWw_2_8"/>
      <w:bookmarkStart w:id="972" w:name="Tc_RRhkb4odHkWc8hZIfCb3nw_2_5"/>
      <w:bookmarkStart w:id="973" w:name="Tc_O-p1VQEGMk6Ysu9iT8C1_A_2_2"/>
      <w:bookmarkStart w:id="974" w:name="Tc_HLhs7cxKGUCqqijk7PAUgQ_1_2"/>
      <w:bookmarkStart w:id="975" w:name="_86fb0521_17d2_401c_8b09_bc919e0b7a6e"/>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sz w:val="20"/>
        </w:rPr>
        <w:t>A reconciliation of total segment revenues to total unaudited condensed consolidated revenue and of total segment operating (loss) income to total consolidated (loss) income, for the three months ended March 31, 2025 and 2024,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32"/>
        <w:gridCol w:w="326"/>
        <w:gridCol w:w="229"/>
        <w:gridCol w:w="690"/>
        <w:gridCol w:w="326"/>
        <w:gridCol w:w="259"/>
        <w:gridCol w:w="702"/>
        <w:gridCol w:w="326"/>
        <w:gridCol w:w="295"/>
        <w:gridCol w:w="747"/>
        <w:gridCol w:w="326"/>
        <w:gridCol w:w="420"/>
        <w:gridCol w:w="1262"/>
        <w:gridCol w:w="326"/>
        <w:gridCol w:w="211"/>
        <w:gridCol w:w="728"/>
      </w:tblGrid>
      <w:tr>
        <w:trPr/>
        <w:tc>
          <w:tcPr>
            <w:tcW w:w="3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925320" cy="175260"/>
                      <wp:effectExtent l="0" t="0" r="0" b="0"/>
                      <wp:wrapNone/>
                      <wp:docPr id="183" name="Frame183"/>
                      <a:graphic xmlns:a="http://schemas.openxmlformats.org/drawingml/2006/main">
                        <a:graphicData uri="http://schemas.microsoft.com/office/word/2010/wordprocessingShape">
                          <wps:wsp>
                            <wps:cNvSpPr txBox="1"/>
                            <wps:spPr>
                              <a:xfrm>
                                <a:off x="0" y="0"/>
                                <a:ext cx="192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5415" cy="175260"/>
                      <wp:effectExtent l="0" t="0" r="0" b="0"/>
                      <wp:wrapNone/>
                      <wp:docPr id="185" name="Frame18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8150" cy="175260"/>
                      <wp:effectExtent l="0" t="0" r="0" b="0"/>
                      <wp:wrapNone/>
                      <wp:docPr id="186" name="Frame18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4465" cy="175260"/>
                      <wp:effectExtent l="0" t="0" r="0" b="0"/>
                      <wp:wrapNone/>
                      <wp:docPr id="188" name="Frame18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45770" cy="175260"/>
                      <wp:effectExtent l="0" t="0" r="0" b="0"/>
                      <wp:wrapNone/>
                      <wp:docPr id="189" name="Frame18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7325" cy="175260"/>
                      <wp:effectExtent l="0" t="0" r="0" b="0"/>
                      <wp:wrapNone/>
                      <wp:docPr id="191" name="Frame19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74345" cy="175260"/>
                      <wp:effectExtent l="0" t="0" r="0" b="0"/>
                      <wp:wrapNone/>
                      <wp:docPr id="192" name="Frame19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66700" cy="175260"/>
                      <wp:effectExtent l="0" t="0" r="0" b="0"/>
                      <wp:wrapNone/>
                      <wp:docPr id="194" name="Frame194"/>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01370" cy="175260"/>
                      <wp:effectExtent l="0" t="0" r="0" b="0"/>
                      <wp:wrapNone/>
                      <wp:docPr id="195" name="Frame195"/>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62280" cy="175260"/>
                      <wp:effectExtent l="0" t="0" r="0" b="0"/>
                      <wp:wrapNone/>
                      <wp:docPr id="198" name="Frame198"/>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vAlign w:val="center"/>
          </w:tcPr>
          <w:p>
            <w:pPr>
              <w:pStyle w:val="TableContents"/>
              <w:bidi w:val="0"/>
              <w:spacing w:before="0" w:after="0"/>
              <w:ind w:left="0" w:right="0" w:hanging="0"/>
              <w:jc w:val="righ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588"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2024</w: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8,726</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righ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significant expense amounts align with the expenses that the CODM is regularly provided with to assess performance and allocate resources.</w:t>
            </w:r>
          </w:p>
        </w:tc>
      </w:tr>
    </w:tbl>
    <w:tbl>
      <w:tblPr>
        <w:tblW w:w="4382" w:type="dxa"/>
        <w:jc w:val="left"/>
        <w:tblInd w:w="0" w:type="dxa"/>
        <w:tblLayout w:type="fixed"/>
        <w:tblCellMar>
          <w:top w:w="0" w:type="dxa"/>
          <w:left w:w="0" w:type="dxa"/>
          <w:bottom w:w="0" w:type="dxa"/>
          <w:right w:w="0" w:type="dxa"/>
        </w:tblCellMar>
      </w:tblPr>
      <w:tblGrid>
        <w:gridCol w:w="346"/>
        <w:gridCol w:w="4036"/>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403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all segments, SGA consists of the following:</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76" w:name="Tc_YlmhOR6oekSemI4AugIvoA_13_5"/>
      <w:bookmarkStart w:id="977" w:name="Tc_xxUMKF3KU0aoPhGFayLwsA_13_2"/>
      <w:bookmarkStart w:id="978" w:name="Tc_SpGYlP5NpU2oVpqdlRA5FA_13_0"/>
      <w:bookmarkStart w:id="979" w:name="Tc_mJg6zww0O0-N-jBZB0bT4A_12_0"/>
      <w:bookmarkStart w:id="980" w:name="Tc_pc08cfkww0GpTrMa0GE5lQ_11_5"/>
      <w:bookmarkStart w:id="981" w:name="Tc_p49riwh6G0Wo4BoixS7lkg_11_2"/>
      <w:bookmarkStart w:id="982" w:name="Tc_rj3L2VN5yk-4EYQYHFIcQQ_11_0"/>
      <w:bookmarkStart w:id="983" w:name="Tc_dmppwrgeIUSbSnOSOw9GnA_10_5"/>
      <w:bookmarkStart w:id="984" w:name="Tc_oE8BNoMg3EGXIrlsEXkSwQ_10_2"/>
      <w:bookmarkStart w:id="985" w:name="Tc_30xBB7QAXEKneAQbGry--Q_10_0"/>
      <w:bookmarkStart w:id="986" w:name="Tc_84qRqPPeKkGOhGjVY6-ujA_7_5"/>
      <w:bookmarkStart w:id="987" w:name="Tc_8fAEFhGhiEivU53fCV8hdQ_7_2"/>
      <w:bookmarkStart w:id="988" w:name="Tc_DfAeWHcPhk-j1OGxUoO-lQ_7_0"/>
      <w:bookmarkStart w:id="989" w:name="Tc_n3aUC3oYwkesQs3gaW1izQ_6_0"/>
      <w:bookmarkStart w:id="990" w:name="Tc_QOZBVvmpZ0yLLN5vKyI9WA_5_5"/>
      <w:bookmarkStart w:id="991" w:name="Tc_B0DS80poU0eeF2GQTCsVUg_5_2"/>
      <w:bookmarkStart w:id="992" w:name="Tc_VZae82LKn0OeoMdav6JZcQ_5_0"/>
      <w:bookmarkStart w:id="993" w:name="Tc_eypp3BLz9EeBt5Gr-exMQw_4_0"/>
      <w:bookmarkStart w:id="994" w:name="Tc_fZlrbexBSUueRFM2oZrMcw_3_5"/>
      <w:bookmarkStart w:id="995" w:name="Tc_tQPBp93QXkasYdAgXIVSLw_3_2"/>
      <w:bookmarkStart w:id="996" w:name="Tc_lJ1pgP2lg0C0o9tSOR3xew_2_2"/>
      <w:bookmarkStart w:id="997" w:name="Tc_1Ukpezse9U-YwZ5u4Lr0kQ_1_2"/>
      <w:bookmarkStart w:id="998" w:name="Tc_1GV4j9YZSUy3x7vHDV0UKQ_10_14"/>
      <w:bookmarkStart w:id="999" w:name="Tc_60qND0RTcUacymvzsFrfNQ_10_11"/>
      <w:bookmarkStart w:id="1000" w:name="Tc_44_lM8Sx2Uyn4JawkwsnUg_10_8"/>
      <w:bookmarkStart w:id="1001" w:name="Tc_EyX8hfgYWEOpu1Tt3fvdAQ_10_5"/>
      <w:bookmarkStart w:id="1002" w:name="Tc_Oi1HPNHHI0W5g3B1URfx1A_10_2"/>
      <w:bookmarkStart w:id="1003" w:name="Tc_CPyl-8Jukk6RraEaZEsWbA_10_0"/>
      <w:bookmarkStart w:id="1004" w:name="Tc_ogAjwxkCZkqL99ku8z6rLw_9_14"/>
      <w:bookmarkStart w:id="1005" w:name="Tc_E-l__k8QfEuYJH_UuUOcZQ_9_11"/>
      <w:bookmarkStart w:id="1006" w:name="Tc_FTNutaHUfkOykK3q8EcrEw_9_8"/>
      <w:bookmarkStart w:id="1007" w:name="Tc_PdHhJ0q_rUeHvadCfHFlyw_9_5"/>
      <w:bookmarkStart w:id="1008" w:name="Tc_h3muKvDvwEK5PSSGgfZavQ_9_2"/>
      <w:bookmarkStart w:id="1009" w:name="Tc_RojVyF_tFEyjsqmyhNEPGg_9_0"/>
      <w:bookmarkStart w:id="1010" w:name="Tc_0z4HFD3KMESovUyFbuaugQ_8_14"/>
      <w:bookmarkStart w:id="1011" w:name="Tc_b6xTcyVDZ0SR3ePxYUeKZQ_8_11"/>
      <w:bookmarkStart w:id="1012" w:name="Tc_Mncj-5huEka1VA_Ej3LlQw_8_8"/>
      <w:bookmarkStart w:id="1013" w:name="Tc_N9oC5RZhWEyNoiiXvInfNg_8_5"/>
      <w:bookmarkStart w:id="1014" w:name="Tc_XQ6XJOnsjUaSJ6faO9BGAg_8_2"/>
      <w:bookmarkStart w:id="1015" w:name="Tc_YoyZ-rgKcU6xauX5otjv-Q_7_2"/>
      <w:bookmarkStart w:id="1016" w:name="Tc_tANPs7MIj0OA7agB5ziLiA_4_14"/>
      <w:bookmarkStart w:id="1017" w:name="Tc_uIdTH2sfWkujcswHvcE4iw_4_11"/>
      <w:bookmarkStart w:id="1018" w:name="Tc_hgDR2igMZ0qAx8znwcQnYQ_4_8"/>
      <w:bookmarkStart w:id="1019" w:name="Tc_lq2BZDr06kChjLOKbfc0yQ_4_5"/>
      <w:bookmarkStart w:id="1020" w:name="Tc_qiaTdiZDyUmp2G9A3FitBg_4_2"/>
      <w:bookmarkStart w:id="1021" w:name="Tc_p1vJ0iVizkGpgc3p3iSxcg_4_0"/>
      <w:bookmarkStart w:id="1022" w:name="Tc_B7YODVQ3QE-vQVK_UJcM_g_3_14"/>
      <w:bookmarkStart w:id="1023" w:name="Tc_y87KIkqxcUi-C0yyZ8oAGg_3_11"/>
      <w:bookmarkStart w:id="1024" w:name="Tc_NNM5YK7utk-r_RE3MXmTmA_3_8"/>
      <w:bookmarkStart w:id="1025" w:name="Tc_kvvCZaca6E6fA6Vlvjd9ZA_3_6"/>
      <w:bookmarkStart w:id="1026" w:name="Tc_4DYCVUm4nkCvytFOIg_mHQ_3_5"/>
      <w:bookmarkStart w:id="1027" w:name="Tc_LsFTPmdHFkOwBeuM1rnFkg_3_2"/>
      <w:bookmarkStart w:id="1028" w:name="Tc_rieCoE7_FUu3I6DU3AdjAg_3_0"/>
      <w:bookmarkStart w:id="1029" w:name="Tc_A6iJHbGoRUWlcOYK56--NQ_2_14"/>
      <w:bookmarkStart w:id="1030" w:name="Tc_-c-XmvORBk2snBQhoLT6qA_2_11"/>
      <w:bookmarkStart w:id="1031" w:name="Tc_s8jKDvDbCUu45pxxfqVnZA_2_8"/>
      <w:bookmarkStart w:id="1032" w:name="Tc_dhpnZWl3-0avzItjLS08-w_2_5"/>
      <w:bookmarkStart w:id="1033" w:name="Tc_TPO3749s0EWn8__HjrsmEg_2_2"/>
      <w:bookmarkStart w:id="1034" w:name="Tc_hAcDK__P_UOUsCWyq-iT6Q_1_2"/>
      <w:bookmarkStart w:id="1035" w:name="_3430a0cf_00e0_4fc3_88d8_34cd1b523a8b"/>
      <w:bookmarkStart w:id="1036" w:name="Tc_JalbqCAAA0m_N8BdQpYbpA_9_14"/>
      <w:bookmarkStart w:id="1037" w:name="Tc_fj3AmvlzQk24lWAe7TGh9w_9_12"/>
      <w:bookmarkStart w:id="1038" w:name="Tc_LBmvOIXW6UilYHx2nPQWMg_9_11"/>
      <w:bookmarkStart w:id="1039" w:name="Tc_1-kTCw2LtUmVQjT1YGgnHA_9_9"/>
      <w:bookmarkStart w:id="1040" w:name="Tc_CHuLwhs3YUC4NZnJBcMVcg_9_8"/>
      <w:bookmarkStart w:id="1041" w:name="Tc_6aOjRciJLkatncUmkGEMJw_9_6"/>
      <w:bookmarkStart w:id="1042" w:name="Tc_1XAEdKYre0CskR3ZszEBAA_9_5"/>
      <w:bookmarkStart w:id="1043" w:name="Tc_-TQmTvr7c0K3CBjDjndZ0Q_9_2"/>
      <w:bookmarkStart w:id="1044" w:name="Tc_i9O34f2Qu0688GshElQ55A_9_0"/>
      <w:bookmarkStart w:id="1045" w:name="Tc_xW3qX6CvCUGb9qf3Bit54A_8_14"/>
      <w:bookmarkStart w:id="1046" w:name="Tc_mN7d2MU45UCOtnl6rlXTeQ_8_12"/>
      <w:bookmarkStart w:id="1047" w:name="Tc_Wx2rl5qTPUKrqik14Zgr5w_8_11"/>
      <w:bookmarkStart w:id="1048" w:name="Tc_RwiaCa5-oE-dtTK4Ac5xaA_8_9"/>
      <w:bookmarkStart w:id="1049" w:name="Tc_DuqOBGF3SUyGJ60uZgX6LQ_8_8"/>
      <w:bookmarkStart w:id="1050" w:name="Tc_PJ3zpRrbhki5aVYT3-cliw_8_5"/>
      <w:bookmarkStart w:id="1051" w:name="Tc_WG0EgVD8rU6J4LCU3Op5uw_8_2"/>
      <w:bookmarkStart w:id="1052" w:name="Tc_WsRwHYkHYk-FWfv85lTn_A_8_0"/>
      <w:bookmarkStart w:id="1053" w:name="Tc_3LCVLCjqoUqvFHSz0JT38g_7_14"/>
      <w:bookmarkStart w:id="1054" w:name="Tc_-t8zM_RmIkGWd5U2W45iEg_7_11"/>
      <w:bookmarkStart w:id="1055" w:name="Tc_5AuemCgYdEysgIilrflNAg_7_8"/>
      <w:bookmarkStart w:id="1056" w:name="Tc_A8Tivtym8kKWYw7WidVgHQ_7_5"/>
      <w:bookmarkStart w:id="1057" w:name="Tc_dOFAxSM5gUq-K88gosVBBw_7_2"/>
      <w:bookmarkStart w:id="1058" w:name="Tc_2V5S7arIuUa6kF8J_j9LVA_6_2"/>
      <w:bookmarkStart w:id="1059" w:name="Tc_z6GbwYoa-E67edXMIjX2Ug_3_14"/>
      <w:bookmarkStart w:id="1060" w:name="Tc_7HNj_GVYJk-9MlqB0tKHAg_3_11"/>
      <w:bookmarkStart w:id="1061" w:name="Tc_R08UqPihbEqjEe8AQhOJyg_3_9"/>
      <w:bookmarkStart w:id="1062" w:name="Tc_MF8VVujsyk2nBZdf4kYAlg_3_8"/>
      <w:bookmarkStart w:id="1063" w:name="Tc_HrBfH-3180eKRip-0VI-0w_3_5"/>
      <w:bookmarkStart w:id="1064" w:name="Tc_Kl2k0eX5k0WaEhk8KV58rQ_3_2"/>
      <w:bookmarkStart w:id="1065" w:name="Tc_70xnJjeyHE63t3mfjktbTw_3_0"/>
      <w:bookmarkStart w:id="1066" w:name="Tc_CKLtaM8vsUijloQkWdpHug_2_14"/>
      <w:bookmarkStart w:id="1067" w:name="Tc_M6O7RSkbbE6z-TE8GesV3Q_2_11"/>
      <w:bookmarkStart w:id="1068" w:name="Tc_vfteC4oEAEmc9ilrSJhsQw_2_8"/>
      <w:bookmarkStart w:id="1069" w:name="Tc_z6GLEVMavke2Dbl4bBCjyg_2_5"/>
      <w:bookmarkStart w:id="1070" w:name="Tc_QlvjVxY_ckebcPKf61P0yg_2_2"/>
      <w:bookmarkStart w:id="1071" w:name="Tc_ZPUcVSDu60umd52Vu19f7A_1_2"/>
      <w:bookmarkStart w:id="1072" w:name="_7d352f8a_fe26_44c6_baa1_18470fc62dd8"/>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Fonts w:ascii="Times New Roman;Times;serif" w:hAnsi="Times New Roman;Times;serif"/>
          <w:b/>
          <w:sz w:val="20"/>
        </w:rPr>
        <w:t>Other Significant Items</w:t>
      </w:r>
    </w:p>
    <w:p>
      <w:pPr>
        <w:pStyle w:val="TextBody"/>
        <w:bidi w:val="0"/>
        <w:spacing w:before="0" w:after="0"/>
        <w:ind w:left="0" w:right="0" w:hanging="0"/>
        <w:jc w:val="left"/>
        <w:rPr/>
      </w:pPr>
      <w:r>
        <w:rPr/>
        <w:t>​</w:t>
      </w:r>
    </w:p>
    <w:tbl>
      <w:tblPr>
        <w:tblW w:w="9505" w:type="dxa"/>
        <w:jc w:val="left"/>
        <w:tblInd w:w="0" w:type="dxa"/>
        <w:tblLayout w:type="fixed"/>
        <w:tblCellMar>
          <w:top w:w="0" w:type="dxa"/>
          <w:left w:w="0" w:type="dxa"/>
          <w:bottom w:w="0" w:type="dxa"/>
          <w:right w:w="0" w:type="dxa"/>
        </w:tblCellMar>
      </w:tblPr>
      <w:tblGrid>
        <w:gridCol w:w="2281"/>
        <w:gridCol w:w="326"/>
        <w:gridCol w:w="305"/>
        <w:gridCol w:w="611"/>
        <w:gridCol w:w="326"/>
        <w:gridCol w:w="364"/>
        <w:gridCol w:w="597"/>
        <w:gridCol w:w="326"/>
        <w:gridCol w:w="426"/>
        <w:gridCol w:w="699"/>
        <w:gridCol w:w="326"/>
        <w:gridCol w:w="698"/>
        <w:gridCol w:w="1147"/>
        <w:gridCol w:w="326"/>
        <w:gridCol w:w="211"/>
        <w:gridCol w:w="5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448435" cy="175260"/>
                      <wp:effectExtent l="0" t="0" r="0" b="0"/>
                      <wp:wrapNone/>
                      <wp:docPr id="199" name="Frame19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3675" cy="175260"/>
                      <wp:effectExtent l="0" t="0" r="0" b="0"/>
                      <wp:wrapNone/>
                      <wp:docPr id="201" name="Frame20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87985" cy="175260"/>
                      <wp:effectExtent l="0" t="0" r="0" b="0"/>
                      <wp:wrapNone/>
                      <wp:docPr id="202" name="Frame20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1140" cy="175260"/>
                      <wp:effectExtent l="0" t="0" r="0" b="0"/>
                      <wp:wrapNone/>
                      <wp:docPr id="204" name="Frame20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9095" cy="175260"/>
                      <wp:effectExtent l="0" t="0" r="0" b="0"/>
                      <wp:wrapNone/>
                      <wp:docPr id="205" name="Frame205"/>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70510" cy="175260"/>
                      <wp:effectExtent l="0" t="0" r="0" b="0"/>
                      <wp:wrapNone/>
                      <wp:docPr id="207" name="Frame20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43865" cy="175260"/>
                      <wp:effectExtent l="0" t="0" r="0" b="0"/>
                      <wp:wrapNone/>
                      <wp:docPr id="208" name="Frame20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43230" cy="175260"/>
                      <wp:effectExtent l="0" t="0" r="0" b="0"/>
                      <wp:wrapNone/>
                      <wp:docPr id="210" name="Frame21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28345" cy="175260"/>
                      <wp:effectExtent l="0" t="0" r="0" b="0"/>
                      <wp:wrapNone/>
                      <wp:docPr id="211" name="Frame211"/>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40360" cy="175260"/>
                      <wp:effectExtent l="0" t="0" r="0" b="0"/>
                      <wp:wrapNone/>
                      <wp:docPr id="214" name="Frame214"/>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2024</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0"/>
        <w:ind w:left="0" w:right="0" w:hanging="0"/>
        <w:jc w:val="left"/>
        <w:rPr/>
      </w:pPr>
      <w:r>
        <w:rPr/>
        <w:t>​</w:t>
      </w:r>
    </w:p>
    <w:tbl>
      <w:tblPr>
        <w:tblW w:w="9295" w:type="dxa"/>
        <w:jc w:val="left"/>
        <w:tblInd w:w="0" w:type="dxa"/>
        <w:tblLayout w:type="fixed"/>
        <w:tblCellMar>
          <w:top w:w="0" w:type="dxa"/>
          <w:left w:w="0" w:type="dxa"/>
          <w:bottom w:w="0" w:type="dxa"/>
          <w:right w:w="0" w:type="dxa"/>
        </w:tblCellMar>
      </w:tblPr>
      <w:tblGrid>
        <w:gridCol w:w="1816"/>
        <w:gridCol w:w="326"/>
        <w:gridCol w:w="247"/>
        <w:gridCol w:w="669"/>
        <w:gridCol w:w="326"/>
        <w:gridCol w:w="259"/>
        <w:gridCol w:w="702"/>
        <w:gridCol w:w="326"/>
        <w:gridCol w:w="303"/>
        <w:gridCol w:w="822"/>
        <w:gridCol w:w="326"/>
        <w:gridCol w:w="497"/>
        <w:gridCol w:w="1348"/>
        <w:gridCol w:w="326"/>
        <w:gridCol w:w="211"/>
        <w:gridCol w:w="7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53160" cy="175260"/>
                      <wp:effectExtent l="0" t="0" r="0" b="0"/>
                      <wp:wrapNone/>
                      <wp:docPr id="215" name="Frame21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6845" cy="175260"/>
                      <wp:effectExtent l="0" t="0" r="0" b="0"/>
                      <wp:wrapNone/>
                      <wp:docPr id="217" name="Frame21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4815" cy="175260"/>
                      <wp:effectExtent l="0" t="0" r="0" b="0"/>
                      <wp:wrapNone/>
                      <wp:docPr id="218" name="Frame218"/>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4465" cy="175260"/>
                      <wp:effectExtent l="0" t="0" r="0" b="0"/>
                      <wp:wrapNone/>
                      <wp:docPr id="220" name="Frame22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45770" cy="175260"/>
                      <wp:effectExtent l="0" t="0" r="0" b="0"/>
                      <wp:wrapNone/>
                      <wp:docPr id="221" name="Frame221"/>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92405" cy="175260"/>
                      <wp:effectExtent l="0" t="0" r="0" b="0"/>
                      <wp:wrapNone/>
                      <wp:docPr id="223" name="Frame22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21970" cy="175260"/>
                      <wp:effectExtent l="0" t="0" r="0" b="0"/>
                      <wp:wrapNone/>
                      <wp:docPr id="224" name="Frame22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15595" cy="175260"/>
                      <wp:effectExtent l="0" t="0" r="0" b="0"/>
                      <wp:wrapNone/>
                      <wp:docPr id="226" name="Frame22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855980" cy="175260"/>
                      <wp:effectExtent l="0" t="0" r="0" b="0"/>
                      <wp:wrapNone/>
                      <wp:docPr id="227" name="Frame227"/>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02285" cy="175260"/>
                      <wp:effectExtent l="0" t="0" r="0" b="0"/>
                      <wp:wrapNone/>
                      <wp:docPr id="230" name="Frame23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8,241</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24,827</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25,352</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foreign country that were material to the Company’s unaudited condensed consolidated financial statements. Long-lived assets include property and equipment and right of use lease assets.</w:t>
      </w:r>
    </w:p>
    <w:p>
      <w:pPr>
        <w:pStyle w:val="TextBody"/>
        <w:bidi w:val="0"/>
        <w:spacing w:before="0" w:after="0"/>
        <w:ind w:left="0" w:right="0" w:hanging="0"/>
        <w:jc w:val="left"/>
        <w:rPr/>
      </w:pPr>
      <w:r>
        <w:rPr/>
        <w:t>​</w:t>
      </w:r>
    </w:p>
    <w:tbl>
      <w:tblPr>
        <w:tblW w:w="5873" w:type="dxa"/>
        <w:jc w:val="left"/>
        <w:tblInd w:w="0" w:type="dxa"/>
        <w:tblLayout w:type="fixed"/>
        <w:tblCellMar>
          <w:top w:w="0" w:type="dxa"/>
          <w:left w:w="0" w:type="dxa"/>
          <w:bottom w:w="0" w:type="dxa"/>
          <w:right w:w="0" w:type="dxa"/>
        </w:tblCellMar>
      </w:tblPr>
      <w:tblGrid>
        <w:gridCol w:w="2011"/>
        <w:gridCol w:w="326"/>
        <w:gridCol w:w="388"/>
        <w:gridCol w:w="1052"/>
        <w:gridCol w:w="326"/>
        <w:gridCol w:w="415"/>
        <w:gridCol w:w="1355"/>
      </w:tblGrid>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6380" cy="175260"/>
                      <wp:effectExtent l="0" t="0" r="0" b="0"/>
                      <wp:wrapNone/>
                      <wp:docPr id="232" name="Frame232"/>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68020" cy="175260"/>
                      <wp:effectExtent l="0" t="0" r="0" b="0"/>
                      <wp:wrapNone/>
                      <wp:docPr id="233" name="Frame233"/>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63525" cy="175260"/>
                      <wp:effectExtent l="0" t="0" r="0" b="0"/>
                      <wp:wrapNone/>
                      <wp:docPr id="235" name="Frame23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60425" cy="175260"/>
                      <wp:effectExtent l="0" t="0" r="0" b="0"/>
                      <wp:wrapNone/>
                      <wp:docPr id="236" name="Frame236"/>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8,726</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Long-lived assets</w:t>
            </w:r>
          </w:p>
        </w:tc>
        <w:tc>
          <w:tcPr>
            <w:tcW w:w="326"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3" w:name="Tc_uwMr0zXbbUatXUWgY5ZHIA_5_5"/>
      <w:bookmarkStart w:id="1074" w:name="Tc_c4i01-ch20O7TEbA-kkocg_5_2"/>
      <w:bookmarkStart w:id="1075" w:name="Tc_cBAd0SOCi06GUxDiuUAOqg_5_0"/>
      <w:bookmarkStart w:id="1076" w:name="Tc_2oFatQGfbE-WUPa5MuOS3A_4_0"/>
      <w:bookmarkStart w:id="1077" w:name="Tc_w2YtQ_8TB0W4ldbD8fDLxQ_3_0"/>
      <w:bookmarkStart w:id="1078" w:name="Tc_vRnHXhY1s0SWbYSeLL_1bQ_2_5"/>
      <w:bookmarkStart w:id="1079" w:name="Tc_rWcDDPE__EaB96-5wZo4RA_2_2"/>
      <w:bookmarkStart w:id="1080" w:name="Tc_zcJRRnksJUGBGbD8VsxbWQ_2_0"/>
      <w:bookmarkStart w:id="1081" w:name="Tc_NFYunqnI9kaC46sB-ENkpQ_1_5"/>
      <w:bookmarkStart w:id="1082" w:name="Tc_HO0fo_veG0OXT-qPTc4UuQ_1_2"/>
      <w:bookmarkStart w:id="1083" w:name="Tc_s52yYB9bOESoos1TUrNkBA_4_5"/>
      <w:bookmarkStart w:id="1084" w:name="Tc_yJBzs02MCkSERNr4gbDSVQ_4_2"/>
      <w:bookmarkStart w:id="1085" w:name="Tc_kWBpItNLwkiKLGj5uvKE8Q_4_0"/>
      <w:bookmarkStart w:id="1086" w:name="Tc_GuPHkPlJKE-GR8yavU49fw_3_0"/>
      <w:bookmarkStart w:id="1087" w:name="Tc_hM6XUBd_fkKIjSu1aXDmUg_2_5"/>
      <w:bookmarkStart w:id="1088" w:name="Tc_I_F9QIVuuEyDUwKK44-L9A_2_2"/>
      <w:bookmarkStart w:id="1089" w:name="Tc_hd0eoRM50UqbyUzy7ETPXA_2_0"/>
      <w:bookmarkStart w:id="1090" w:name="Tc_I4-sDKqgMkCtdlUHLY4E7Q_1_5"/>
      <w:bookmarkStart w:id="1091" w:name="Tc_xZEUHwm4dkuq-0jS0VUg2w_1_2"/>
      <w:bookmarkStart w:id="1092" w:name="_c5f64492_1e36_4ab7_a0ea_d0b9a9baace6"/>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b/>
          <w:sz w:val="20"/>
        </w:rPr>
        <w:t>Note 13.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disaggregated revenue from contracts with customers by the nature of products and services provided (in thousands): </w:t>
      </w:r>
    </w:p>
    <w:tbl>
      <w:tblPr>
        <w:tblW w:w="5558" w:type="dxa"/>
        <w:jc w:val="left"/>
        <w:tblInd w:w="0" w:type="dxa"/>
        <w:tblLayout w:type="fixed"/>
        <w:tblCellMar>
          <w:top w:w="0" w:type="dxa"/>
          <w:left w:w="0" w:type="dxa"/>
          <w:bottom w:w="0" w:type="dxa"/>
          <w:right w:w="0" w:type="dxa"/>
        </w:tblCellMar>
      </w:tblPr>
      <w:tblGrid>
        <w:gridCol w:w="1981"/>
        <w:gridCol w:w="326"/>
        <w:gridCol w:w="388"/>
        <w:gridCol w:w="1052"/>
        <w:gridCol w:w="326"/>
        <w:gridCol w:w="349"/>
        <w:gridCol w:w="113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57935" cy="175260"/>
                      <wp:effectExtent l="0" t="0" r="0" b="0"/>
                      <wp:wrapNone/>
                      <wp:docPr id="237" name="Frame237"/>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46380" cy="175260"/>
                      <wp:effectExtent l="0" t="0" r="0" b="0"/>
                      <wp:wrapNone/>
                      <wp:docPr id="239" name="Frame239"/>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8020" cy="175260"/>
                      <wp:effectExtent l="0" t="0" r="0" b="0"/>
                      <wp:wrapNone/>
                      <wp:docPr id="240" name="Frame240"/>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1615" cy="175260"/>
                      <wp:effectExtent l="0" t="0" r="0" b="0"/>
                      <wp:wrapNone/>
                      <wp:docPr id="242" name="Frame24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21360" cy="175260"/>
                      <wp:effectExtent l="0" t="0" r="0" b="0"/>
                      <wp:wrapNone/>
                      <wp:docPr id="243" name="Frame243"/>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0"/>
              <w:ind w:left="0" w:right="0" w:hanging="0"/>
              <w:jc w:val="left"/>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7,023</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8,726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2025, the unrecognized committed amount of the Ginkgo/BioWorks contract is $7,000.</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contract costs related to the periods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are classified as deferred revenue in the condensed consolidated balance sheets. The activity in deferred revenue for the three months ended March 31, 2025, and for the year ended December 31, 2024,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46"/>
        <w:gridCol w:w="326"/>
        <w:gridCol w:w="375"/>
        <w:gridCol w:w="1017"/>
        <w:gridCol w:w="326"/>
        <w:gridCol w:w="402"/>
        <w:gridCol w:w="1313"/>
      </w:tblGrid>
      <w:tr>
        <w:trPr/>
        <w:tc>
          <w:tcPr>
            <w:tcW w:w="6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093210" cy="175260"/>
                      <wp:effectExtent l="0" t="0" r="0" b="0"/>
                      <wp:wrapNone/>
                      <wp:docPr id="244" name="Frame244"/>
                      <a:graphic xmlns:a="http://schemas.openxmlformats.org/drawingml/2006/main">
                        <a:graphicData uri="http://schemas.microsoft.com/office/word/2010/wordprocessingShape">
                          <wps:wsp>
                            <wps:cNvSpPr txBox="1"/>
                            <wps:spPr>
                              <a:xfrm>
                                <a:off x="0" y="0"/>
                                <a:ext cx="409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38125" cy="175260"/>
                      <wp:effectExtent l="0" t="0" r="0" b="0"/>
                      <wp:wrapNone/>
                      <wp:docPr id="246" name="Frame24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5795" cy="175260"/>
                      <wp:effectExtent l="0" t="0" r="0" b="0"/>
                      <wp:wrapNone/>
                      <wp:docPr id="247" name="Frame247"/>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5270" cy="175260"/>
                      <wp:effectExtent l="0" t="0" r="0" b="0"/>
                      <wp:wrapNone/>
                      <wp:docPr id="249" name="Frame24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33755" cy="175260"/>
                      <wp:effectExtent l="0" t="0" r="0" b="0"/>
                      <wp:wrapNone/>
                      <wp:docPr id="250" name="Frame250"/>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326" w:type="dxa"/>
            <w:tcBorders/>
            <w:vAlign w:val="center"/>
          </w:tcPr>
          <w:p>
            <w:pPr>
              <w:pStyle w:val="TableContents"/>
              <w:bidi w:val="0"/>
              <w:spacing w:before="0" w:after="0"/>
              <w:ind w:left="0" w:right="0" w:hanging="0"/>
              <w:jc w:val="left"/>
              <w:rPr/>
            </w:pPr>
            <w:r>
              <w:rPr/>
              <w:t>    </w:t>
            </w:r>
          </w:p>
        </w:tc>
        <w:tc>
          <w:tcPr>
            <w:tcW w:w="1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the period contract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shd w:fill="CCEEFF" w:val="clear"/>
            <w:vAlign w:val="center"/>
          </w:tcPr>
          <w:p>
            <w:pPr>
              <w:pStyle w:val="TableContents"/>
              <w:bidi w:val="0"/>
              <w:spacing w:before="0" w:after="0"/>
              <w:ind w:left="0" w:right="0" w:hanging="0"/>
              <w:jc w:val="left"/>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the contract liabilities included in the beginning balance</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6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cash received net of amounts recognized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6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 contract liability</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and HyperPointe revenue streams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For the Company’s HyperPointe business unit, Advanced services are distinct performance obligations that are satisfied over time with revenue recognized as services are delivered. Revenues billed in advance are treated as deferred revenue, which was $159 and $181 as of March 31, 2025, and December 31, 2024, respectively. Naples Wax Center offers prepaid wax packages that are either unlimited for one year or a set number of services. When the packages are purchased, the sales are recorded as deferred revenue, which was $922 and $956 as of March 31, 2025 and December 31, 2024, respectively. As services related to prepaid packages are used, revenue is recognized as income.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93" w:name="Tc_XSaDSBQjCE2moLVz9LmLUg_8_5"/>
      <w:bookmarkStart w:id="1094" w:name="Tc_KLBG8GjgNkajskjcU6ddcg_8_2"/>
      <w:bookmarkStart w:id="1095" w:name="Tc_9wpmJTS8IUaQiJRFaA5U_A_8_0"/>
      <w:bookmarkStart w:id="1096" w:name="Tc_6w8jwlBg6ECK1YlxgbRjTg_7_0"/>
      <w:bookmarkStart w:id="1097" w:name="Tc_ydF3u-5hqU2INuOE8Tb6_A_5_8"/>
      <w:bookmarkStart w:id="1098" w:name="Tc_uE0QKjBKskCw_kkyroCTJA_5_0"/>
      <w:bookmarkStart w:id="1099" w:name="Tc_NRz69n0rp0WlInoZNVHPBw_4_8"/>
      <w:bookmarkStart w:id="1100" w:name="Tc_JMRkabCXrkONT1Ks2Idrdw_4_0"/>
      <w:bookmarkStart w:id="1101" w:name="Tc_cQpIahX3qUmW4wfCrUI1iA_3_8"/>
      <w:bookmarkStart w:id="1102" w:name="Tc_ojQx8Brt30-G5Y2pvxmi4g_3_5"/>
      <w:bookmarkStart w:id="1103" w:name="Tc_242_X7ZntUi85Ly2iKRHiQ_3_2"/>
      <w:bookmarkStart w:id="1104" w:name="Tc_go7_NbFl70iKjjOFpaVoKQ_3_0"/>
      <w:bookmarkStart w:id="1105" w:name="Tc_TTukBHhmdE-pLLRZXgJmEw_2_8"/>
      <w:bookmarkStart w:id="1106" w:name="Tc_6dkiKuKox0OKXj4Qio4H4w_2_5"/>
      <w:bookmarkStart w:id="1107" w:name="Tc_XZ4AYNUq1EeZtMdaNz1-AQ_2_2"/>
      <w:bookmarkStart w:id="1108" w:name="Tc_wS2zeEdkdU-LKExIXYaVSQ_1_5"/>
      <w:bookmarkStart w:id="1109" w:name="Tc_ZTfhm8jzsE6AbGmANClxkw_1_2"/>
      <w:bookmarkStart w:id="1110" w:name="_d6c14dda_e0c3_4176_ad85_01b9943764f3"/>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b/>
          <w:sz w:val="20"/>
        </w:rPr>
        <w:t>Note 14. 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comprised of the following (in thousands):</w:t>
      </w:r>
    </w:p>
    <w:tbl>
      <w:tblPr>
        <w:tblW w:w="7805" w:type="dxa"/>
        <w:jc w:val="left"/>
        <w:tblInd w:w="0" w:type="dxa"/>
        <w:tblLayout w:type="fixed"/>
        <w:tblCellMar>
          <w:top w:w="0" w:type="dxa"/>
          <w:left w:w="0" w:type="dxa"/>
          <w:bottom w:w="0" w:type="dxa"/>
          <w:right w:w="0" w:type="dxa"/>
        </w:tblCellMar>
      </w:tblPr>
      <w:tblGrid>
        <w:gridCol w:w="2896"/>
        <w:gridCol w:w="326"/>
        <w:gridCol w:w="255"/>
        <w:gridCol w:w="765"/>
        <w:gridCol w:w="326"/>
        <w:gridCol w:w="326"/>
        <w:gridCol w:w="979"/>
        <w:gridCol w:w="326"/>
        <w:gridCol w:w="16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38960" cy="175260"/>
                      <wp:effectExtent l="0" t="0" r="0" b="0"/>
                      <wp:wrapNone/>
                      <wp:docPr id="251" name="Frame251"/>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1925" cy="175260"/>
                      <wp:effectExtent l="0" t="0" r="0" b="0"/>
                      <wp:wrapNone/>
                      <wp:docPr id="253" name="Frame25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85775" cy="175260"/>
                      <wp:effectExtent l="0" t="0" r="0" b="0"/>
                      <wp:wrapNone/>
                      <wp:docPr id="254" name="Frame254"/>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21665" cy="175260"/>
                      <wp:effectExtent l="0" t="0" r="0" b="0"/>
                      <wp:wrapNone/>
                      <wp:docPr id="257" name="Frame25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019810" cy="175260"/>
                      <wp:effectExtent l="0" t="0" r="0" b="0"/>
                      <wp:wrapNone/>
                      <wp:docPr id="259" name="Frame25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expense was $90 and $141 for the three months ended March 31, 2025 and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1: </w:t>
      </w:r>
      <w:r>
        <w:rPr>
          <w:rFonts w:ascii="Times New Roman;Times;serif" w:hAnsi="Times New Roman;Times;serif"/>
          <w:sz w:val="20"/>
        </w:rPr>
        <w:t>Inputs are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2: </w:t>
      </w:r>
      <w:r>
        <w:rPr>
          <w:rFonts w:ascii="Times New Roman;Times;serif" w:hAnsi="Times New Roman;Times;serif"/>
          <w:sz w:val="20"/>
        </w:rPr>
        <w:t>Pricing inputs are other than quoted prices in active markets included in Level 1, which are either directly or indirectly observable as of the reported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3: </w:t>
      </w:r>
      <w:r>
        <w:rPr>
          <w:rFonts w:ascii="Times New Roman;Times;serif" w:hAnsi="Times New Roman;Times;serif"/>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placement in the fair value hierarchy of the Company’s assets and liabilities measured at fair value on a recurring and nonrecurring basis as of March 31, 2025 and December 31,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11" w:name="Tc_JNhwzySuRUqMKzWkij5vug_36_11"/>
      <w:bookmarkStart w:id="1112" w:name="Tc_UZnkRqrHd0qFomliX1vOYA_36_9"/>
      <w:bookmarkStart w:id="1113" w:name="Tc_ApGLtk9uM0W32R3u0MKJyw_36_8"/>
      <w:bookmarkStart w:id="1114" w:name="Tc_8y4AK2uXxUSz2lqgYz0_AA_36_6"/>
      <w:bookmarkStart w:id="1115" w:name="Tc_9fB84Cg06kirWzF5um_QJg_36_5"/>
      <w:bookmarkStart w:id="1116" w:name="Tc_qwi_XAqeZkyqKjJOjWbu_Q_36_2"/>
      <w:bookmarkStart w:id="1117" w:name="Tc_aoBmPTpOgkyY15-FmJ4JBg_36_0"/>
      <w:bookmarkStart w:id="1118" w:name="Tc_io7LWOdfHUm21ILfLlhsog_35_9"/>
      <w:bookmarkStart w:id="1119" w:name="Tc_GViUAmvv0kmNBNZBg_2lZQ_35_6"/>
      <w:bookmarkStart w:id="1120" w:name="Tc_MBbEFQxyEUiGFj7GJW6eHA_35_0"/>
      <w:bookmarkStart w:id="1121" w:name="Tc_h96s5jIp-k2eTGtXZ8KhQw_34_11"/>
      <w:bookmarkStart w:id="1122" w:name="Tc_Qp1cA7bvzkqXf_vQLNDTpw_34_9"/>
      <w:bookmarkStart w:id="1123" w:name="Tc_O7YXD7A0J0-XfHds8DGKVg_34_8"/>
      <w:bookmarkStart w:id="1124" w:name="Tc_cH29bItYlUOGdZgyHmC7TQ_34_6"/>
      <w:bookmarkStart w:id="1125" w:name="Tc_ivtwpwZGlEKzKjt4LD9aFw_34_5"/>
      <w:bookmarkStart w:id="1126" w:name="Tc_q7NUFMKqfUKGV1PBq-M6aQ_34_2"/>
      <w:bookmarkStart w:id="1127" w:name="Tc_69DsHOBD5kePZKpows1EMQ_34_0"/>
      <w:bookmarkStart w:id="1128" w:name="Tc_jDHwnFcEVUeTanWruj8pvQ_33_0"/>
      <w:bookmarkStart w:id="1129" w:name="Tc_yROw5re29UyYjmSHyf56Rw_32_12"/>
      <w:bookmarkStart w:id="1130" w:name="Tc_BQhuGHhyU0mn_oYFz8G5ow_32_11"/>
      <w:bookmarkStart w:id="1131" w:name="Tc_o2F5wa9zbkai1a_sSPvptw_32_8"/>
      <w:bookmarkStart w:id="1132" w:name="Tc_ulVEC2FYakmcIVk6Ig_QnA_32_5"/>
      <w:bookmarkStart w:id="1133" w:name="Tc_81ZzrpqB-0ixHWPZmitP-g_32_2"/>
      <w:bookmarkStart w:id="1134" w:name="Tc_3WApskjBH0ykOP9HZJVt-w_32_0"/>
      <w:bookmarkStart w:id="1135" w:name="Tc_6mdY2qNv4USo1nZ565amHQ_31_12"/>
      <w:bookmarkStart w:id="1136" w:name="Tc_IB6NVRGADU-skN2RSvg2SA_31_9"/>
      <w:bookmarkStart w:id="1137" w:name="Tc_OuAE1xxHuEK-b5nQ2DoFiA_31_6"/>
      <w:bookmarkStart w:id="1138" w:name="Tc_GwZA8creBEmu7xxC_SHqaA_31_3"/>
      <w:bookmarkStart w:id="1139" w:name="Tc_3nn1V2_O8UGOLkmMNXGpAA_31_0"/>
      <w:bookmarkStart w:id="1140" w:name="Tc_qOGJEQFnDU202QRps_cNlg_30_12"/>
      <w:bookmarkStart w:id="1141" w:name="Tc_OJU4Id4TO0Gv_QsnCDowzw_30_9"/>
      <w:bookmarkStart w:id="1142" w:name="Tc_7sswIaQisEiQtkQpuH4XZw_30_6"/>
      <w:bookmarkStart w:id="1143" w:name="Tc_G2Rtdsz2FUKKauIqN0PbWw_30_3"/>
      <w:bookmarkStart w:id="1144" w:name="Tc_o5_AKpngREi83DD5yNx6yA_30_0"/>
      <w:bookmarkStart w:id="1145" w:name="Tc_fU4iivSKEU6BNO8h61VaOg_29_12"/>
      <w:bookmarkStart w:id="1146" w:name="Tc_p3DOiZ-xVkq5zhvzEDu6fw_29_11"/>
      <w:bookmarkStart w:id="1147" w:name="Tc_TJ6odDl0DkeIzysx5BBGJQ_29_9"/>
      <w:bookmarkStart w:id="1148" w:name="Tc_QeilPdTIc0aRGEp1SEV2Rg_29_8"/>
      <w:bookmarkStart w:id="1149" w:name="Tc_DsgHvEJoi0WUr-X2PhnK4g_29_6"/>
      <w:bookmarkStart w:id="1150" w:name="Tc_E_fA4JeKwkiWKIcN3SQ00A_29_5"/>
      <w:bookmarkStart w:id="1151" w:name="Tc_nGZH_N3mg0eeG8htszH4UA_29_3"/>
      <w:bookmarkStart w:id="1152" w:name="Tc_dC_Y-anp6EOv7SCq62gbkw_29_2"/>
      <w:bookmarkStart w:id="1153" w:name="Tc_q_isJZoSFEWS3byGGw1c_Q_29_0"/>
      <w:bookmarkStart w:id="1154" w:name="Tc_nSfgfXloKUK62ASGoH1W8A_28_0"/>
      <w:bookmarkStart w:id="1155" w:name="Tc_Ql9sYlVCrUe00NztvNAVJw_27_12"/>
      <w:bookmarkStart w:id="1156" w:name="Tc_bRaI99751EKaljQMzuMkew_27_0"/>
      <w:bookmarkStart w:id="1157" w:name="Tc_4WXE-2SM5Uub7z_9ywNlvQ_26_12"/>
      <w:bookmarkStart w:id="1158" w:name="Tc_auacrBDVgEWXVmKrvcTJWw_26_9"/>
      <w:bookmarkStart w:id="1159" w:name="Tc_cHkUepfw4EKtlP9lBNmyCw_26_0"/>
      <w:bookmarkStart w:id="1160" w:name="Tc_v4wWwhX9W0ayQ3Lq6Gaidw_25_12"/>
      <w:bookmarkStart w:id="1161" w:name="Tc_PAfaCQuxY0ucwfYW46KPgA_25_11"/>
      <w:bookmarkStart w:id="1162" w:name="Tc_69cUJtaRhkyTh8ZfsF42bg_25_8"/>
      <w:bookmarkStart w:id="1163" w:name="Tc_NnTz4-pzdE6fDAF2lsu_eg_25_6"/>
      <w:bookmarkStart w:id="1164" w:name="Tc_VmbXvjEIyk234r2tmsCzUg_25_5"/>
      <w:bookmarkStart w:id="1165" w:name="Tc_B_W_-Zs2YU68hFmwQxdQaQ_25_2"/>
      <w:bookmarkStart w:id="1166" w:name="Tc_wCJWfk34zEm1eK0R429b7Q_25_0"/>
      <w:bookmarkStart w:id="1167" w:name="Tc_arU6PDyDmE6ftTrQTLH7kw_24_0"/>
      <w:bookmarkStart w:id="1168" w:name="Tc_3uaw4V4A002OYduH0412Jw_23_0"/>
      <w:bookmarkStart w:id="1169" w:name="Tc_-GWOtG5ZU0GfSkdbDtw14g_22_0"/>
      <w:bookmarkStart w:id="1170" w:name="Tc_O7p9Kht8wk-vqHvVP5l5nA_20_11"/>
      <w:bookmarkStart w:id="1171" w:name="Tc_kmnVkS3ToUWm2YB65vs5ow_20_9"/>
      <w:bookmarkStart w:id="1172" w:name="Tc_n2gSs3NzMkmzWgasJvWVNg_20_8"/>
      <w:bookmarkStart w:id="1173" w:name="Tc__6cmq4NOY0e_U89seOll-Q_20_6"/>
      <w:bookmarkStart w:id="1174" w:name="Tc_-FoqBVw93kitBqZ33yU7lQ_20_5"/>
      <w:bookmarkStart w:id="1175" w:name="Tc_mjuxaDdcO0qQzVgGJxwtJg_20_2"/>
      <w:bookmarkStart w:id="1176" w:name="Tc_LMCFOkRo4Ee1Orlh1Fd0Mg_20_0"/>
      <w:bookmarkStart w:id="1177" w:name="Tc_byjcGU1v9EWT-REWNzWLcg_19_9"/>
      <w:bookmarkStart w:id="1178" w:name="Tc_v29TCAAjZ0mY9K1gatt5wg_19_6"/>
      <w:bookmarkStart w:id="1179" w:name="Tc_vrnWdDQ-2kueQDLQHr8VZQ_19_0"/>
      <w:bookmarkStart w:id="1180" w:name="Tc_uWz-G-_umkuGuklgRAxigQ_18_11"/>
      <w:bookmarkStart w:id="1181" w:name="Tc_-ImjoJYAWUuS0pZ27V8BFA_18_9"/>
      <w:bookmarkStart w:id="1182" w:name="Tc_NP37tsCt-k-b0OfuKTnWBQ_18_8"/>
      <w:bookmarkStart w:id="1183" w:name="Tc_N3pg3rGTCEuyA8GPhCdeiw_18_6"/>
      <w:bookmarkStart w:id="1184" w:name="Tc_5Zo5LaD3T0yFSB2zhK4zkg_18_5"/>
      <w:bookmarkStart w:id="1185" w:name="Tc_ZkgAECA28Eq7712YPncRpA_18_2"/>
      <w:bookmarkStart w:id="1186" w:name="Tc_mrw_jiHpkEWwIU1klKeB4w_18_0"/>
      <w:bookmarkStart w:id="1187" w:name="Tc_XLUA6h7sY0uoAssWAarmFQ_17_0"/>
      <w:bookmarkStart w:id="1188" w:name="Tc_UcfKLi3Oj0K2yzd-KpSCiA_16_11"/>
      <w:bookmarkStart w:id="1189" w:name="Tc_CVTmZmIQ0UuyvkQirGch-A_16_8"/>
      <w:bookmarkStart w:id="1190" w:name="Tc_L2o9YgwEP0G2kLTFKq6r5Q_16_5"/>
      <w:bookmarkStart w:id="1191" w:name="Tc_LDez8KU_3EOLDokVN4JcPQ_16_2"/>
      <w:bookmarkStart w:id="1192" w:name="Tc_LiiouCZdIU2HlAdzdl-4jw_16_0"/>
      <w:bookmarkStart w:id="1193" w:name="Tc_qmh6GQS9C06fKG9OLM7cQQ_15_9"/>
      <w:bookmarkStart w:id="1194" w:name="Tc_v50k0uY7wEKj9lCr12JBcQ_15_6"/>
      <w:bookmarkStart w:id="1195" w:name="Tc_hUUiODK8PEOgZ2dYPRSKXA_15_0"/>
      <w:bookmarkStart w:id="1196" w:name="Tc_1erGTj5_xU-frab1yP7h0A_14_9"/>
      <w:bookmarkStart w:id="1197" w:name="Tc_ifDGYrcSpka6wIZ0ZGcgbg_14_6"/>
      <w:bookmarkStart w:id="1198" w:name="Tc_sj2c0MyolkyBsQtvLrxvHQ_14_0"/>
      <w:bookmarkStart w:id="1199" w:name="Tc_uIy6q3JrUkq5_AAOGLOTPw_13_9"/>
      <w:bookmarkStart w:id="1200" w:name="Tc_jNFj10pGeU--wAcNZ6pAag_13_6"/>
      <w:bookmarkStart w:id="1201" w:name="Tc_Ugm_LDy4qEeVsg6xmDYk5Q_13_0"/>
      <w:bookmarkStart w:id="1202" w:name="Tc_VDa9stRBUkWQpXoD81Kdww_12_0"/>
      <w:bookmarkStart w:id="1203" w:name="Tc_EHzSJImCcESaNoCkrDoKoA_11_12"/>
      <w:bookmarkStart w:id="1204" w:name="Tc_RlZ-c8Nam0mnPoAXPYlOAg_11_0"/>
      <w:bookmarkStart w:id="1205" w:name="Tc_Pm1ltyTW3kW_hP_lYnfyOg_10_12"/>
      <w:bookmarkStart w:id="1206" w:name="Tc_ZJxgeEHd7ku6MV47jZH3ig_10_9"/>
      <w:bookmarkStart w:id="1207" w:name="Tc_Thcw2GVZKEWo9CzIYe1Ldw_10_0"/>
      <w:bookmarkStart w:id="1208" w:name="Tc_EZmW0Oz-0EiRNtYemdiPiw_9_12"/>
      <w:bookmarkStart w:id="1209" w:name="Tc_tSX0P9XAvkutlIpGEDwuoA_9_11"/>
      <w:bookmarkStart w:id="1210" w:name="Tc_-GDx5oLKvUydT9oq8FlA6w_9_8"/>
      <w:bookmarkStart w:id="1211" w:name="Tc_CnmPbsVNzEOtjOGT1txW_Q_9_6"/>
      <w:bookmarkStart w:id="1212" w:name="Tc_eKK_9F16HU2rT5pIQxkm6g_9_5"/>
      <w:bookmarkStart w:id="1213" w:name="Tc_7Irso18Ut0OMlNwZcuWF_A_9_2"/>
      <w:bookmarkStart w:id="1214" w:name="Tc_IIHjHyqmf0CAo5evyBRXKg_9_0"/>
      <w:bookmarkStart w:id="1215" w:name="Tc_2ZYexzVriEau_Noc-oqznA_8_0"/>
      <w:bookmarkStart w:id="1216" w:name="Tc_jVRBad2kP0qJzfCdXZLTsw_7_0"/>
      <w:bookmarkStart w:id="1217" w:name="Tc_K0CF-0FIlU-0M42gyD740w_6_0"/>
      <w:bookmarkStart w:id="1218" w:name="Tc_MZ0OMbCgN0uu4cY2UKgYgA_5_11"/>
      <w:bookmarkStart w:id="1219" w:name="Tc_t82mCZunbkO9HQFVAzD24w_5_8"/>
      <w:bookmarkStart w:id="1220" w:name="Tc_GsfKf4Wg9ECYE3iyIAfO5w_5_5"/>
      <w:bookmarkStart w:id="1221" w:name="Tc_3TUp2fvQAUeJVnchMbo5Jg_5_2"/>
      <w:bookmarkStart w:id="1222" w:name="Tc_8Og5XHWDOEeByHmk4pmIHw_4_11"/>
      <w:bookmarkStart w:id="1223" w:name="Tc_h6gbM-nR_ka-1GdQaiwomw_4_8"/>
      <w:bookmarkStart w:id="1224" w:name="Tc_n_qIVTaBpEWGAWzMYKbJyA_4_5"/>
      <w:bookmarkStart w:id="1225" w:name="Tc_0szqMMcau0CPb4VxYJNnPQ_3_11"/>
      <w:bookmarkStart w:id="1226" w:name="Tc_hVIYXJNnS0e9b969bbSHsg_3_8"/>
      <w:bookmarkStart w:id="1227" w:name="Tc_l0jZUEvHm0uKLyGAdnL0qg_3_5"/>
      <w:bookmarkStart w:id="1228" w:name="Tc_ZiJXJY7nzUGxN8Ba_t8S7A_2_5"/>
      <w:bookmarkStart w:id="1229" w:name="Tc__mvbte80ZkGm9pOlpGkShw_1_5"/>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r>
        <w:rPr>
          <w:rFonts w:ascii="Times New Roman;Times;serif" w:hAnsi="Times New Roman;Times;serif"/>
          <w:sz w:val="20"/>
        </w:rPr>
        <w:t>Fair value measurements discussed herein are based upon certain market assumptions and pertinent information available to management as of and during the three months ended March 31, 2025. The carrying amounts of cash equivalents, accounts receivable, and accounts payable approximated their fair values as of March 31, 2025 due to their short-term nature. The fair value of the bifurcated embedded derivative related to the convertible preferred stock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 The fair value of the warrant liability was estimated using the Black Scholes Model which uses as inputs the following weighted average assumptions: dividend yield, expected term in years; equity volatility; and risk-free interest rate.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6"/>
        <w:gridCol w:w="326"/>
        <w:gridCol w:w="211"/>
        <w:gridCol w:w="676"/>
        <w:gridCol w:w="326"/>
        <w:gridCol w:w="400"/>
        <w:gridCol w:w="1086"/>
        <w:gridCol w:w="472"/>
        <w:gridCol w:w="573"/>
        <w:gridCol w:w="943"/>
        <w:gridCol w:w="472"/>
        <w:gridCol w:w="337"/>
        <w:gridCol w:w="1107"/>
      </w:tblGrid>
      <w:tr>
        <w:trPr/>
        <w:tc>
          <w:tcPr>
            <w:tcW w:w="3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80260" cy="175260"/>
                      <wp:effectExtent l="0" t="0" r="0" b="0"/>
                      <wp:wrapNone/>
                      <wp:docPr id="260" name="Frame260"/>
                      <a:graphic xmlns:a="http://schemas.openxmlformats.org/drawingml/2006/main">
                        <a:graphicData uri="http://schemas.microsoft.com/office/word/2010/wordprocessingShape">
                          <wps:wsp>
                            <wps:cNvSpPr txBox="1"/>
                            <wps:spPr>
                              <a:xfrm>
                                <a:off x="0" y="0"/>
                                <a:ext cx="208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54000" cy="175260"/>
                      <wp:effectExtent l="0" t="0" r="0" b="0"/>
                      <wp:wrapNone/>
                      <wp:docPr id="265" name="Frame26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89610" cy="175260"/>
                      <wp:effectExtent l="0" t="0" r="0" b="0"/>
                      <wp:wrapNone/>
                      <wp:docPr id="266" name="Frame26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99720" cy="175260"/>
                      <wp:effectExtent l="0" t="0" r="0" b="0"/>
                      <wp:wrapNone/>
                      <wp:docPr id="267" name="Frame267"/>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63855" cy="175260"/>
                      <wp:effectExtent l="0" t="0" r="0" b="0"/>
                      <wp:wrapNone/>
                      <wp:docPr id="268" name="Frame268"/>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8805" cy="175260"/>
                      <wp:effectExtent l="0" t="0" r="0" b="0"/>
                      <wp:wrapNone/>
                      <wp:docPr id="269" name="Frame269"/>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99720" cy="175260"/>
                      <wp:effectExtent l="0" t="0" r="0" b="0"/>
                      <wp:wrapNone/>
                      <wp:docPr id="270" name="Frame270"/>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3995" cy="175260"/>
                      <wp:effectExtent l="0" t="0" r="0" b="0"/>
                      <wp:wrapNone/>
                      <wp:docPr id="271" name="Frame27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02945" cy="175260"/>
                      <wp:effectExtent l="0" t="0" r="0" b="0"/>
                      <wp:wrapNone/>
                      <wp:docPr id="272" name="Frame272"/>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9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472" w:type="dxa"/>
            <w:tcBorders/>
            <w:vAlign w:val="center"/>
          </w:tcPr>
          <w:p>
            <w:pPr>
              <w:pStyle w:val="TableContents"/>
              <w:bidi w:val="0"/>
              <w:spacing w:before="0" w:after="0"/>
              <w:ind w:left="0" w:right="0" w:hanging="0"/>
              <w:jc w:val="center"/>
              <w:rPr/>
            </w:pPr>
            <w:r>
              <w:rPr/>
              <w:t>    </w:t>
            </w:r>
          </w:p>
        </w:tc>
        <w:tc>
          <w:tcPr>
            <w:tcW w:w="573" w:type="dxa"/>
            <w:tcBorders/>
            <w:vAlign w:val="center"/>
          </w:tcPr>
          <w:p>
            <w:pPr>
              <w:pStyle w:val="TableContents"/>
              <w:bidi w:val="0"/>
              <w:spacing w:before="0" w:after="0"/>
              <w:ind w:left="0" w:right="0" w:hanging="0"/>
              <w:jc w:val="center"/>
              <w:rPr/>
            </w:pPr>
            <w:r>
              <w:rPr/>
              <w:t>​</w:t>
            </w:r>
          </w:p>
        </w:tc>
        <w:tc>
          <w:tcPr>
            <w:tcW w:w="943" w:type="dxa"/>
            <w:tcBorders/>
            <w:vAlign w:val="center"/>
          </w:tcPr>
          <w:p>
            <w:pPr>
              <w:pStyle w:val="TableContents"/>
              <w:bidi w:val="0"/>
              <w:spacing w:before="0" w:after="0"/>
              <w:ind w:left="0" w:right="0" w:hanging="0"/>
              <w:jc w:val="center"/>
              <w:rPr/>
            </w:pPr>
            <w:r>
              <w:rPr/>
              <w:t>​</w:t>
            </w:r>
          </w:p>
        </w:tc>
        <w:tc>
          <w:tcPr>
            <w:tcW w:w="472" w:type="dxa"/>
            <w:tcBorders/>
            <w:vAlign w:val="center"/>
          </w:tcPr>
          <w:p>
            <w:pPr>
              <w:pStyle w:val="TableContents"/>
              <w:bidi w:val="0"/>
              <w:spacing w:before="0" w:after="0"/>
              <w:ind w:left="0" w:right="0" w:hanging="0"/>
              <w:jc w:val="center"/>
              <w:rPr/>
            </w:pPr>
            <w:r>
              <w:rPr/>
              <w:t>    </w:t>
            </w:r>
          </w:p>
        </w:tc>
        <w:tc>
          <w:tcPr>
            <w:tcW w:w="337" w:type="dxa"/>
            <w:tcBorders/>
            <w:vAlign w:val="center"/>
          </w:tcPr>
          <w:p>
            <w:pPr>
              <w:pStyle w:val="TableContents"/>
              <w:bidi w:val="0"/>
              <w:spacing w:before="0" w:after="0"/>
              <w:ind w:left="0" w:right="0" w:hanging="0"/>
              <w:jc w:val="center"/>
              <w:rPr/>
            </w:pPr>
            <w:r>
              <w:rPr/>
              <w:t>​</w:t>
            </w:r>
          </w:p>
        </w:tc>
        <w:tc>
          <w:tcPr>
            <w:tcW w:w="1107" w:type="dxa"/>
            <w:tcBorders/>
            <w:vAlign w:val="center"/>
          </w:tcPr>
          <w:p>
            <w:pPr>
              <w:pStyle w:val="TableContents"/>
              <w:bidi w:val="0"/>
              <w:spacing w:before="0" w:after="0"/>
              <w:ind w:left="0" w:right="0" w:hanging="0"/>
              <w:jc w:val="center"/>
              <w:rPr/>
            </w:pPr>
            <w:r>
              <w:rPr/>
              <w:t>​</w: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472" w:type="dxa"/>
            <w:tcBorders/>
            <w:vAlign w:val="center"/>
          </w:tcPr>
          <w:p>
            <w:pPr>
              <w:pStyle w:val="TableContents"/>
              <w:bidi w:val="0"/>
              <w:spacing w:before="0" w:after="0"/>
              <w:ind w:left="0" w:right="0" w:hanging="0"/>
              <w:jc w:val="center"/>
              <w:rPr/>
            </w:pPr>
            <w:r>
              <w:rPr/>
              <w:t>​</w:t>
            </w:r>
          </w:p>
        </w:tc>
        <w:tc>
          <w:tcPr>
            <w:tcW w:w="144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472" w:type="dxa"/>
            <w:tcBorders/>
            <w:vAlign w:val="center"/>
          </w:tcPr>
          <w:p>
            <w:pPr>
              <w:pStyle w:val="TableContents"/>
              <w:bidi w:val="0"/>
              <w:spacing w:before="0" w:after="0"/>
              <w:ind w:left="0" w:right="0" w:hanging="0"/>
              <w:jc w:val="center"/>
              <w:rPr/>
            </w:pPr>
            <w:r>
              <w:rPr/>
              <w:t>​</w:t>
            </w:r>
          </w:p>
        </w:tc>
        <w:tc>
          <w:tcPr>
            <w:tcW w:w="144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472" w:type="dxa"/>
            <w:tcBorders/>
            <w:vAlign w:val="center"/>
          </w:tcPr>
          <w:p>
            <w:pPr>
              <w:pStyle w:val="TableContents"/>
              <w:bidi w:val="0"/>
              <w:spacing w:before="0" w:after="0"/>
              <w:ind w:left="0" w:right="0" w:hanging="0"/>
              <w:jc w:val="center"/>
              <w:rPr/>
            </w:pPr>
            <w:r>
              <w:rPr/>
              <w:t>​</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  </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 Inc.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7,347</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12,087</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w:t>
            </w:r>
          </w:p>
        </w:tc>
      </w:tr>
      <w:tr>
        <w:trPr/>
        <w:tc>
          <w:tcPr>
            <w:tcW w:w="3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  </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3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5,218</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30" w:name="Tc_0o4MzYrsp0exJj5W2NpYWA_4_2"/>
      <w:bookmarkStart w:id="1231" w:name="Tc_6t0StSJINE6FXTayx7sbsg_4_0"/>
      <w:bookmarkStart w:id="1232" w:name="Tc_l0MPGVrQYE-mtDQoTmlFwg_2_0"/>
      <w:bookmarkStart w:id="1233" w:name="Tc_YIbBlq9klk2APVisa7TR9Q_1_3"/>
      <w:bookmarkStart w:id="1234" w:name="Tc_B1H82YvzJ0Cr37k_O2wxYQ_1_2"/>
      <w:bookmarkStart w:id="1235" w:name="Tc_aCZdjcr8aEOPr8PurJvnUA_1_0"/>
      <w:bookmarkStart w:id="1236" w:name="_7bfe34f6_476b_4952_b730_c5418ec148c1"/>
      <w:bookmarkStart w:id="1237" w:name="Tc_3d8j3YcLdE6RM4vJNTuJdA_4_2"/>
      <w:bookmarkStart w:id="1238" w:name="Tc__rd1wj3LEEmaGJSJesjlUg_4_0"/>
      <w:bookmarkStart w:id="1239" w:name="Tc_qG33E-GbIU-SMsRqWMMm2w_2_0"/>
      <w:bookmarkStart w:id="1240" w:name="Tc_wUuEZXU1Q0G45Jyr7wCu0A_1_3"/>
      <w:bookmarkStart w:id="1241" w:name="Tc_bhRXEn1OFECuoA-WeSwYvg_1_2"/>
      <w:bookmarkStart w:id="1242" w:name="Tc_9UoCWl_dREqHJmY4tWdDUA_1_0"/>
      <w:bookmarkStart w:id="1243" w:name="_657bfb1e_6728_457c_b48b_207f013dfd43"/>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Pr>
          <w:rFonts w:ascii="Times New Roman;Times;serif" w:hAnsi="Times New Roman;Times;serif"/>
          <w:sz w:val="20"/>
        </w:rPr>
        <w:t>The following table sets forth a summary of the change in the fair value of the warrant liability that is measured at fair value on a recurring basis:</w:t>
      </w:r>
    </w:p>
    <w:tbl>
      <w:tblPr>
        <w:tblW w:w="4739" w:type="dxa"/>
        <w:jc w:val="left"/>
        <w:tblInd w:w="0" w:type="dxa"/>
        <w:tblLayout w:type="fixed"/>
        <w:tblCellMar>
          <w:top w:w="0" w:type="dxa"/>
          <w:left w:w="0" w:type="dxa"/>
          <w:bottom w:w="0" w:type="dxa"/>
          <w:right w:w="0" w:type="dxa"/>
        </w:tblCellMar>
      </w:tblPr>
      <w:tblGrid>
        <w:gridCol w:w="3466"/>
        <w:gridCol w:w="326"/>
        <w:gridCol w:w="211"/>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00910" cy="175260"/>
                      <wp:effectExtent l="0" t="0" r="0" b="0"/>
                      <wp:wrapNone/>
                      <wp:docPr id="273" name="Frame27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67360" cy="175260"/>
                      <wp:effectExtent l="0" t="0" r="0" b="0"/>
                      <wp:wrapNone/>
                      <wp:docPr id="276" name="Frame27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 reported at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March 31, 2025</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 in the fair value of the bifurcated embedded derivative liability that is measured at fair value on a recurring basis:</w:t>
      </w:r>
    </w:p>
    <w:tbl>
      <w:tblPr>
        <w:tblW w:w="7424" w:type="dxa"/>
        <w:jc w:val="left"/>
        <w:tblInd w:w="0" w:type="dxa"/>
        <w:tblLayout w:type="fixed"/>
        <w:tblCellMar>
          <w:top w:w="0" w:type="dxa"/>
          <w:left w:w="0" w:type="dxa"/>
          <w:bottom w:w="0" w:type="dxa"/>
          <w:right w:w="0" w:type="dxa"/>
        </w:tblCellMar>
      </w:tblPr>
      <w:tblGrid>
        <w:gridCol w:w="6271"/>
        <w:gridCol w:w="326"/>
        <w:gridCol w:w="211"/>
        <w:gridCol w:w="616"/>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982085" cy="175260"/>
                      <wp:effectExtent l="0" t="0" r="0" b="0"/>
                      <wp:wrapNone/>
                      <wp:docPr id="277" name="Frame277"/>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91160" cy="175260"/>
                      <wp:effectExtent l="0" t="0" r="0" b="0"/>
                      <wp:wrapNone/>
                      <wp:docPr id="280" name="Frame28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preferred stock with bifurcated embedded derivative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March 31, 2025</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r>
    </w:tbl>
    <w:p>
      <w:pPr>
        <w:pStyle w:val="TextBody"/>
        <w:bidi w:val="0"/>
        <w:spacing w:before="0" w:after="0"/>
        <w:ind w:left="0" w:right="0" w:hanging="0"/>
        <w:jc w:val="both"/>
        <w:rPr>
          <w:smallCaps/>
        </w:rPr>
      </w:pPr>
      <w:r>
        <w:rPr>
          <w:smallCaps/>
        </w:rPr>
        <w:t>​</w:t>
      </w:r>
    </w:p>
    <w:p>
      <w:pPr>
        <w:pStyle w:val="TextBody"/>
        <w:bidi w:val="0"/>
        <w:spacing w:before="0" w:after="0"/>
        <w:ind w:left="0" w:right="0" w:hanging="0"/>
        <w:jc w:val="both"/>
        <w:rPr>
          <w:smallCaps/>
        </w:rPr>
      </w:pPr>
      <w:r>
        <w:rPr>
          <w:smallCaps/>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Related Party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w:t>
      </w:r>
      <w:r>
        <w:rPr>
          <w:rFonts w:ascii="Times New Roman;Times;serif" w:hAnsi="Times New Roman;Times;serif"/>
          <w:b w:val="false"/>
          <w:i w:val="false"/>
          <w:caps w:val="false"/>
          <w:smallCaps w:val="false"/>
          <w:sz w:val="20"/>
        </w:rPr>
        <w:t>twelve</w:t>
      </w:r>
      <w:r>
        <w:rPr>
          <w:rFonts w:ascii="Times New Roman;Times;serif" w:hAnsi="Times New Roman;Times;serif"/>
          <w:sz w:val="20"/>
        </w:rPr>
        <w:t xml:space="preserve"> (12) months from the effective date of the agreement in exchange for a total amount for both the original and amended agreements of $530. For the three months ended March 31, 2025, $140 of this contract was recognized in general and administrative expenses on the unaudited condensed consolidated statement of operations and comprehensive loss and $140 was recognized as a prepaid expense in other current assets on the unaudited condensed consolidated balance sheets as of March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17.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44" w:name="Item2ManagementsDiscussionandAnalysisofF"/>
      <w:bookmarkStart w:id="1245" w:name="_54c34ef5_c86d_4f47_b591_2e5078f66bfd"/>
      <w:bookmarkEnd w:id="1244"/>
      <w:bookmarkEnd w:id="124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2024, filed with the Securities and Exchange Commission (the “SEC”) on April 15, 2025, as subsequently amended on April 28, 2024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 references in this Quarterly Report on Form 10-Q to “we,” “us” and “our” refer to XWELL, Inc., a Delaware corporation,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As of the date of this Quarterly Report on Form 10-Q, XWELL currently has three reportable operating segments: XpresSpa®, XpresTest®, and 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amounts are in thousands, except share, per share, or as otherwise specifically noted.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2025, there were 17 domestic XpresSpa locations in total comprised of 16 Company-owned locations and one franchise. The Company also had 11 international locations operating as of March 31,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location at JFK International Airport in New York City to an XWELL location. Following the conversion of the JFK Treat location, in mid-2025, we will no longer have any Treat locations.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We believe a strategy for international expansion further advances our ability to expand our other brands including bio surveillance outside of the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Nasdaq Minimum Bid Price Requirement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Capital Market (“Nasdaq”) pursuant to Nasdaq Listing Rule 5550(a)(2) (the “Minimum Bid Price Rule”). The letter also indicated that we will be provided with a compliance period of 180 calendar days, or until November 10, 2025 (the “Compliance Period”), in which to regain compliance pursuant to Nasdaq Listing Rule 5810(c)(3)(A).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our securities. As of the date of this Quarterly Report on Form 10-Q, we have not regained compliance with the Minimum Bid Price Rule.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January 2025 Private Placement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14, 2025, we entered into a securities purchase agreement (the “January 2025 Purchase Agreement”) with certain accredited investors thereto, pursuant to which it agreed to sell to such investors (i) an aggregate of 4,000 shares of our newly-designated Series G Convertible Preferred Stock, par value of $0.01 per share and a stated value of $1,000 per share (the “Series G Preferred Stock”),, initially convertible into up to 2,673,797 shares of our common stock at a conversion price of $1.496 per share, (ii) Series A Warrants to acquire up to an aggregate of 2,673,797 shares of common stock at an exercise price of $1.496 per share (the “Series A Warrants”), and (iii) Series B Warrants to acquire up to an aggregate of 2,673,797 shares of common stock at an exercise price of $1.7952 per share (the “Series B Warrants”), each for a term of five years following the date of issuance (the “January 2025 Private Placement”). In connection with the January 2025 Private Placement, we also entered into that certain registration rights agreement, dated as of January 14, 2025, with the investors in the January 2025 Private Placement. The January 2025 Private Placement closed on January 14, 2025.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Treat and Naples Wax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sales for our XpresSpa, XpresTest, and Naples Wax segments consist of location and segment level costs. Location and segment level costs include all costs that are directly attributable to operations, primarily payroll and related benefit costs for personnel, occupancy costs and cost of products sold.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overhead and occupancy costs, insurance, salaries, and various professional fees, as well as stock-based compensation for directors, management and administrative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Three months ended March 31, 2025, compared to the three months ended 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080" w:type="dxa"/>
        <w:jc w:val="left"/>
        <w:tblInd w:w="0" w:type="dxa"/>
        <w:tblLayout w:type="fixed"/>
        <w:tblCellMar>
          <w:top w:w="0" w:type="dxa"/>
          <w:left w:w="0" w:type="dxa"/>
          <w:bottom w:w="0" w:type="dxa"/>
          <w:right w:w="0" w:type="dxa"/>
        </w:tblCellMar>
      </w:tblPr>
      <w:tblGrid>
        <w:gridCol w:w="1591"/>
        <w:gridCol w:w="326"/>
        <w:gridCol w:w="211"/>
        <w:gridCol w:w="571"/>
        <w:gridCol w:w="326"/>
        <w:gridCol w:w="211"/>
        <w:gridCol w:w="571"/>
        <w:gridCol w:w="326"/>
        <w:gridCol w:w="211"/>
        <w:gridCol w:w="73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010285" cy="175260"/>
                      <wp:effectExtent l="0" t="0" r="0" b="0"/>
                      <wp:wrapNone/>
                      <wp:docPr id="281" name="Frame28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2585" cy="175260"/>
                      <wp:effectExtent l="0" t="0" r="0" b="0"/>
                      <wp:wrapNone/>
                      <wp:docPr id="284" name="Frame2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7" name="Frame2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67360" cy="175260"/>
                      <wp:effectExtent l="0" t="0" r="0" b="0"/>
                      <wp:wrapNone/>
                      <wp:docPr id="290" name="Frame29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revenue of $1,703 or 20%, was primarily driven by lower CDC XpresTest revenue and XpresSpa revenue offset by Priority Pass revenue, which is a new revenue stream for the three months ended March 31, 2025 as compared to three months ended 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033" w:type="dxa"/>
        <w:jc w:val="left"/>
        <w:tblInd w:w="0" w:type="dxa"/>
        <w:tblLayout w:type="fixed"/>
        <w:tblCellMar>
          <w:top w:w="0" w:type="dxa"/>
          <w:left w:w="0" w:type="dxa"/>
          <w:bottom w:w="0" w:type="dxa"/>
          <w:right w:w="0" w:type="dxa"/>
        </w:tblCellMar>
      </w:tblPr>
      <w:tblGrid>
        <w:gridCol w:w="1576"/>
        <w:gridCol w:w="326"/>
        <w:gridCol w:w="211"/>
        <w:gridCol w:w="571"/>
        <w:gridCol w:w="326"/>
        <w:gridCol w:w="211"/>
        <w:gridCol w:w="571"/>
        <w:gridCol w:w="326"/>
        <w:gridCol w:w="242"/>
        <w:gridCol w:w="67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000760" cy="175260"/>
                      <wp:effectExtent l="0" t="0" r="0" b="0"/>
                      <wp:wrapNone/>
                      <wp:docPr id="291" name="Frame29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2585" cy="175260"/>
                      <wp:effectExtent l="0" t="0" r="0" b="0"/>
                      <wp:wrapNone/>
                      <wp:docPr id="294" name="Frame2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53670" cy="175260"/>
                      <wp:effectExtent l="0" t="0" r="0" b="0"/>
                      <wp:wrapNone/>
                      <wp:docPr id="299" name="Frame29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27355" cy="175260"/>
                      <wp:effectExtent l="0" t="0" r="0" b="0"/>
                      <wp:wrapNone/>
                      <wp:docPr id="300" name="Frame300"/>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$351 or 6%, was primarily driven by decrease in operating costs in outside labor, service supplies and product costs for the three months ended March 31, 2025 as compared to three months ended 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907" w:type="dxa"/>
        <w:jc w:val="left"/>
        <w:tblInd w:w="0" w:type="dxa"/>
        <w:tblLayout w:type="fixed"/>
        <w:tblCellMar>
          <w:top w:w="0" w:type="dxa"/>
          <w:left w:w="0" w:type="dxa"/>
          <w:bottom w:w="0" w:type="dxa"/>
          <w:right w:w="0" w:type="dxa"/>
        </w:tblCellMar>
      </w:tblPr>
      <w:tblGrid>
        <w:gridCol w:w="2596"/>
        <w:gridCol w:w="326"/>
        <w:gridCol w:w="228"/>
        <w:gridCol w:w="455"/>
        <w:gridCol w:w="352"/>
        <w:gridCol w:w="228"/>
        <w:gridCol w:w="455"/>
        <w:gridCol w:w="352"/>
        <w:gridCol w:w="279"/>
        <w:gridCol w:w="6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48460" cy="175260"/>
                      <wp:effectExtent l="0" t="0" r="0" b="0"/>
                      <wp:wrapNone/>
                      <wp:docPr id="301" name="Frame30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4780" cy="175260"/>
                      <wp:effectExtent l="0" t="0" r="0" b="0"/>
                      <wp:wrapNone/>
                      <wp:docPr id="303" name="Frame30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88925" cy="175260"/>
                      <wp:effectExtent l="0" t="0" r="0" b="0"/>
                      <wp:wrapNone/>
                      <wp:docPr id="304" name="Frame30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23520" cy="175260"/>
                      <wp:effectExtent l="0" t="0" r="0" b="0"/>
                      <wp:wrapNone/>
                      <wp:docPr id="305" name="Frame30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4780" cy="175260"/>
                      <wp:effectExtent l="0" t="0" r="0" b="0"/>
                      <wp:wrapNone/>
                      <wp:docPr id="306" name="Frame30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88925" cy="175260"/>
                      <wp:effectExtent l="0" t="0" r="0" b="0"/>
                      <wp:wrapNone/>
                      <wp:docPr id="307" name="Frame30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3520" cy="175260"/>
                      <wp:effectExtent l="0" t="0" r="0" b="0"/>
                      <wp:wrapNone/>
                      <wp:docPr id="308" name="Frame30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7165" cy="175260"/>
                      <wp:effectExtent l="0" t="0" r="0" b="0"/>
                      <wp:wrapNone/>
                      <wp:docPr id="309" name="Frame30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03860" cy="175260"/>
                      <wp:effectExtent l="0" t="0" r="0" b="0"/>
                      <wp:wrapNone/>
                      <wp:docPr id="310" name="Frame310"/>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8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2"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52"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52"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26% was primarily due to fewer long-lived assets available for depreciation and amortization in the three months ended March 31, 2025 as compared to the three months ended March 31, 2024 due the impairment of long-lived assets which occurred at the end of fiscal year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long-lived assets</w:t>
      </w:r>
    </w:p>
    <w:tbl>
      <w:tblPr>
        <w:tblW w:w="5878" w:type="dxa"/>
        <w:jc w:val="left"/>
        <w:tblInd w:w="0" w:type="dxa"/>
        <w:tblLayout w:type="fixed"/>
        <w:tblCellMar>
          <w:top w:w="0" w:type="dxa"/>
          <w:left w:w="0" w:type="dxa"/>
          <w:bottom w:w="0" w:type="dxa"/>
          <w:right w:w="0" w:type="dxa"/>
        </w:tblCellMar>
      </w:tblPr>
      <w:tblGrid>
        <w:gridCol w:w="2671"/>
        <w:gridCol w:w="326"/>
        <w:gridCol w:w="225"/>
        <w:gridCol w:w="370"/>
        <w:gridCol w:w="348"/>
        <w:gridCol w:w="225"/>
        <w:gridCol w:w="450"/>
        <w:gridCol w:w="348"/>
        <w:gridCol w:w="242"/>
        <w:gridCol w:w="67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96085" cy="175260"/>
                      <wp:effectExtent l="0" t="0" r="0" b="0"/>
                      <wp:wrapNone/>
                      <wp:docPr id="311" name="Frame311"/>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2875" cy="175260"/>
                      <wp:effectExtent l="0" t="0" r="0" b="0"/>
                      <wp:wrapNone/>
                      <wp:docPr id="313" name="Frame31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34950" cy="175260"/>
                      <wp:effectExtent l="0" t="0" r="0" b="0"/>
                      <wp:wrapNone/>
                      <wp:docPr id="314" name="Frame31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0980" cy="175260"/>
                      <wp:effectExtent l="0" t="0" r="0" b="0"/>
                      <wp:wrapNone/>
                      <wp:docPr id="315" name="Frame31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42875" cy="175260"/>
                      <wp:effectExtent l="0" t="0" r="0" b="0"/>
                      <wp:wrapNone/>
                      <wp:docPr id="316" name="Frame3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85750" cy="175260"/>
                      <wp:effectExtent l="0" t="0" r="0" b="0"/>
                      <wp:wrapNone/>
                      <wp:docPr id="317" name="Frame31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0980" cy="175260"/>
                      <wp:effectExtent l="0" t="0" r="0" b="0"/>
                      <wp:wrapNone/>
                      <wp:docPr id="318" name="Frame31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53670" cy="175260"/>
                      <wp:effectExtent l="0" t="0" r="0" b="0"/>
                      <wp:wrapNone/>
                      <wp:docPr id="319" name="Frame31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7355" cy="175260"/>
                      <wp:effectExtent l="0" t="0" r="0" b="0"/>
                      <wp:wrapNone/>
                      <wp:docPr id="320" name="Frame320"/>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8" w:type="dxa"/>
            <w:tcBorders/>
            <w:vAlign w:val="center"/>
          </w:tcPr>
          <w:p>
            <w:pPr>
              <w:pStyle w:val="TableContents"/>
              <w:bidi w:val="0"/>
              <w:spacing w:before="0" w:after="0"/>
              <w:ind w:left="0" w:right="0" w:hanging="0"/>
              <w:jc w:val="left"/>
              <w:rPr/>
            </w:pPr>
            <w:r>
              <w:rPr/>
              <w:t>    </w:t>
            </w:r>
          </w:p>
        </w:tc>
        <w:tc>
          <w:tcPr>
            <w:tcW w:w="6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8"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8"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$652 was primarily due to the impairment of long-lived assets that occurred in the three months ended March 31, 2024. There was no similar impairment taken as of 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768"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26"/>
        <w:gridCol w:w="258"/>
        <w:gridCol w:w="657"/>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67485" cy="175260"/>
                      <wp:effectExtent l="0" t="0" r="0" b="0"/>
                      <wp:wrapNone/>
                      <wp:docPr id="321" name="Frame32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2585" cy="175260"/>
                      <wp:effectExtent l="0" t="0" r="0" b="0"/>
                      <wp:wrapNone/>
                      <wp:docPr id="324" name="Frame3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2585" cy="175260"/>
                      <wp:effectExtent l="0" t="0" r="0" b="0"/>
                      <wp:wrapNone/>
                      <wp:docPr id="327" name="Frame3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3830" cy="175260"/>
                      <wp:effectExtent l="0" t="0" r="0" b="0"/>
                      <wp:wrapNone/>
                      <wp:docPr id="329" name="Frame3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17195" cy="175260"/>
                      <wp:effectExtent l="0" t="0" r="0" b="0"/>
                      <wp:wrapNone/>
                      <wp:docPr id="330" name="Frame33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4,173</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approximately 3% was primarily due to the increase in accounting, legal and public company costs for the three months ended March 31, 2025 as compared to three months ended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180" w:type="dxa"/>
        <w:jc w:val="left"/>
        <w:tblInd w:w="0" w:type="dxa"/>
        <w:tblLayout w:type="fixed"/>
        <w:tblCellMar>
          <w:top w:w="0" w:type="dxa"/>
          <w:left w:w="0" w:type="dxa"/>
          <w:bottom w:w="0" w:type="dxa"/>
          <w:right w:w="0" w:type="dxa"/>
        </w:tblCellMar>
      </w:tblPr>
      <w:tblGrid>
        <w:gridCol w:w="2821"/>
        <w:gridCol w:w="326"/>
        <w:gridCol w:w="229"/>
        <w:gridCol w:w="475"/>
        <w:gridCol w:w="355"/>
        <w:gridCol w:w="229"/>
        <w:gridCol w:w="475"/>
        <w:gridCol w:w="355"/>
        <w:gridCol w:w="300"/>
        <w:gridCol w:w="615"/>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791335" cy="175260"/>
                      <wp:effectExtent l="0" t="0" r="0" b="0"/>
                      <wp:wrapNone/>
                      <wp:docPr id="331" name="Frame33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5415" cy="175260"/>
                      <wp:effectExtent l="0" t="0" r="0" b="0"/>
                      <wp:wrapNone/>
                      <wp:docPr id="333" name="Frame33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01625" cy="175260"/>
                      <wp:effectExtent l="0" t="0" r="0" b="0"/>
                      <wp:wrapNone/>
                      <wp:docPr id="334" name="Frame33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5425" cy="175260"/>
                      <wp:effectExtent l="0" t="0" r="0" b="0"/>
                      <wp:wrapNone/>
                      <wp:docPr id="335" name="Frame33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5415" cy="175260"/>
                      <wp:effectExtent l="0" t="0" r="0" b="0"/>
                      <wp:wrapNone/>
                      <wp:docPr id="336" name="Frame33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01625" cy="175260"/>
                      <wp:effectExtent l="0" t="0" r="0" b="0"/>
                      <wp:wrapNone/>
                      <wp:docPr id="337" name="Frame337"/>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5425" cy="175260"/>
                      <wp:effectExtent l="0" t="0" r="0" b="0"/>
                      <wp:wrapNone/>
                      <wp:docPr id="338" name="Frame33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90500" cy="175260"/>
                      <wp:effectExtent l="0" t="0" r="0" b="0"/>
                      <wp:wrapNone/>
                      <wp:docPr id="339" name="Frame33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90525" cy="175260"/>
                      <wp:effectExtent l="0" t="0" r="0" b="0"/>
                      <wp:wrapNone/>
                      <wp:docPr id="340" name="Frame340"/>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5" w:type="dxa"/>
            <w:tcBorders/>
            <w:vAlign w:val="center"/>
          </w:tcPr>
          <w:p>
            <w:pPr>
              <w:pStyle w:val="TableContents"/>
              <w:bidi w:val="0"/>
              <w:spacing w:before="0" w:after="0"/>
              <w:ind w:left="0" w:right="0" w:hanging="0"/>
              <w:jc w:val="left"/>
              <w:rPr/>
            </w:pPr>
            <w:r>
              <w:rPr/>
              <w:t>    </w:t>
            </w:r>
          </w:p>
        </w:tc>
        <w:tc>
          <w:tcPr>
            <w:tcW w:w="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55"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55"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three months ended March 31, 2025 and 2024:</w:t>
      </w:r>
    </w:p>
    <w:tbl>
      <w:tblPr>
        <w:tblW w:w="5890" w:type="dxa"/>
        <w:jc w:val="left"/>
        <w:tblInd w:w="0" w:type="dxa"/>
        <w:tblLayout w:type="fixed"/>
        <w:tblCellMar>
          <w:top w:w="0" w:type="dxa"/>
          <w:left w:w="0" w:type="dxa"/>
          <w:bottom w:w="0" w:type="dxa"/>
          <w:right w:w="0" w:type="dxa"/>
        </w:tblCellMar>
      </w:tblPr>
      <w:tblGrid>
        <w:gridCol w:w="2746"/>
        <w:gridCol w:w="326"/>
        <w:gridCol w:w="357"/>
        <w:gridCol w:w="738"/>
        <w:gridCol w:w="552"/>
        <w:gridCol w:w="357"/>
        <w:gridCol w:w="814"/>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43710" cy="175260"/>
                      <wp:effectExtent l="0" t="0" r="0" b="0"/>
                      <wp:wrapNone/>
                      <wp:docPr id="341" name="Frame34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26695" cy="175260"/>
                      <wp:effectExtent l="0" t="0" r="0" b="0"/>
                      <wp:wrapNone/>
                      <wp:docPr id="343" name="Frame34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68630" cy="175260"/>
                      <wp:effectExtent l="0" t="0" r="0" b="0"/>
                      <wp:wrapNone/>
                      <wp:docPr id="344" name="Frame344"/>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50520" cy="175260"/>
                      <wp:effectExtent l="0" t="0" r="0" b="0"/>
                      <wp:wrapNone/>
                      <wp:docPr id="345" name="Frame345"/>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6695" cy="175260"/>
                      <wp:effectExtent l="0" t="0" r="0" b="0"/>
                      <wp:wrapNone/>
                      <wp:docPr id="346" name="Frame34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16890" cy="175260"/>
                      <wp:effectExtent l="0" t="0" r="0" b="0"/>
                      <wp:wrapNone/>
                      <wp:docPr id="347" name="Frame34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52"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52"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52"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52"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derivatives, and loss on issuance of preferred stock</w:t>
      </w:r>
    </w:p>
    <w:tbl>
      <w:tblPr>
        <w:tblW w:w="6821" w:type="dxa"/>
        <w:jc w:val="left"/>
        <w:tblInd w:w="0" w:type="dxa"/>
        <w:tblLayout w:type="fixed"/>
        <w:tblCellMar>
          <w:top w:w="0" w:type="dxa"/>
          <w:left w:w="0" w:type="dxa"/>
          <w:bottom w:w="0" w:type="dxa"/>
          <w:right w:w="0" w:type="dxa"/>
        </w:tblCellMar>
      </w:tblPr>
      <w:tblGrid>
        <w:gridCol w:w="3676"/>
        <w:gridCol w:w="326"/>
        <w:gridCol w:w="313"/>
        <w:gridCol w:w="1025"/>
        <w:gridCol w:w="484"/>
        <w:gridCol w:w="313"/>
        <w:gridCol w:w="68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334260" cy="175260"/>
                      <wp:effectExtent l="0" t="0" r="0" b="0"/>
                      <wp:wrapNone/>
                      <wp:docPr id="348" name="Frame348"/>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98755" cy="175260"/>
                      <wp:effectExtent l="0" t="0" r="0" b="0"/>
                      <wp:wrapNone/>
                      <wp:docPr id="350" name="Frame35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50875" cy="175260"/>
                      <wp:effectExtent l="0" t="0" r="0" b="0"/>
                      <wp:wrapNone/>
                      <wp:docPr id="351" name="Frame351"/>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07340" cy="175260"/>
                      <wp:effectExtent l="0" t="0" r="0" b="0"/>
                      <wp:wrapNone/>
                      <wp:docPr id="352" name="Frame352"/>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98755" cy="175260"/>
                      <wp:effectExtent l="0" t="0" r="0" b="0"/>
                      <wp:wrapNone/>
                      <wp:docPr id="353" name="Frame35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4340" cy="175260"/>
                      <wp:effectExtent l="0" t="0" r="0" b="0"/>
                      <wp:wrapNone/>
                      <wp:docPr id="354" name="Frame35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84" w:type="dxa"/>
            <w:tcBorders/>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84"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484"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Series G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484"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fair value of warrants and derivatives is due to a decrease in the Company’s stock price after entering into the January 2025 Purchase Agreement. The loss on issuance is due to the initial fair value of the Series G Preferred Shares exceeding the fair value of the proceeds received.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4990" w:type="dxa"/>
        <w:jc w:val="left"/>
        <w:tblInd w:w="0" w:type="dxa"/>
        <w:tblLayout w:type="fixed"/>
        <w:tblCellMar>
          <w:top w:w="0" w:type="dxa"/>
          <w:left w:w="0" w:type="dxa"/>
          <w:bottom w:w="0" w:type="dxa"/>
          <w:right w:w="0" w:type="dxa"/>
        </w:tblCellMar>
      </w:tblPr>
      <w:tblGrid>
        <w:gridCol w:w="1711"/>
        <w:gridCol w:w="326"/>
        <w:gridCol w:w="237"/>
        <w:gridCol w:w="356"/>
        <w:gridCol w:w="367"/>
        <w:gridCol w:w="237"/>
        <w:gridCol w:w="474"/>
        <w:gridCol w:w="367"/>
        <w:gridCol w:w="278"/>
        <w:gridCol w:w="637"/>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086485" cy="175260"/>
                      <wp:effectExtent l="0" t="0" r="0" b="0"/>
                      <wp:wrapNone/>
                      <wp:docPr id="355" name="Frame35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50495" cy="175260"/>
                      <wp:effectExtent l="0" t="0" r="0" b="0"/>
                      <wp:wrapNone/>
                      <wp:docPr id="357" name="Frame35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26060" cy="175260"/>
                      <wp:effectExtent l="0" t="0" r="0" b="0"/>
                      <wp:wrapNone/>
                      <wp:docPr id="358" name="Frame35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33045" cy="175260"/>
                      <wp:effectExtent l="0" t="0" r="0" b="0"/>
                      <wp:wrapNone/>
                      <wp:docPr id="359" name="Frame35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50495" cy="175260"/>
                      <wp:effectExtent l="0" t="0" r="0" b="0"/>
                      <wp:wrapNone/>
                      <wp:docPr id="360" name="Frame36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00990" cy="175260"/>
                      <wp:effectExtent l="0" t="0" r="0" b="0"/>
                      <wp:wrapNone/>
                      <wp:docPr id="361" name="Frame361"/>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33045" cy="175260"/>
                      <wp:effectExtent l="0" t="0" r="0" b="0"/>
                      <wp:wrapNone/>
                      <wp:docPr id="362" name="Frame36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76530" cy="175260"/>
                      <wp:effectExtent l="0" t="0" r="0" b="0"/>
                      <wp:wrapNone/>
                      <wp:docPr id="363" name="Frame36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04495" cy="175260"/>
                      <wp:effectExtent l="0" t="0" r="0" b="0"/>
                      <wp:wrapNone/>
                      <wp:docPr id="364" name="Frame364"/>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7" w:type="dxa"/>
            <w:tcBorders/>
            <w:vAlign w:val="center"/>
          </w:tcPr>
          <w:p>
            <w:pPr>
              <w:pStyle w:val="TableContents"/>
              <w:bidi w:val="0"/>
              <w:spacing w:before="0" w:after="1"/>
              <w:ind w:left="0" w:right="0" w:hanging="0"/>
              <w:jc w:val="left"/>
              <w:rPr/>
            </w:pPr>
            <w:r>
              <w:rPr/>
              <w:t>    </w:t>
            </w:r>
          </w:p>
        </w:tc>
        <w:tc>
          <w:tcPr>
            <w:tcW w:w="7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7"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6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$52 was primarily due to having less cash in interest bearing accounts.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Substantial doubt has been expressed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unaudited condensed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March 31, 2025, we had cash and cash equivalents of $3,650 (excluding restricted cash), $7,318 in marketable securities, and total current assets of $14,841. Our total current liabilities balance, which includes accounts payable, deferred revenue, accrued expenses, and operating lease liabilities was $8,860 as of March 31, 2025, and $9,224 as of December 31, 2024. The working capital surplus was $5,981 as of March 31, 2025, compared to a working capital surplus of $6,113 as of December 31,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2025 and beyond. The Company is aggressively pursuing strategic partnerships that the Company expects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will further strengthen the long-term profitability of the business, which puts the Company in a position of strength as the Company raises more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locations and brand, as well as the expansion outside the airports. During the three months ended March 31, 2025, we used net cash of $4,178 to fund our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on Form 10-Q, we do not currently have sufficient available liquidity to fund its operations for at least the next 12 months. These conditions and events raise substantial doubt about our ability to continue as a going concern within one year after the date that these unaudited condensed consolidated financial statements are issued.</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Nasdaq Minimum Bid Price Requirement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Rule. The letter also indicated that we will be provided with a the Compliance Period (until November 10, 2025), in which to regain compliance.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our securities. As of the date of this Quarterly Report on Form 10-Q, we have not regained compliance with the Minimum Bid Price Rule.</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unaudited condensed consolidated financial statements, which have been prepared in accordance with U.S. generally accepted accounting principles, or GAAP. The preparation of our unaudited condensed consolidated financial statements and related disclosures requires us to make estimates, assumptions and judgments that affect the reported amount of assets, liabilities, revenue, costs and expenses and related disclosures. We base our assumptions, estimates and judgments on historical experience, current trends, and other factors that management believes to be relevant at the time our unaudited condensed consolidated financial statements are prepared. Accordingly, we evaluate our estimates and assumptions on an ongoing basis. Our actual results may differ from these estimates under different assumptions and conditions.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the information provided in Item 7, “Management’s Discussion and Analysis of Financial Condition and Results of Operations,” included in our 2024 Annual Report except as covered below:</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Derivative Financial Instruments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measures the fair value of financial assets and liabilities in accordance with GAAP, which defines fair value, establishes a framework for measuring fair value, and requires certain disclosures about fair value measurements. The Company does not use derivative financial instruments to hedge exposures to cash-flow, market or foreign-currency risks. However, the Company has entered into certain financial instruments and contracts, such as debt financing arrangements and the issuance of preferred stock with detachable common stock warrants features that are either i) not afforded equity classification, ii) embody risks not clearly and closely related to host contracts, or iii) may be net-cash settled by the counterparty. These instruments are required to be recognized as derivative liabilities, at fair value.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bifurcated embedded derivative related to the convertible preferred stock was estimated using a Monte Carlo simulation model, which uses as inputs the fair value of the Company’s common stock and estimates for the equity volatility of the Company’s common stock, the time to maturity of the convertible preferred stock, the risk-free interest rate for a period that approximates the time to maturity, dividend rate, a penalty dividend rate, and our probability of default.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 and comprehensive loss. The warrants are classified as liabilities in accordance with ASC 815 as as they do not meet the requirements to be considered indexed to the Company’s own stock. The fair value of the warrant liability was estimated using the Black Scholes Model which uses as inputs the following weighted average assumptions: dividend yield, expected term in years; equity volatility; and risk-free interest rate. (see Note 10).</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Known Trends, Events and Uncertainties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Ongoing conflicts in Russia and Ukraine,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 Additionally, recent changes to U.S. policy implemented by the U.S. Congress, the Trump administration or any new administration have impacted and may in the future impact, among other things, the U.S. and global economy, tariffs, international trade relations, unemployment,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immigration, healthcare, taxation, the U.S. regulatory environment, inflation and other areas. Although we cannot predict the impact, if any, of these changes to our business, they could adversely affect our business.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discussed above and elsewhere in this report, we are not aware of any trends, events or uncertainties that are likely to have a material effect on our financial condition.</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46" w:name="Item3QuantitativeandQualitativeDisclosur"/>
      <w:bookmarkStart w:id="1247" w:name="_d37d4c2e_de65_4800_a4d7_9f9aa35fabdc"/>
      <w:bookmarkEnd w:id="1246"/>
      <w:bookmarkEnd w:id="1247"/>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48" w:name="Item4ControlsandProcedures_603492"/>
      <w:bookmarkStart w:id="1249" w:name="_e50a5304_2ce0_4ae5_8ed4_def07e6d894f"/>
      <w:bookmarkEnd w:id="1248"/>
      <w:bookmarkEnd w:id="1249"/>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we carried out an evaluation, under the supervision and with the participation of our management, including our Chief Executive Officer and Chief Financial Officer, of the effectiveness of the design and operation of our disclosure controls and procedures.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March 31, 2025, due to the following material weaknesses:</w:t>
      </w:r>
    </w:p>
    <w:tbl>
      <w:tblPr>
        <w:tblW w:w="10205" w:type="dxa"/>
        <w:jc w:val="left"/>
        <w:tblInd w:w="0" w:type="dxa"/>
        <w:tblLayout w:type="fixed"/>
        <w:tblCellMar>
          <w:top w:w="0" w:type="dxa"/>
          <w:left w:w="0" w:type="dxa"/>
          <w:bottom w:w="0" w:type="dxa"/>
          <w:right w:w="0"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implement, and consistently operate effective controls over the completeness and accuracy of its accounting for leases under ASC 842. </w:t>
            </w:r>
          </w:p>
        </w:tc>
      </w:tr>
    </w:tbl>
    <w:tbl>
      <w:tblPr>
        <w:tblW w:w="10205" w:type="dxa"/>
        <w:jc w:val="left"/>
        <w:tblInd w:w="0" w:type="dxa"/>
        <w:tblLayout w:type="fixed"/>
        <w:tblCellMar>
          <w:top w:w="0" w:type="dxa"/>
          <w:left w:w="0" w:type="dxa"/>
          <w:bottom w:w="0" w:type="dxa"/>
          <w:right w:w="0"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or maintain effective entity level monitoring controls over the financial close and reporting process. </w:t>
            </w:r>
          </w:p>
        </w:tc>
      </w:tr>
    </w:tbl>
    <w:tbl>
      <w:tblPr>
        <w:tblW w:w="10205" w:type="dxa"/>
        <w:jc w:val="left"/>
        <w:tblInd w:w="0" w:type="dxa"/>
        <w:tblLayout w:type="fixed"/>
        <w:tblCellMar>
          <w:top w:w="0" w:type="dxa"/>
          <w:left w:w="0" w:type="dxa"/>
          <w:bottom w:w="0" w:type="dxa"/>
          <w:right w:w="0"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w:t>
            </w:r>
          </w:p>
        </w:tc>
      </w:tr>
    </w:tbl>
    <w:tbl>
      <w:tblPr>
        <w:tblW w:w="10205" w:type="dxa"/>
        <w:jc w:val="left"/>
        <w:tblInd w:w="0" w:type="dxa"/>
        <w:tblLayout w:type="fixed"/>
        <w:tblCellMar>
          <w:top w:w="0" w:type="dxa"/>
          <w:left w:w="0" w:type="dxa"/>
          <w:bottom w:w="0" w:type="dxa"/>
          <w:right w:w="0"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8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The Company did not design, implement, and consistently operate effective controls over its’ foreign subsidiaries.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26" w:type="dxa"/>
        <w:jc w:val="left"/>
        <w:tblInd w:w="0" w:type="dxa"/>
        <w:tblLayout w:type="fixed"/>
        <w:tblCellMar>
          <w:top w:w="28" w:type="dxa"/>
          <w:left w:w="28" w:type="dxa"/>
          <w:bottom w:w="28" w:type="dxa"/>
          <w:right w:w="28" w:type="dxa"/>
        </w:tblCellMar>
      </w:tblPr>
      <w:tblGrid>
        <w:gridCol w:w="124"/>
        <w:gridCol w:w="271"/>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identified in connection with the evaluation required by Rule 13a-15(d) and 15d-15(d) of the Exchange Act that occurred during the three months ended March 31, 2025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50" w:name="PARTIIOTHERINFORMATION_90261"/>
      <w:bookmarkStart w:id="1251" w:name="_2861f4e4_dccb_49e9_9031_a93a17e4c639"/>
      <w:bookmarkEnd w:id="1250"/>
      <w:bookmarkEnd w:id="125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52" w:name="Item1LegalProceedings_288324"/>
      <w:bookmarkEnd w:id="1252"/>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certain claims and litigation arising out of the ordinary course and conduct of business. Management assesses such claims and, if it considers that it is probable that an asset had been impaired or a liability had been incurred and the amount of loss can be reasonably estimated, provisions for loss are made based on management’s assessment of the most likely outcome.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set forth in Note 11 Commitments and Contingencies of the Notes to unaudited condensed consolidated financial statements of this Quarterly Report on Form 10-Q is incorporated by reference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other material proceedings in which any of our directors, officers, affiliates, any registered or beneficial stockholder of more than 5% of our common stock, or any associate of any of the foregoing is an adverse party or has a material interest adverse to our interest.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253" w:name="Item1ARiskFactors_714642"/>
      <w:bookmarkStart w:id="1254" w:name="_907c1878_8f11_4904_97cc_2d481bf47856"/>
      <w:bookmarkEnd w:id="1253"/>
      <w:bookmarkEnd w:id="1254"/>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The following description of risk factors includes any material changes to risk factors associated with our business, financial condition and results of operations previously disclosed in “Item 1A. Risk Factors” of our Annual Report. Our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discussion of risk factors contains forward-looking statements. These risk factors may be important to understanding other statements in this Quarterly Report on Form 10-Q. The following information should be read in conjunction with the condensed consolidated financial statements and related notes in Part I, Item 1, “Financial Statements” and Part I, Item 2, “Management’s Discussion and Analysis of Financial Condition and Results of Operations” of this Quarterly Report on Form 10-Q.</w:t>
      </w:r>
    </w:p>
    <w:p>
      <w:pPr>
        <w:pStyle w:val="TextBody"/>
        <w:pBdr/>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failure to meet the continued listing requirements of Nasdaq could result in a delisting of our common stock.</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continued listing standards of Nasdaq provide, among other things, that a company may be delisted if the bid price of its stock drops below $1.00 for a period of 30 consecutive business days or if stockholders’ equity is less than $2,500,000.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pursuant to the Minimum Bid Price Rule. The letter also indicated that we will be provided with the Compliance Period (until November 10, 2025), in which to regain compliance pursuant to Nasdaq Listing Rule 5810(c)(3)(A).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notification, we may appeal the Nasdaq staff’s determination to delist our securities. As of the date of this Quarterly Report on Form 10-Q, we have not regained compliance with the Minimum Bid Price Rule.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Although we expect to take actions intended to restore our compliance with the listing requirements, we can provide no assurance that any action taken by us would be successful, that we would successfully maintain compliance with the minimum bid price requirement or any of Nasdaq’s other listing requirements or that any such action would stabilize the market price or improve the liquidity of our common stock. 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1255" w:name="Item_2_Unreg_Sales"/>
      <w:bookmarkStart w:id="1256" w:name="_646af4f7_7083_43e4_b5f2_66a8ca550437"/>
      <w:bookmarkEnd w:id="1255"/>
      <w:bookmarkEnd w:id="125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57" w:name="Item3DefaultsUponSeniorSecurities_163017"/>
      <w:bookmarkStart w:id="1258" w:name="_66c25141_936d_4f0b_9cc5_74bb339bbfc2"/>
      <w:bookmarkEnd w:id="1257"/>
      <w:bookmarkEnd w:id="1258"/>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59" w:name="Item4MineSafetyDisclosures_955432"/>
      <w:bookmarkStart w:id="1260" w:name="_b2c20c31_9662_4847_bc98_f5fcd7d7ec5f"/>
      <w:bookmarkEnd w:id="1259"/>
      <w:bookmarkEnd w:id="1260"/>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1" w:name="Item5OtherInformation_663071"/>
      <w:bookmarkStart w:id="1262" w:name="_ea42153b_d67b_4f13_826d_317085d5aa5a"/>
      <w:bookmarkEnd w:id="1261"/>
      <w:bookmarkEnd w:id="1262"/>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pro forma condensed consolidated financial statements have been prepared in accordance with Article 11 of Regulation S-X and do not include all of the information and note disclosures required by generally accepted accounting principles of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unaudited pro forma condensed consolidated financial information is subject to the assumptions and adjustments described in the accompanying notes. These assumptions and adjustments are based on information presently available. Actual adjustments may differ materially from the information presented. The unaudited pro forma consolidated financial statements are based on the historical financial statements of the Company for each period presented and in the opinion of the Company’s management, all adjustments and disclosures necessary for a fair presentation of the pro forma data have been made. These unaudited pro forma consolidated financial statements are presented for illustrative purposes only and are not necessarily indicative of the results of operations or financial condition that would have been achieved had events reflected been completed as of the dates indicated and may not be useful in predicting the impact of the disposal on the future financial condition and results of operations of the Company due to a variety of factors.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following pro forma financial information gives effect to the Warrant Amendment as if it had occurred on March 31, 2025. See Notes 10 and 17 in the notes to the unaudited condensed consolidated financial statements for further information.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CONDENSED CONSOLIDATED BALANCE SHEET</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262"/>
        <w:gridCol w:w="326"/>
        <w:gridCol w:w="196"/>
        <w:gridCol w:w="771"/>
        <w:gridCol w:w="326"/>
        <w:gridCol w:w="196"/>
        <w:gridCol w:w="1006"/>
        <w:gridCol w:w="109"/>
        <w:gridCol w:w="196"/>
        <w:gridCol w:w="817"/>
      </w:tblGrid>
      <w:tr>
        <w:trPr/>
        <w:tc>
          <w:tcPr>
            <w:tcW w:w="6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976370" cy="175260"/>
                      <wp:effectExtent l="0" t="0" r="0" b="0"/>
                      <wp:wrapNone/>
                      <wp:docPr id="365" name="Frame365"/>
                      <a:graphic xmlns:a="http://schemas.openxmlformats.org/drawingml/2006/main">
                        <a:graphicData uri="http://schemas.microsoft.com/office/word/2010/wordprocessingShape">
                          <wps:wsp>
                            <wps:cNvSpPr txBox="1"/>
                            <wps:spPr>
                              <a:xfrm>
                                <a:off x="0" y="0"/>
                                <a:ext cx="397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4460" cy="175260"/>
                      <wp:effectExtent l="0" t="0" r="0" b="0"/>
                      <wp:wrapNone/>
                      <wp:docPr id="367" name="Frame3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89585" cy="175260"/>
                      <wp:effectExtent l="0" t="0" r="0" b="0"/>
                      <wp:wrapNone/>
                      <wp:docPr id="368" name="Frame368"/>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24460" cy="175260"/>
                      <wp:effectExtent l="0" t="0" r="0" b="0"/>
                      <wp:wrapNone/>
                      <wp:docPr id="370"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38810" cy="175260"/>
                      <wp:effectExtent l="0" t="0" r="0" b="0"/>
                      <wp:wrapNone/>
                      <wp:docPr id="371" name="Frame37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4460" cy="175260"/>
                      <wp:effectExtent l="0" t="0" r="0" b="0"/>
                      <wp:wrapNone/>
                      <wp:docPr id="373"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18795" cy="175260"/>
                      <wp:effectExtent l="0" t="0" r="0" b="0"/>
                      <wp:wrapNone/>
                      <wp:docPr id="374" name="Frame374"/>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6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c>
          <w:tcPr>
            <w:tcW w:w="109" w:type="dxa"/>
            <w:tcBorders/>
            <w:vAlign w:val="center"/>
          </w:tcPr>
          <w:p>
            <w:pPr>
              <w:pStyle w:val="TableContents"/>
              <w:bidi w:val="0"/>
              <w:spacing w:before="0" w:after="0"/>
              <w:ind w:left="0" w:right="0" w:hanging="0"/>
              <w:jc w:val="center"/>
              <w:rPr/>
            </w:pPr>
            <w:r>
              <w:rPr/>
              <w:t>​</w:t>
            </w:r>
          </w:p>
        </w:tc>
        <w:tc>
          <w:tcPr>
            <w:tcW w:w="1013" w:type="dxa"/>
            <w:gridSpan w:val="2"/>
            <w:tcBorders/>
            <w:vAlign w:val="center"/>
          </w:tcPr>
          <w:p>
            <w:pPr>
              <w:pStyle w:val="TableContents"/>
              <w:bidi w:val="0"/>
              <w:spacing w:before="0" w:after="0"/>
              <w:ind w:left="0" w:right="0" w:hanging="0"/>
              <w:jc w:val="center"/>
              <w:rPr/>
            </w:pPr>
            <w:r>
              <w:rPr/>
              <w:t>​</w:t>
            </w:r>
          </w:p>
        </w:tc>
      </w:tr>
      <w:tr>
        <w:trPr/>
        <w:tc>
          <w:tcPr>
            <w:tcW w:w="6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0"/>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  </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3,650</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7,318</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14,841</w:t>
            </w:r>
          </w:p>
        </w:tc>
      </w:tr>
      <w:tr>
        <w:trPr/>
        <w:tc>
          <w:tcPr>
            <w:tcW w:w="6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2,148</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3,163</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24,827</w:t>
            </w:r>
          </w:p>
        </w:tc>
      </w:tr>
      <w:tr>
        <w:trPr/>
        <w:tc>
          <w:tcPr>
            <w:tcW w:w="6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  </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3,342</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8,860</w:t>
            </w:r>
          </w:p>
        </w:tc>
      </w:tr>
      <w:tr>
        <w:trPr/>
        <w:tc>
          <w:tcPr>
            <w:tcW w:w="62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21,401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18,118</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  </w:t>
            </w:r>
          </w:p>
        </w:tc>
      </w:tr>
      <w:tr>
        <w:trPr/>
        <w:tc>
          <w:tcPr>
            <w:tcW w:w="6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Temporary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  </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Convertible Preferred Stock, $0.01 par value per share and $1,000 stated value, 4,000 shares authorized; 4,000 shares issued and outstanding as of March 31, 2025; Liquidation preference of $4,388,444 as of March 31, 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value per share, 150,000,000 shares authorized; 5,261,024 shares issued and outstanding as of March 31, 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476,620</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deficit attributable to XWELL, Inc.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r>
      <w:tr>
        <w:trPr/>
        <w:tc>
          <w:tcPr>
            <w:tcW w:w="6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6,142</w:t>
            </w:r>
          </w:p>
        </w:tc>
      </w:tr>
      <w:tr>
        <w:trPr/>
        <w:tc>
          <w:tcPr>
            <w:tcW w:w="626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temporary equity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24,827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18"/>
        </w:rPr>
      </w:pPr>
      <w:bookmarkStart w:id="1263" w:name="Item6Exhibits_900445"/>
      <w:bookmarkStart w:id="1264" w:name="_3b5fecab_39cf_4efa_969c_4d8af4840e56"/>
      <w:bookmarkEnd w:id="1263"/>
      <w:bookmarkEnd w:id="1264"/>
      <w:r>
        <w:rPr>
          <w:rFonts w:ascii="Times New Roman;Times;serif" w:hAnsi="Times New Roman;Times;serif"/>
          <w:b/>
          <w:sz w:val="18"/>
        </w:rPr>
        <w:t>Item 6.         Exhibits.</w:t>
      </w:r>
    </w:p>
    <w:tbl>
      <w:tblPr>
        <w:tblW w:w="10205" w:type="dxa"/>
        <w:jc w:val="left"/>
        <w:tblInd w:w="0" w:type="dxa"/>
        <w:tblLayout w:type="fixed"/>
        <w:tblCellMar>
          <w:top w:w="0" w:type="dxa"/>
          <w:left w:w="0" w:type="dxa"/>
          <w:bottom w:w="28" w:type="dxa"/>
          <w:right w:w="0" w:type="dxa"/>
        </w:tblCellMar>
      </w:tblPr>
      <w:tblGrid>
        <w:gridCol w:w="794"/>
        <w:gridCol w:w="326"/>
        <w:gridCol w:w="9085"/>
      </w:tblGrid>
      <w:tr>
        <w:trPr/>
        <w:tc>
          <w:tcPr>
            <w:tcW w:w="794"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Exhibit</w:t>
            </w:r>
            <w:r>
              <w:rPr>
                <w:rFonts w:ascii="Times New Roman;Times;serif" w:hAnsi="Times New Roman;Times;serif"/>
                <w:sz w:val="18"/>
              </w:rPr>
              <w:t> </w:t>
              <w:br/>
            </w:r>
            <w:r>
              <w:rPr>
                <w:rFonts w:ascii="Times New Roman;Times;serif" w:hAnsi="Times New Roman;Times;serif"/>
                <w:b/>
                <w:sz w:val="18"/>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Form of Certificate of Designations of Series G filed Preferred Stock (incorporated by reference to Exhibit 3.1 to the Company’s Current Report on Form 8-K filed with the SEC on January 15, 2025).</w:t>
              </w:r>
            </w:hyperlink>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Form of Series A Warrant issued on January 14, 2025 (incorporated by reference to Exhibit 4.1 to the Company’s Current Report on Form 8-K filed with the SEC on January 15, 2025).</w:t>
              </w:r>
            </w:hyperlink>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w:t>
            </w:r>
            <w:r>
              <w:rPr>
                <w:rFonts w:ascii="Times New Roman;Times;serif" w:hAnsi="Times New Roman;Times;serif"/>
                <w:sz w:val="20"/>
              </w:rPr>
              <w:t>.2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Series B Warrant (incorporated by reference to Exhibit 4.2 to the Company’s Current Report on Form 8 - K filed with the SEC on January 15, 2025).</w:t>
              </w:r>
            </w:hyperlink>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Form of Purchase Agreement, dated as of January 14, 2025, by and among the Company and the purchasers signatory thereto (incorporated by reference to Exhibit 10.1 to the Company’s Current Report on Form 8-K filed with the SEC on January 15, 2025).</w:t>
              </w:r>
            </w:hyperlink>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Registration Rights Agreement, dated as of January 14, 2025, by and among the Company and the signatories thereto (incorporated by reference to Exhibit 10.2 to the Company’s Current Report on Form 8-K filed with the SEC on January 15, 2025).</w:t>
              </w:r>
            </w:hyperlink>
          </w:p>
        </w:tc>
      </w:tr>
      <w:tr>
        <w:trPr/>
        <w:tc>
          <w:tcPr>
            <w:tcW w:w="794"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Amendment to the XWELL, Inc. 2020 Equity Incentive Plan, effective as of February 13, 2025 (incorporated by reference to Exhibit 10.1 to the Company’s Current Report on Form 8-K filed with the SEC on April 11, 2025).</w:t>
              </w:r>
            </w:hyperlink>
          </w:p>
        </w:tc>
      </w:tr>
      <w:tr>
        <w:trPr/>
        <w:tc>
          <w:tcPr>
            <w:tcW w:w="794"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w:anchor="xwel-20250331xex10d4.htm">
              <w:r>
                <w:rPr>
                  <w:rStyle w:val="InternetLink"/>
                  <w:rFonts w:ascii="Times New Roman;Times;serif" w:hAnsi="Times New Roman;Times;serif"/>
                  <w:b w:val="false"/>
                  <w:i w:val="false"/>
                  <w:caps w:val="false"/>
                  <w:smallCaps w:val="false"/>
                  <w:sz w:val="20"/>
                </w:rPr>
                <w:t>Form of Omnibus Amendment, by and among XWELL, Inc. and the investor listed on the signature page thereto</w:t>
              </w:r>
            </w:hyperlink>
          </w:p>
        </w:tc>
      </w:tr>
      <w:tr>
        <w:trPr/>
        <w:tc>
          <w:tcPr>
            <w:tcW w:w="79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pPr>
            <w:r>
              <w:rPr/>
              <w:t>​</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both"/>
              <w:rPr/>
            </w:pPr>
            <w:hyperlink w:anchor="xwel-202503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94"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8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both"/>
              <w:rPr/>
            </w:pPr>
            <w:hyperlink w:anchor="xwel-202503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both"/>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both"/>
              <w:rPr/>
            </w:pPr>
            <w:hyperlink w:anchor="xwel-20250331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both"/>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794"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pPr>
            <w:r>
              <w:rPr/>
              <w:t> </w:t>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794"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8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9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bl>
    <w:tbl>
      <w:tblPr>
        <w:tblW w:w="4806" w:type="dxa"/>
        <w:jc w:val="left"/>
        <w:tblInd w:w="0" w:type="dxa"/>
        <w:tblLayout w:type="fixed"/>
        <w:tblCellMar>
          <w:top w:w="0" w:type="dxa"/>
          <w:left w:w="0" w:type="dxa"/>
          <w:bottom w:w="0" w:type="dxa"/>
          <w:right w:w="0" w:type="dxa"/>
        </w:tblCellMar>
      </w:tblPr>
      <w:tblGrid>
        <w:gridCol w:w="301"/>
        <w:gridCol w:w="109"/>
        <w:gridCol w:w="4396"/>
      </w:tblGrid>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Filed herewith.</w:t>
            </w:r>
          </w:p>
        </w:tc>
      </w:tr>
      <w:tr>
        <w:trPr/>
        <w:tc>
          <w:tcPr>
            <w:tcW w:w="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Furnished herein.</w:t>
            </w:r>
          </w:p>
        </w:tc>
      </w:tr>
      <w:tr>
        <w:trPr/>
        <w:tc>
          <w:tcPr>
            <w:tcW w:w="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65" w:name="_27becadf_8aff_44d2_a230_01de9eb8630e"/>
      <w:bookmarkEnd w:id="126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65" w:type="dxa"/>
        <w:jc w:val="left"/>
        <w:tblInd w:w="0" w:type="dxa"/>
        <w:tblLayout w:type="fixed"/>
        <w:tblCellMar>
          <w:top w:w="0" w:type="dxa"/>
          <w:left w:w="0" w:type="dxa"/>
          <w:bottom w:w="0" w:type="dxa"/>
          <w:right w:w="0" w:type="dxa"/>
        </w:tblCellMar>
      </w:tblPr>
      <w:tblGrid>
        <w:gridCol w:w="556"/>
        <w:gridCol w:w="1246"/>
        <w:gridCol w:w="32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 2025</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right"/>
        <w:rPr>
          <w:rFonts w:ascii="Times New Roman;Times;serif" w:hAnsi="Times New Roman;Times;serif"/>
          <w:b/>
          <w:sz w:val="20"/>
        </w:rPr>
      </w:pPr>
      <w:bookmarkStart w:id="1266" w:name="xwel-20250331xex10d4.htm"/>
      <w:bookmarkStart w:id="1267" w:name="ksxwel20250331xex10d4"/>
      <w:bookmarkEnd w:id="1266"/>
      <w:bookmarkEnd w:id="1267"/>
      <w:r>
        <w:rPr>
          <w:rFonts w:ascii="Times New Roman;Times;serif" w:hAnsi="Times New Roman;Times;serif"/>
          <w:b/>
          <w:sz w:val="20"/>
        </w:rPr>
        <w:t>Exhibit 10.4</w:t>
      </w:r>
      <w:r>
        <w:br w:type="page"/>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Form of OMNIBUS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Omnibus Amendment (this “</w:t>
      </w:r>
      <w:r>
        <w:rPr>
          <w:rFonts w:ascii="Times New Roman;Times;serif" w:hAnsi="Times New Roman;Times;serif"/>
          <w:sz w:val="20"/>
          <w:u w:val="single"/>
        </w:rPr>
        <w:t>Amendment</w:t>
      </w:r>
      <w:r>
        <w:rPr>
          <w:rFonts w:ascii="Times New Roman;Times;serif" w:hAnsi="Times New Roman;Times;serif"/>
          <w:sz w:val="20"/>
        </w:rPr>
        <w:t>”), dated as of May 20, 2025, is by and among XWELL, Inc., a Delaware corporation (the “</w:t>
      </w:r>
      <w:r>
        <w:rPr>
          <w:rFonts w:ascii="Times New Roman;Times;serif" w:hAnsi="Times New Roman;Times;serif"/>
          <w:sz w:val="20"/>
          <w:u w:val="single"/>
        </w:rPr>
        <w:t>Company</w:t>
      </w:r>
      <w:r>
        <w:rPr>
          <w:rFonts w:ascii="Times New Roman;Times;serif" w:hAnsi="Times New Roman;Times;serif"/>
          <w:sz w:val="20"/>
        </w:rPr>
        <w:t>”), and the investor listed on the signature page attached hereto (the “</w:t>
      </w:r>
      <w:r>
        <w:rPr>
          <w:rFonts w:ascii="Times New Roman;Times;serif" w:hAnsi="Times New Roman;Times;serif"/>
          <w:sz w:val="20"/>
          <w:u w:val="single"/>
        </w:rPr>
        <w:t>Investor</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WITNESSETH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Whereas</w:t>
      </w:r>
      <w:r>
        <w:rPr>
          <w:rFonts w:ascii="Times New Roman;Times;serif" w:hAnsi="Times New Roman;Times;serif"/>
          <w:sz w:val="20"/>
        </w:rPr>
        <w:t>, the Company and the Investor are party to that certain Securities Purchase Agreement, dated as of January 14, 2025 (the “</w:t>
      </w:r>
      <w:r>
        <w:rPr>
          <w:rFonts w:ascii="Times New Roman;Times;serif" w:hAnsi="Times New Roman;Times;serif"/>
          <w:sz w:val="20"/>
          <w:u w:val="single"/>
        </w:rPr>
        <w:t>Purchase Agreement</w:t>
      </w:r>
      <w:r>
        <w:rPr>
          <w:rFonts w:ascii="Times New Roman;Times;serif" w:hAnsi="Times New Roman;Times;serif"/>
          <w:sz w:val="20"/>
        </w:rPr>
        <w:t>”), pursuant to which the Company issued to the Investor shares of the Company’s Series G Convertible Preferred Stock, par value $0.01 per share, a Series A warrant to purchase shares of the Company’s common stock, par value $0.01 per share (“</w:t>
      </w:r>
      <w:r>
        <w:rPr>
          <w:rFonts w:ascii="Times New Roman;Times;serif" w:hAnsi="Times New Roman;Times;serif"/>
          <w:sz w:val="20"/>
          <w:u w:val="single"/>
        </w:rPr>
        <w:t>Common Stock</w:t>
      </w:r>
      <w:r>
        <w:rPr>
          <w:rFonts w:ascii="Times New Roman;Times;serif" w:hAnsi="Times New Roman;Times;serif"/>
          <w:sz w:val="20"/>
        </w:rPr>
        <w:t>”), which expires five years from the date of issuance (the “</w:t>
      </w:r>
      <w:r>
        <w:rPr>
          <w:rFonts w:ascii="Times New Roman;Times;serif" w:hAnsi="Times New Roman;Times;serif"/>
          <w:sz w:val="20"/>
          <w:u w:val="single"/>
        </w:rPr>
        <w:t>Series A Warrant</w:t>
      </w:r>
      <w:r>
        <w:rPr>
          <w:rFonts w:ascii="Times New Roman;Times;serif" w:hAnsi="Times New Roman;Times;serif"/>
          <w:sz w:val="20"/>
        </w:rPr>
        <w:t>”), and a Series B warrant to purchase shares of the Company’s Common Stock, which expires five years from the date of issuance (the “</w:t>
      </w:r>
      <w:r>
        <w:rPr>
          <w:rFonts w:ascii="Times New Roman;Times;serif" w:hAnsi="Times New Roman;Times;serif"/>
          <w:sz w:val="20"/>
          <w:u w:val="single"/>
        </w:rPr>
        <w:t>Series B Warrant</w:t>
      </w:r>
      <w:r>
        <w:rPr>
          <w:rFonts w:ascii="Times New Roman;Times;serif" w:hAnsi="Times New Roman;Times;serif"/>
          <w:sz w:val="20"/>
        </w:rPr>
        <w:t>” and, together with the Series A Warrant, the “</w:t>
      </w:r>
      <w:r>
        <w:rPr>
          <w:rFonts w:ascii="Times New Roman;Times;serif" w:hAnsi="Times New Roman;Times;serif"/>
          <w:sz w:val="20"/>
          <w:u w:val="single"/>
        </w:rPr>
        <w:t>Warrants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WHEREAS</w:t>
      </w:r>
      <w:r>
        <w:rPr>
          <w:rFonts w:ascii="Times New Roman;Times;serif" w:hAnsi="Times New Roman;Times;serif"/>
          <w:sz w:val="20"/>
        </w:rPr>
        <w:t>, pursuant to Section 11 of the Series A Warrant and Section 11 of the Series B Warrant, the terms of the Warrants may be amended only if the Company has obtained the written consent of such warrant holder;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Whereas</w:t>
      </w:r>
      <w:r>
        <w:rPr>
          <w:rFonts w:ascii="Times New Roman;Times;serif" w:hAnsi="Times New Roman;Times;serif"/>
          <w:sz w:val="20"/>
        </w:rPr>
        <w:t>, the Investor and the Company desire to amend certain provisions of the Warrants as set forth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Now, therefore</w:t>
      </w:r>
      <w:r>
        <w:rPr>
          <w:rFonts w:ascii="Times New Roman;Times;serif" w:hAnsi="Times New Roman;Times;serif"/>
          <w:sz w:val="20"/>
        </w:rPr>
        <w:t>, in consideration of the premises and mutual covenants and obligations hereinafter set forth, the parties hereto, intending legally to be bound, hereby agree as follows:</w:t>
      </w:r>
    </w:p>
    <w:tbl>
      <w:tblPr>
        <w:tblW w:w="1248" w:type="dxa"/>
        <w:jc w:val="left"/>
        <w:tblInd w:w="0" w:type="dxa"/>
        <w:tblLayout w:type="fixed"/>
        <w:tblCellMar>
          <w:top w:w="0" w:type="dxa"/>
          <w:left w:w="0" w:type="dxa"/>
          <w:bottom w:w="0" w:type="dxa"/>
          <w:right w:w="0" w:type="dxa"/>
        </w:tblCellMar>
      </w:tblPr>
      <w:tblGrid>
        <w:gridCol w:w="23"/>
        <w:gridCol w:w="170"/>
        <w:gridCol w:w="1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Amendment</w:t>
            </w:r>
            <w:r>
              <w:rPr>
                <w:rFonts w:ascii="Times New Roman;Times;serif" w:hAnsi="Times New Roman;Times;serif"/>
                <w:sz w:val="20"/>
              </w:rPr>
              <w:t>.</w:t>
            </w:r>
          </w:p>
        </w:tc>
      </w:tr>
    </w:tbl>
    <w:tbl>
      <w:tblPr>
        <w:tblW w:w="9198" w:type="dxa"/>
        <w:jc w:val="left"/>
        <w:tblInd w:w="0" w:type="dxa"/>
        <w:tblLayout w:type="fixed"/>
        <w:tblCellMar>
          <w:top w:w="0" w:type="dxa"/>
          <w:left w:w="0" w:type="dxa"/>
          <w:bottom w:w="0" w:type="dxa"/>
          <w:right w:w="0" w:type="dxa"/>
        </w:tblCellMar>
      </w:tblPr>
      <w:tblGrid>
        <w:gridCol w:w="23"/>
        <w:gridCol w:w="200"/>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8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4(c) of the Series A Warrant is hereby amended and restated in its entirety as follows (</w:t>
            </w:r>
            <w:r>
              <w:rPr>
                <w:rFonts w:ascii="Times New Roman;Times;serif" w:hAnsi="Times New Roman;Times;serif"/>
                <w:sz w:val="20"/>
                <w:u w:val="single"/>
              </w:rPr>
              <w:t>emphasis added</w:t>
            </w:r>
            <w:r>
              <w:rPr>
                <w:rFonts w:ascii="Times New Roman;Times;serif" w:hAnsi="Times New Roman;Times;serif"/>
                <w:sz w:val="20"/>
              </w:rPr>
              <w:t>):</w:t>
            </w:r>
          </w:p>
        </w:tc>
      </w:tr>
    </w:tbl>
    <w:p>
      <w:pPr>
        <w:pStyle w:val="TextBody"/>
        <w:bidi w:val="0"/>
        <w:spacing w:before="0" w:after="240"/>
        <w:ind w:left="189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Black Scholes Value</w:t>
      </w:r>
      <w:r>
        <w:rPr>
          <w:rFonts w:ascii="Times New Roman;Times;serif" w:hAnsi="Times New Roman;Times;serif"/>
          <w:sz w:val="20"/>
        </w:rPr>
        <w:t xml:space="preserve">.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w:t>
      </w:r>
      <w:r>
        <w:rPr>
          <w:rFonts w:ascii="Times New Roman;Times;serif" w:hAnsi="Times New Roman;Times;serif"/>
          <w:sz w:val="20"/>
          <w:u w:val="single"/>
        </w:rPr>
        <w:t>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890" w:right="0" w:hanging="0"/>
        <w:jc w:val="both"/>
        <w:rPr>
          <w:rFonts w:ascii="Times New Roman;Times;serif" w:hAnsi="Times New Roman;Times;serif"/>
          <w:sz w:val="20"/>
        </w:rPr>
      </w:pPr>
      <w:r>
        <w:rPr>
          <w:rFonts w:ascii="Times New Roman;Times;serif" w:hAnsi="Times New Roman;Times;serif"/>
          <w:sz w:val="20"/>
          <w:u w:val="single"/>
        </w:rPr>
        <w:t>may be the Company following such Fundamental Transaction) in such Fundamental Transaction</w:t>
      </w:r>
      <w:r>
        <w:rPr>
          <w:rFonts w:ascii="Times New Roman;Times;serif" w:hAnsi="Times New Roman;Times;serif"/>
          <w:sz w:val="20"/>
        </w:rPr>
        <w:t>.</w:t>
      </w:r>
    </w:p>
    <w:tbl>
      <w:tblPr>
        <w:tblW w:w="9378" w:type="dxa"/>
        <w:jc w:val="left"/>
        <w:tblInd w:w="0" w:type="dxa"/>
        <w:tblLayout w:type="fixed"/>
        <w:tblCellMar>
          <w:top w:w="0" w:type="dxa"/>
          <w:left w:w="0" w:type="dxa"/>
          <w:bottom w:w="0" w:type="dxa"/>
          <w:right w:w="0" w:type="dxa"/>
        </w:tblCellMar>
      </w:tblPr>
      <w:tblGrid>
        <w:gridCol w:w="23"/>
        <w:gridCol w:w="26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0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19(h) of the Series A Warrant is hereby amended and restated in its entirety as follows (emphasis added):</w:t>
            </w:r>
          </w:p>
        </w:tc>
      </w:tr>
    </w:tbl>
    <w:p>
      <w:pPr>
        <w:pStyle w:val="TextBody"/>
        <w:bidi w:val="0"/>
        <w:spacing w:before="0" w:after="240"/>
        <w:ind w:left="1980" w:right="0" w:hanging="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b/>
          <w:sz w:val="20"/>
        </w:rPr>
        <w:t>Black Scholes Value</w:t>
      </w:r>
      <w:r>
        <w:rPr>
          <w:rFonts w:ascii="Times New Roman;Times;serif" w:hAnsi="Times New Roman;Times;serif"/>
          <w:sz w:val="20"/>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tbl>
      <w:tblPr>
        <w:tblW w:w="9393" w:type="dxa"/>
        <w:jc w:val="left"/>
        <w:tblInd w:w="0" w:type="dxa"/>
        <w:tblLayout w:type="fixed"/>
        <w:tblCellMar>
          <w:top w:w="0" w:type="dxa"/>
          <w:left w:w="0" w:type="dxa"/>
          <w:bottom w:w="0" w:type="dxa"/>
          <w:right w:w="0" w:type="dxa"/>
        </w:tblCellMar>
      </w:tblPr>
      <w:tblGrid>
        <w:gridCol w:w="23"/>
        <w:gridCol w:w="320"/>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19(r) of the Series A Warrant is hereby amended and restated in its entirety as follows (emphasis added):</w:t>
            </w:r>
          </w:p>
        </w:tc>
      </w:tr>
    </w:tbl>
    <w:p>
      <w:pPr>
        <w:pStyle w:val="TextBody"/>
        <w:bidi w:val="0"/>
        <w:spacing w:before="0" w:after="240"/>
        <w:ind w:left="1485" w:right="0" w:hanging="0"/>
        <w:jc w:val="both"/>
        <w:rPr>
          <w:rFonts w:ascii="Times New Roman;Times;serif" w:hAnsi="Times New Roman;Times;serif"/>
          <w:sz w:val="20"/>
        </w:rPr>
      </w:pPr>
      <w:r>
        <w:rPr>
          <w:rFonts w:ascii="Times New Roman;Times;serif" w:hAnsi="Times New Roman;Times;serif"/>
          <w:sz w:val="20"/>
        </w:rPr>
        <w:t>(r) “</w:t>
      </w:r>
      <w:r>
        <w:rPr>
          <w:rFonts w:ascii="Times New Roman;Times;serif" w:hAnsi="Times New Roman;Times;serif"/>
          <w:b/>
          <w:sz w:val="20"/>
        </w:rPr>
        <w:t>Fundamental Transaction</w:t>
      </w:r>
      <w:r>
        <w:rPr>
          <w:rFonts w:ascii="Times New Roman;Times;serif" w:hAnsi="Times New Roman;Times;serif"/>
          <w:sz w:val="20"/>
        </w:rPr>
        <w:t xml:space="preserve">”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w:t>
      </w:r>
      <w:r>
        <w:rPr>
          <w:rFonts w:ascii="Times New Roman;Times;serif" w:hAnsi="Times New Roman;Times;serif"/>
          <w:sz w:val="20"/>
          <w:u w:val="single"/>
        </w:rPr>
        <w:t>voting stock</w:t>
      </w:r>
      <w:r>
        <w:rPr>
          <w:rFonts w:ascii="Times New Roman;Times;serif" w:hAnsi="Times New Roman;Times;serif"/>
          <w:sz w:val="20"/>
        </w:rPr>
        <w:t xml:space="preserve"> be subject to or party to one or more Subject Entities making, a purchase, tender or exchange offer that is accepted by the holders of at least either (x) </w:t>
      </w:r>
      <w:r>
        <w:rPr>
          <w:rFonts w:ascii="Times New Roman;Times;serif" w:hAnsi="Times New Roman;Times;serif"/>
          <w:sz w:val="20"/>
          <w:u w:val="single"/>
        </w:rPr>
        <w:t>more than</w:t>
      </w:r>
      <w:r>
        <w:rPr>
          <w:rFonts w:ascii="Times New Roman;Times;serif" w:hAnsi="Times New Roman;Times;serif"/>
          <w:sz w:val="20"/>
        </w:rPr>
        <w:t xml:space="preserve"> 50% of the outstanding</w:t>
      </w:r>
      <w:r>
        <w:rPr>
          <w:rFonts w:ascii="Times New Roman;Times;serif" w:hAnsi="Times New Roman;Times;serif"/>
          <w:sz w:val="20"/>
          <w:u w:val="single"/>
        </w:rPr>
        <w:t xml:space="preserve"> voting power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calculated as if any shares of </w:t>
      </w:r>
      <w:r>
        <w:rPr>
          <w:rFonts w:ascii="Times New Roman;Times;serif" w:hAnsi="Times New Roman;Times;serif"/>
          <w:sz w:val="20"/>
          <w:u w:val="single"/>
        </w:rPr>
        <w:t>voting stock</w:t>
      </w:r>
      <w:r>
        <w:rPr>
          <w:rFonts w:ascii="Times New Roman;Times;serif" w:hAnsi="Times New Roman;Times;serif"/>
          <w:sz w:val="20"/>
        </w:rPr>
        <w:t xml:space="preserve"> held by all Subject Entities making or party to, or Affiliated with any Subject Entities making or party to, such purchase, tender or exchange offer were not outstanding; or (z) such number of shares of </w:t>
      </w:r>
      <w:r>
        <w:rPr>
          <w:rFonts w:ascii="Times New Roman;Times;serif" w:hAnsi="Times New Roman;Times;serif"/>
          <w:sz w:val="20"/>
          <w:u w:val="single"/>
        </w:rPr>
        <w:t>voting stock</w:t>
      </w:r>
      <w:r>
        <w:rPr>
          <w:rFonts w:ascii="Times New Roman;Times;serif" w:hAnsi="Times New Roman;Times;serif"/>
          <w:sz w:val="20"/>
        </w:rPr>
        <w:t xml:space="preserve"> such that all Subject Entities making or party to, or Affiliated with any Subject Entity making or party to, such purchase, tender or exchange offer, become collectively the beneficial owners (as defined in Rule 13d-3 under the 1934 Act) of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calculated as if any shares of </w:t>
      </w:r>
      <w:r>
        <w:rPr>
          <w:rFonts w:ascii="Times New Roman;Times;serif" w:hAnsi="Times New Roman;Times;serif"/>
          <w:sz w:val="20"/>
          <w:u w:val="single"/>
        </w:rPr>
        <w:t>voting stock</w:t>
      </w:r>
      <w:r>
        <w:rPr>
          <w:rFonts w:ascii="Times New Roman;Times;serif" w:hAnsi="Times New Roman;Times;serif"/>
          <w:sz w:val="20"/>
        </w:rPr>
        <w:t xml:space="preserve"> held by all the Subject Entities making or party to, or Affiliated with any Subject Entity making or party to, such stock purchase agreement or other business combination were not outstanding; or (z) such number of shares of </w:t>
      </w:r>
      <w:r>
        <w:rPr>
          <w:rFonts w:ascii="Times New Roman;Times;serif" w:hAnsi="Times New Roman;Times;serif"/>
          <w:sz w:val="20"/>
          <w:u w:val="single"/>
        </w:rPr>
        <w:t>voting stock of the Company</w:t>
      </w:r>
      <w:r>
        <w:rPr>
          <w:rFonts w:ascii="Times New Roman;Times;serif" w:hAnsi="Times New Roman;Times;serif"/>
          <w:sz w:val="20"/>
        </w:rPr>
        <w:t xml:space="preserve"> such that the Subject Entities become collectively the beneficial owners (as defined in Rule 13d-3 under the 1934 Act) of </w:t>
      </w:r>
      <w:r>
        <w:rPr>
          <w:rFonts w:ascii="Times New Roman;Times;serif" w:hAnsi="Times New Roman;Times;serif"/>
          <w:sz w:val="20"/>
          <w:u w:val="single"/>
        </w:rPr>
        <w:t>more than</w:t>
      </w:r>
      <w:r>
        <w:rPr>
          <w:rFonts w:ascii="Times New Roman;Times;serif" w:hAnsi="Times New Roman;Times;serif"/>
          <w:sz w:val="20"/>
        </w:rPr>
        <w:t xml:space="preserve"> 50% of the </w:t>
      </w:r>
      <w:r>
        <w:rPr>
          <w:rFonts w:ascii="Times New Roman;Times;serif" w:hAnsi="Times New Roman;Times;serif"/>
          <w:sz w:val="20"/>
          <w:u w:val="single"/>
        </w:rPr>
        <w:t>outstanding voting power of the Company</w:t>
      </w:r>
      <w:r>
        <w:rPr>
          <w:rFonts w:ascii="Times New Roman;Times;serif" w:hAnsi="Times New Roman;Times;serif"/>
          <w:sz w:val="20"/>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85" w:right="0" w:hanging="0"/>
        <w:jc w:val="both"/>
        <w:rPr>
          <w:rFonts w:ascii="Times New Roman;Times;serif" w:hAnsi="Times New Roman;Times;serif"/>
          <w:sz w:val="20"/>
        </w:rPr>
      </w:pPr>
      <w:r>
        <w:rPr>
          <w:rFonts w:ascii="Times New Roman;Times;serif" w:hAnsi="Times New Roman;Times;serif"/>
          <w:sz w:val="20"/>
        </w:rPr>
        <w:t xml:space="preserve">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w:t>
      </w:r>
      <w:r>
        <w:rPr>
          <w:rFonts w:ascii="Times New Roman;Times;serif" w:hAnsi="Times New Roman;Times;serif"/>
          <w:sz w:val="20"/>
          <w:u w:val="single"/>
        </w:rPr>
        <w:t>voting stock</w:t>
      </w:r>
      <w:r>
        <w:rPr>
          <w:rFonts w:ascii="Times New Roman;Times;serif" w:hAnsi="Times New Roman;Times;serif"/>
          <w:sz w:val="20"/>
        </w:rPr>
        <w:t xml:space="preserve">, merger, consolidation, business combination, reorganization, recapitalization, spin-off, scheme of arrangement, reorganization, recapitalization or reclassification or otherwise in any manner whatsoever, of either (x) </w:t>
      </w:r>
      <w:r>
        <w:rPr>
          <w:rFonts w:ascii="Times New Roman;Times;serif" w:hAnsi="Times New Roman;Times;serif"/>
          <w:sz w:val="20"/>
          <w:u w:val="single"/>
        </w:rPr>
        <w:t>more than</w:t>
      </w:r>
      <w:r>
        <w:rPr>
          <w:rFonts w:ascii="Times New Roman;Times;serif" w:hAnsi="Times New Roman;Times;serif"/>
          <w:sz w:val="20"/>
        </w:rPr>
        <w:t xml:space="preserve"> 50%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not held by all such Subject Entities as of the date of this Warrant calculated as if any shares of </w:t>
      </w:r>
      <w:r>
        <w:rPr>
          <w:rFonts w:ascii="Times New Roman;Times;serif" w:hAnsi="Times New Roman;Times;serif"/>
          <w:sz w:val="20"/>
          <w:u w:val="single"/>
        </w:rPr>
        <w:t>voting stock of the Company</w:t>
      </w:r>
      <w:r>
        <w:rPr>
          <w:rFonts w:ascii="Times New Roman;Times;serif" w:hAnsi="Times New Roman;Times;serif"/>
          <w:sz w:val="20"/>
        </w:rPr>
        <w:t xml:space="preserve"> held by all such Subject Entities were not outstanding, or (z) a percentage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or other equity securities of the Company sufficient to allow such Subject Entities to effect a statutory short form merger or other transaction requiring other stockholders of the Company to surrender their shares of </w:t>
      </w:r>
      <w:r>
        <w:rPr>
          <w:rFonts w:ascii="Times New Roman;Times;serif" w:hAnsi="Times New Roman;Times;serif"/>
          <w:sz w:val="20"/>
          <w:u w:val="single"/>
        </w:rPr>
        <w:t>voting stock of the Company</w:t>
      </w:r>
      <w:r>
        <w:rPr>
          <w:rFonts w:ascii="Times New Roman;Times;serif" w:hAnsi="Times New Roman;Times;serif"/>
          <w:sz w:val="20"/>
        </w:rPr>
        <w:t xml:space="preserve">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tbl>
      <w:tblPr>
        <w:tblW w:w="9303" w:type="dxa"/>
        <w:jc w:val="left"/>
        <w:tblInd w:w="0" w:type="dxa"/>
        <w:tblLayout w:type="fixed"/>
        <w:tblCellMar>
          <w:top w:w="0" w:type="dxa"/>
          <w:left w:w="0" w:type="dxa"/>
          <w:bottom w:w="0" w:type="dxa"/>
          <w:right w:w="0" w:type="dxa"/>
        </w:tblCellMar>
      </w:tblPr>
      <w:tblGrid>
        <w:gridCol w:w="23"/>
        <w:gridCol w:w="30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8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4(c) of the Series B Warrant is hereby amended and restated in its entirety as follows (</w:t>
            </w:r>
            <w:r>
              <w:rPr>
                <w:rFonts w:ascii="Times New Roman;Times;serif" w:hAnsi="Times New Roman;Times;serif"/>
                <w:sz w:val="20"/>
                <w:u w:val="single"/>
              </w:rPr>
              <w:t>emphasis added</w:t>
            </w:r>
            <w:r>
              <w:rPr>
                <w:rFonts w:ascii="Times New Roman;Times;serif" w:hAnsi="Times New Roman;Times;serif"/>
                <w:sz w:val="20"/>
              </w:rPr>
              <w:t>):</w:t>
            </w:r>
          </w:p>
        </w:tc>
      </w:tr>
    </w:tbl>
    <w:p>
      <w:pPr>
        <w:pStyle w:val="TextBody"/>
        <w:bidi w:val="0"/>
        <w:spacing w:before="0" w:after="240"/>
        <w:ind w:left="1980" w:right="0" w:hanging="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Black Scholes Value</w:t>
      </w:r>
      <w:r>
        <w:rPr>
          <w:rFonts w:ascii="Times New Roman;Times;serif" w:hAnsi="Times New Roman;Times;serif"/>
          <w:sz w:val="20"/>
        </w:rPr>
        <w:t xml:space="preserve">.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w:t>
      </w:r>
      <w:r>
        <w:rPr>
          <w:rFonts w:ascii="Times New Roman;Times;serif" w:hAnsi="Times New Roman;Times;serif"/>
          <w:sz w:val="20"/>
          <w:u w:val="single"/>
        </w:rPr>
        <w:t>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 may be the Company following such Fundamental Transaction) in such Fundamental Transaction</w:t>
      </w:r>
      <w:r>
        <w:rPr>
          <w:rFonts w:ascii="Times New Roman;Times;serif" w:hAnsi="Times New Roman;Times;serif"/>
          <w:sz w:val="20"/>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tbl>
      <w:tblPr>
        <w:tblW w:w="9363" w:type="dxa"/>
        <w:jc w:val="left"/>
        <w:tblInd w:w="0" w:type="dxa"/>
        <w:tblLayout w:type="fixed"/>
        <w:tblCellMar>
          <w:top w:w="0" w:type="dxa"/>
          <w:left w:w="0" w:type="dxa"/>
          <w:bottom w:w="0" w:type="dxa"/>
          <w:right w:w="0" w:type="dxa"/>
        </w:tblCellMar>
      </w:tblPr>
      <w:tblGrid>
        <w:gridCol w:w="23"/>
        <w:gridCol w:w="245"/>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90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19(h) of the Series B Warrant is hereby amended and restated in its entirety as follows (emphasis added):</w:t>
            </w:r>
          </w:p>
        </w:tc>
      </w:tr>
    </w:tbl>
    <w:p>
      <w:pPr>
        <w:pStyle w:val="TextBody"/>
        <w:bidi w:val="0"/>
        <w:spacing w:before="0" w:after="240"/>
        <w:ind w:left="1980" w:right="0" w:hanging="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b/>
          <w:sz w:val="20"/>
        </w:rPr>
        <w:t>Black Scholes Value</w:t>
      </w:r>
      <w:r>
        <w:rPr>
          <w:rFonts w:ascii="Times New Roman;Times;serif" w:hAnsi="Times New Roman;Times;serif"/>
          <w:sz w:val="20"/>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tbl>
      <w:tblPr>
        <w:tblW w:w="9378" w:type="dxa"/>
        <w:jc w:val="left"/>
        <w:tblInd w:w="0" w:type="dxa"/>
        <w:tblLayout w:type="fixed"/>
        <w:tblCellMar>
          <w:top w:w="0" w:type="dxa"/>
          <w:left w:w="0" w:type="dxa"/>
          <w:bottom w:w="0" w:type="dxa"/>
          <w:right w:w="0" w:type="dxa"/>
        </w:tblCellMar>
      </w:tblPr>
      <w:tblGrid>
        <w:gridCol w:w="23"/>
        <w:gridCol w:w="305"/>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(vi)</w:t>
            </w:r>
          </w:p>
        </w:tc>
        <w:tc>
          <w:tcPr>
            <w:tcW w:w="9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19(r) of the Series B Warrant is hereby amended and restated in its entirety as follows (emphasis added):</w:t>
            </w:r>
          </w:p>
        </w:tc>
      </w:tr>
    </w:tbl>
    <w:p>
      <w:pPr>
        <w:pStyle w:val="TextBody"/>
        <w:bidi w:val="0"/>
        <w:spacing w:before="0" w:after="240"/>
        <w:ind w:left="1485" w:right="0" w:hanging="0"/>
        <w:jc w:val="both"/>
        <w:rPr>
          <w:rFonts w:ascii="Times New Roman;Times;serif" w:hAnsi="Times New Roman;Times;serif"/>
          <w:sz w:val="20"/>
        </w:rPr>
      </w:pPr>
      <w:r>
        <w:rPr>
          <w:rFonts w:ascii="Times New Roman;Times;serif" w:hAnsi="Times New Roman;Times;serif"/>
          <w:sz w:val="20"/>
        </w:rPr>
        <w:t>(r) “</w:t>
      </w:r>
      <w:r>
        <w:rPr>
          <w:rFonts w:ascii="Times New Roman;Times;serif" w:hAnsi="Times New Roman;Times;serif"/>
          <w:b/>
          <w:sz w:val="20"/>
        </w:rPr>
        <w:t>Fundamental Transaction</w:t>
      </w:r>
      <w:r>
        <w:rPr>
          <w:rFonts w:ascii="Times New Roman;Times;serif" w:hAnsi="Times New Roman;Times;serif"/>
          <w:sz w:val="20"/>
        </w:rPr>
        <w:t xml:space="preserve">”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w:t>
      </w:r>
      <w:r>
        <w:rPr>
          <w:rFonts w:ascii="Times New Roman;Times;serif" w:hAnsi="Times New Roman;Times;serif"/>
          <w:sz w:val="20"/>
          <w:u w:val="single"/>
        </w:rPr>
        <w:t>voting stock</w:t>
      </w:r>
      <w:r>
        <w:rPr>
          <w:rFonts w:ascii="Times New Roman;Times;serif" w:hAnsi="Times New Roman;Times;serif"/>
          <w:sz w:val="20"/>
        </w:rPr>
        <w:t xml:space="preserve"> be subject to or party to one or more Subject Entities making, a purchase, tender or exchange offer that is accepted by the holders of at least either (x) </w:t>
      </w:r>
      <w:r>
        <w:rPr>
          <w:rFonts w:ascii="Times New Roman;Times;serif" w:hAnsi="Times New Roman;Times;serif"/>
          <w:sz w:val="20"/>
          <w:u w:val="single"/>
        </w:rPr>
        <w:t>more than</w:t>
      </w:r>
      <w:r>
        <w:rPr>
          <w:rFonts w:ascii="Times New Roman;Times;serif" w:hAnsi="Times New Roman;Times;serif"/>
          <w:sz w:val="20"/>
        </w:rPr>
        <w:t xml:space="preserve"> 50% of the outstanding</w:t>
      </w:r>
      <w:r>
        <w:rPr>
          <w:rFonts w:ascii="Times New Roman;Times;serif" w:hAnsi="Times New Roman;Times;serif"/>
          <w:sz w:val="20"/>
          <w:u w:val="single"/>
        </w:rPr>
        <w:t xml:space="preserve"> voting power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outstanding</w:t>
      </w:r>
      <w:r>
        <w:rPr>
          <w:rFonts w:ascii="Times New Roman;Times;serif" w:hAnsi="Times New Roman;Times;serif"/>
          <w:sz w:val="20"/>
          <w:u w:val="single"/>
        </w:rPr>
        <w:t xml:space="preserve"> voting power of the Company</w:t>
      </w:r>
      <w:r>
        <w:rPr>
          <w:rFonts w:ascii="Times New Roman;Times;serif" w:hAnsi="Times New Roman;Times;serif"/>
          <w:sz w:val="20"/>
        </w:rPr>
        <w:t xml:space="preserve"> calculated as if any shares of </w:t>
      </w:r>
      <w:r>
        <w:rPr>
          <w:rFonts w:ascii="Times New Roman;Times;serif" w:hAnsi="Times New Roman;Times;serif"/>
          <w:sz w:val="20"/>
          <w:u w:val="single"/>
        </w:rPr>
        <w:t>voting stock</w:t>
      </w:r>
      <w:r>
        <w:rPr>
          <w:rFonts w:ascii="Times New Roman;Times;serif" w:hAnsi="Times New Roman;Times;serif"/>
          <w:sz w:val="20"/>
        </w:rPr>
        <w:t xml:space="preserve"> held by all Subject Entities making or party to, or Affiliated with any Subject Entities making or party to, such purchase, tender or exchange offer were not outstanding; or (z) such number of shares of </w:t>
      </w:r>
      <w:r>
        <w:rPr>
          <w:rFonts w:ascii="Times New Roman;Times;serif" w:hAnsi="Times New Roman;Times;serif"/>
          <w:sz w:val="20"/>
          <w:u w:val="single"/>
        </w:rPr>
        <w:t>voting stock</w:t>
      </w:r>
      <w:r>
        <w:rPr>
          <w:rFonts w:ascii="Times New Roman;Times;serif" w:hAnsi="Times New Roman;Times;serif"/>
          <w:sz w:val="20"/>
        </w:rPr>
        <w:t xml:space="preserve"> such that all Subject Entities making or party to, or Affiliated with any Subject Entity making or party to, such purchase, tender or exchange offer, become collectively the beneficial owners (as defined in Rule 13d-3 under the 1934 Act) of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outstanding </w:t>
      </w:r>
      <w:r>
        <w:rPr>
          <w:rFonts w:ascii="Times New Roman;Times;serif" w:hAnsi="Times New Roman;Times;serif"/>
          <w:sz w:val="20"/>
          <w:u w:val="single"/>
        </w:rPr>
        <w:t>voting power of the Company</w:t>
      </w:r>
      <w:r>
        <w:rPr>
          <w:rFonts w:ascii="Times New Roman;Times;serif" w:hAnsi="Times New Roman;Times;serif"/>
          <w:sz w:val="20"/>
        </w:rPr>
        <w:t xml:space="preserve"> calculated as if any shares of </w:t>
      </w:r>
      <w:r>
        <w:rPr>
          <w:rFonts w:ascii="Times New Roman;Times;serif" w:hAnsi="Times New Roman;Times;serif"/>
          <w:sz w:val="20"/>
          <w:u w:val="single"/>
        </w:rPr>
        <w:t>voting stock</w:t>
      </w:r>
      <w:r>
        <w:rPr>
          <w:rFonts w:ascii="Times New Roman;Times;serif" w:hAnsi="Times New Roman;Times;serif"/>
          <w:sz w:val="20"/>
        </w:rPr>
        <w:t xml:space="preserve"> held by all the Subject Entities making or party to, or Affiliated with any Subject Entity making or party to, such stock purchase agreement or other business combination were not outstanding; or (z) such number of shares of </w:t>
      </w:r>
      <w:r>
        <w:rPr>
          <w:rFonts w:ascii="Times New Roman;Times;serif" w:hAnsi="Times New Roman;Times;serif"/>
          <w:sz w:val="20"/>
          <w:u w:val="single"/>
        </w:rPr>
        <w:t>voting stock of the Company</w:t>
      </w:r>
      <w:r>
        <w:rPr>
          <w:rFonts w:ascii="Times New Roman;Times;serif" w:hAnsi="Times New Roman;Times;serif"/>
          <w:sz w:val="20"/>
        </w:rPr>
        <w:t xml:space="preserve"> such that the Subject Entities become collectively the beneficial owners (as defined in Rule 13d-3 under the 1934 Act) of </w:t>
      </w:r>
      <w:r>
        <w:rPr>
          <w:rFonts w:ascii="Times New Roman;Times;serif" w:hAnsi="Times New Roman;Times;serif"/>
          <w:sz w:val="20"/>
          <w:u w:val="single"/>
        </w:rPr>
        <w:t>more than</w:t>
      </w:r>
      <w:r>
        <w:rPr>
          <w:rFonts w:ascii="Times New Roman;Times;serif" w:hAnsi="Times New Roman;Times;serif"/>
          <w:sz w:val="20"/>
        </w:rPr>
        <w:t xml:space="preserve"> 50% of the </w:t>
      </w:r>
      <w:r>
        <w:rPr>
          <w:rFonts w:ascii="Times New Roman;Times;serif" w:hAnsi="Times New Roman;Times;serif"/>
          <w:sz w:val="20"/>
          <w:u w:val="single"/>
        </w:rPr>
        <w:t>outstanding voting power of the Company</w:t>
      </w:r>
      <w:r>
        <w:rPr>
          <w:rFonts w:ascii="Times New Roman;Times;serif" w:hAnsi="Times New Roman;Times;serif"/>
          <w:sz w:val="20"/>
        </w:rPr>
        <w:t>,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85" w:right="0" w:hanging="0"/>
        <w:jc w:val="both"/>
        <w:rPr>
          <w:rFonts w:ascii="Times New Roman;Times;serif" w:hAnsi="Times New Roman;Times;serif"/>
          <w:sz w:val="20"/>
        </w:rPr>
      </w:pPr>
      <w:r>
        <w:rPr>
          <w:rFonts w:ascii="Times New Roman;Times;serif" w:hAnsi="Times New Roman;Times;serif"/>
          <w:sz w:val="20"/>
        </w:rPr>
        <w:t xml:space="preserve">become the “beneficial owner” (as defined in Rule 13d-3 under the 1934 Act), directly or indirectly, whether through acquisition, purchase, assignment, conveyance, tender, tender offer, exchange, reduction in outstanding shares of </w:t>
      </w:r>
      <w:r>
        <w:rPr>
          <w:rFonts w:ascii="Times New Roman;Times;serif" w:hAnsi="Times New Roman;Times;serif"/>
          <w:sz w:val="20"/>
          <w:u w:val="single"/>
        </w:rPr>
        <w:t>voting stock</w:t>
      </w:r>
      <w:r>
        <w:rPr>
          <w:rFonts w:ascii="Times New Roman;Times;serif" w:hAnsi="Times New Roman;Times;serif"/>
          <w:sz w:val="20"/>
        </w:rPr>
        <w:t xml:space="preserve">, merger, consolidation, business combination, reorganization, recapitalization, spin-off, scheme of arrangement, reorganization, recapitalization or reclassification or otherwise in any manner whatsoever, of either (x) </w:t>
      </w:r>
      <w:r>
        <w:rPr>
          <w:rFonts w:ascii="Times New Roman;Times;serif" w:hAnsi="Times New Roman;Times;serif"/>
          <w:sz w:val="20"/>
          <w:u w:val="single"/>
        </w:rPr>
        <w:t>more than</w:t>
      </w:r>
      <w:r>
        <w:rPr>
          <w:rFonts w:ascii="Times New Roman;Times;serif" w:hAnsi="Times New Roman;Times;serif"/>
          <w:sz w:val="20"/>
        </w:rPr>
        <w:t xml:space="preserve"> 50%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(y) </w:t>
      </w:r>
      <w:r>
        <w:rPr>
          <w:rFonts w:ascii="Times New Roman;Times;serif" w:hAnsi="Times New Roman;Times;serif"/>
          <w:sz w:val="20"/>
          <w:u w:val="single"/>
        </w:rPr>
        <w:t>more than</w:t>
      </w:r>
      <w:r>
        <w:rPr>
          <w:rFonts w:ascii="Times New Roman;Times;serif" w:hAnsi="Times New Roman;Times;serif"/>
          <w:sz w:val="20"/>
        </w:rPr>
        <w:t xml:space="preserve"> 50%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not held by all such Subject Entities as of the date of this Warrant calculated as if any shares of </w:t>
      </w:r>
      <w:r>
        <w:rPr>
          <w:rFonts w:ascii="Times New Roman;Times;serif" w:hAnsi="Times New Roman;Times;serif"/>
          <w:sz w:val="20"/>
          <w:u w:val="single"/>
        </w:rPr>
        <w:t>voting stock of the Company</w:t>
      </w:r>
      <w:r>
        <w:rPr>
          <w:rFonts w:ascii="Times New Roman;Times;serif" w:hAnsi="Times New Roman;Times;serif"/>
          <w:sz w:val="20"/>
        </w:rPr>
        <w:t xml:space="preserve"> held by all such Subject Entities were not outstanding, or (z) a percentage of the aggregate ordinary voting power represented by issued and outstanding shares of </w:t>
      </w:r>
      <w:r>
        <w:rPr>
          <w:rFonts w:ascii="Times New Roman;Times;serif" w:hAnsi="Times New Roman;Times;serif"/>
          <w:sz w:val="20"/>
          <w:u w:val="single"/>
        </w:rPr>
        <w:t>voting stock of the Company</w:t>
      </w:r>
      <w:r>
        <w:rPr>
          <w:rFonts w:ascii="Times New Roman;Times;serif" w:hAnsi="Times New Roman;Times;serif"/>
          <w:sz w:val="20"/>
        </w:rPr>
        <w:t xml:space="preserve"> or other equity securities of the Company sufficient to allow such Subject Entities to effect a statutory short form merger or other transaction requiring other stockholders of the Company to surrender their shares of </w:t>
      </w:r>
      <w:r>
        <w:rPr>
          <w:rFonts w:ascii="Times New Roman;Times;serif" w:hAnsi="Times New Roman;Times;serif"/>
          <w:sz w:val="20"/>
          <w:u w:val="single"/>
        </w:rPr>
        <w:t>voting stock of the Company</w:t>
      </w:r>
      <w:r>
        <w:rPr>
          <w:rFonts w:ascii="Times New Roman;Times;serif" w:hAnsi="Times New Roman;Times;serif"/>
          <w:sz w:val="20"/>
        </w:rPr>
        <w:t xml:space="preserve">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Counterparts; Facsimile Execution</w:t>
            </w:r>
            <w:r>
              <w:rPr>
                <w:rFonts w:ascii="Times New Roman;Times;serif" w:hAnsi="Times New Roman;Times;serif"/>
                <w:sz w:val="20"/>
              </w:rPr>
              <w:t>. This Amendment may be executed in one or more counterparts (including by electronic mail, in PDF or by DocuSign or similar electronic signature), all of which shall be considered one and the same agreement and shall become effective when one or more counterparts have been signed by each of the parties and delivered to the other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Governing Law</w:t>
            </w:r>
            <w:r>
              <w:rPr>
                <w:rFonts w:ascii="Times New Roman;Times;serif" w:hAnsi="Times New Roman;Times;serif"/>
                <w:sz w:val="20"/>
              </w:rPr>
              <w:t xml:space="preserve">. </w:t>
            </w:r>
            <w:r>
              <w:rPr>
                <w:rFonts w:ascii="Times New Roman;Times;serif" w:hAnsi="Times New Roman;Times;serif"/>
                <w:caps/>
                <w:sz w:val="20"/>
              </w:rPr>
              <w:t xml:space="preserve">THIS AMENDMENT SHALL BE SUBJECT TO THE PROVISIONS REGARDING GOVERNING LAW SET FORTH IN SECTION 9(a) OF THE Purchase AGREEMENT, AND SUCH PROVISIONS ARE INCORPORATED HEREIN BY THIS REFERENCE, </w:t>
            </w:r>
            <w:r>
              <w:rPr>
                <w:rFonts w:ascii="Times New Roman;Times;serif" w:hAnsi="Times New Roman;Times;serif"/>
                <w:i/>
                <w:caps/>
                <w:sz w:val="20"/>
              </w:rPr>
              <w:t>MUTATIS MUTANDIS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Terms and Conditions of the Warrants</w:t>
            </w:r>
            <w:r>
              <w:rPr>
                <w:rFonts w:ascii="Times New Roman;Times;serif" w:hAnsi="Times New Roman;Times;serif"/>
                <w:sz w:val="20"/>
              </w:rPr>
              <w:t>. Except as modified and amended herein, all of the terms and conditions of the Warrants shall remain in full force and effect.</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pages follow immediately.</w:t>
      </w:r>
      <w:r>
        <w:rPr>
          <w:rFonts w:ascii="Times New Roman;Times;serif" w:hAnsi="Times New Roman;Times;serif"/>
          <w:sz w:val="20"/>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Amendment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In witness whereof</w:t>
      </w:r>
      <w:r>
        <w:rPr>
          <w:rFonts w:ascii="Times New Roman;Times;serif" w:hAnsi="Times New Roman;Times;serif"/>
          <w:sz w:val="20"/>
        </w:rPr>
        <w:t>, the undersigned has executed and delivered this Omnibus Amendment as of the date first above written.</w:t>
      </w:r>
    </w:p>
    <w:tbl>
      <w:tblPr>
        <w:tblW w:w="1489" w:type="dxa"/>
        <w:jc w:val="left"/>
        <w:tblInd w:w="0" w:type="dxa"/>
        <w:tblLayout w:type="fixed"/>
        <w:tblCellMar>
          <w:top w:w="0" w:type="dxa"/>
          <w:left w:w="0" w:type="dxa"/>
          <w:bottom w:w="0" w:type="dxa"/>
          <w:right w:w="0" w:type="dxa"/>
        </w:tblCellMar>
      </w:tblPr>
      <w:tblGrid>
        <w:gridCol w:w="124"/>
        <w:gridCol w:w="1075"/>
        <w:gridCol w:w="290"/>
      </w:tblGrid>
      <w:tr>
        <w:trPr/>
        <w:tc>
          <w:tcPr>
            <w:tcW w:w="124"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Company</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124"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0" w:type="dxa"/>
            <w:tcBorders>
              <w:top w:val="single" w:sz="2" w:space="0" w:color="000000"/>
            </w:tcBorders>
            <w:tcMar>
              <w:top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0" w:type="dxa"/>
            <w:tcBorders/>
            <w:vAlign w:val="center"/>
          </w:tcPr>
          <w:p>
            <w:pPr>
              <w:pStyle w:val="TableContents"/>
              <w:bidi w:val="0"/>
              <w:spacing w:before="0" w:after="0"/>
              <w:ind w:left="0" w:right="0" w:hanging="0"/>
              <w:jc w:val="left"/>
              <w:rPr>
                <w:caps/>
              </w:rPr>
            </w:pPr>
            <w:r>
              <w:rPr>
                <w:caps/>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Amendment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aps/>
          <w:sz w:val="20"/>
        </w:rPr>
        <w:t>In witness whereof</w:t>
      </w:r>
      <w:r>
        <w:rPr>
          <w:rFonts w:ascii="Times New Roman;Times;serif" w:hAnsi="Times New Roman;Times;serif"/>
          <w:sz w:val="20"/>
        </w:rPr>
        <w:t>, the undersigned has executed and delivered this Amendment as of the date first above written.</w:t>
      </w:r>
    </w:p>
    <w:tbl>
      <w:tblPr>
        <w:tblW w:w="1819" w:type="dxa"/>
        <w:jc w:val="left"/>
        <w:tblInd w:w="0" w:type="dxa"/>
        <w:tblLayout w:type="fixed"/>
        <w:tblCellMar>
          <w:top w:w="0" w:type="dxa"/>
          <w:left w:w="0" w:type="dxa"/>
          <w:bottom w:w="0" w:type="dxa"/>
          <w:right w:w="0" w:type="dxa"/>
        </w:tblCellMar>
      </w:tblPr>
      <w:tblGrid>
        <w:gridCol w:w="124"/>
        <w:gridCol w:w="1173"/>
        <w:gridCol w:w="522"/>
      </w:tblGrid>
      <w:tr>
        <w:trPr/>
        <w:tc>
          <w:tcPr>
            <w:tcW w:w="124"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Investor:</w:t>
            </w:r>
          </w:p>
        </w:tc>
      </w:tr>
      <w:tr>
        <w:trPr/>
        <w:tc>
          <w:tcPr>
            <w:tcW w:w="124"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2" w:type="dxa"/>
            <w:tcBorders>
              <w:bottom w:val="single" w:sz="2" w:space="0" w:color="000000"/>
            </w:tcBorders>
            <w:tcMar>
              <w:bottom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signatory:</w:t>
            </w:r>
          </w:p>
        </w:tc>
      </w:tr>
      <w:tr>
        <w:trPr/>
        <w:tc>
          <w:tcPr>
            <w:tcW w:w="124"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68" w:name="xwel-20250331xex31d1.htm"/>
      <w:bookmarkStart w:id="1269" w:name="ksxwel20250331xex31d1"/>
      <w:bookmarkEnd w:id="1268"/>
      <w:bookmarkEnd w:id="1269"/>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20, 2025</w:t>
      </w:r>
    </w:p>
    <w:p>
      <w:pPr>
        <w:pStyle w:val="TextBody"/>
        <w:bidi w:val="0"/>
        <w:spacing w:before="0" w:after="0"/>
        <w:ind w:left="0" w:right="0" w:hanging="0"/>
        <w:jc w:val="left"/>
        <w:rPr/>
      </w:pPr>
      <w:r>
        <w:rPr/>
        <w:t>​</w:t>
      </w:r>
    </w:p>
    <w:tbl>
      <w:tblPr>
        <w:tblW w:w="2829" w:type="dxa"/>
        <w:jc w:val="center"/>
        <w:tblInd w:w="0" w:type="dxa"/>
        <w:tblLayout w:type="fixed"/>
        <w:tblCellMar>
          <w:top w:w="0" w:type="dxa"/>
          <w:left w:w="0" w:type="dxa"/>
          <w:bottom w:w="0" w:type="dxa"/>
          <w:right w:w="0" w:type="dxa"/>
        </w:tblCellMar>
      </w:tblPr>
      <w:tblGrid>
        <w:gridCol w:w="124"/>
        <w:gridCol w:w="25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70" w:name="xwel-20250331xex31d2.htm"/>
      <w:bookmarkStart w:id="1271" w:name="ksxwel20250331xex31d2"/>
      <w:bookmarkEnd w:id="1270"/>
      <w:bookmarkEnd w:id="1271"/>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Ian Brown,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20, 2025</w:t>
      </w:r>
    </w:p>
    <w:p>
      <w:pPr>
        <w:pStyle w:val="TextBody"/>
        <w:bidi w:val="0"/>
        <w:spacing w:before="0" w:after="0"/>
        <w:ind w:left="0" w:right="0" w:hanging="0"/>
        <w:jc w:val="left"/>
        <w:rPr/>
      </w:pPr>
      <w:r>
        <w:rPr/>
        <w:t>​</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72" w:name="xwel-20250331xex32.htm"/>
      <w:bookmarkStart w:id="1273" w:name="ksxwel20250331xex32"/>
      <w:bookmarkEnd w:id="1272"/>
      <w:bookmarkEnd w:id="1273"/>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 </w:t>
      </w:r>
      <w:r>
        <w:rPr>
          <w:rFonts w:ascii="Times New Roman;Times;serif" w:hAnsi="Times New Roman;Times;serif"/>
          <w:b/>
          <w:sz w:val="20"/>
        </w:rPr>
        <w:t>CERTIFICATIONS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5781" w:type="dxa"/>
        <w:jc w:val="center"/>
        <w:tblInd w:w="0" w:type="dxa"/>
        <w:tblLayout w:type="fixed"/>
        <w:tblCellMar>
          <w:top w:w="0" w:type="dxa"/>
          <w:left w:w="0" w:type="dxa"/>
          <w:bottom w:w="0" w:type="dxa"/>
          <w:right w:w="0" w:type="dxa"/>
        </w:tblCellMar>
      </w:tblPr>
      <w:tblGrid>
        <w:gridCol w:w="1741"/>
        <w:gridCol w:w="3886"/>
        <w:gridCol w:w="15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20, 2025</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0465924090328/tm2421867d1_ex3-1.htm" TargetMode="External"/><Relationship Id="rId3" Type="http://schemas.openxmlformats.org/officeDocument/2006/relationships/hyperlink" Target="https://www.sec.gov/Archives/edgar/data/1410428/000110465924090328/tm2421867d1_ex4-1.htm" TargetMode="External"/><Relationship Id="rId4" Type="http://schemas.openxmlformats.org/officeDocument/2006/relationships/hyperlink" Target="https://www.sec.gov/Archives/edgar/data/1410428/000110465925003620/tm253251d1_ex4-2.htm" TargetMode="External"/><Relationship Id="rId5" Type="http://schemas.openxmlformats.org/officeDocument/2006/relationships/hyperlink" Target="https://www.sec.gov/Archives/edgar/data/1410428/000110465924086582/tm2421027d1_ex10-1.htm" TargetMode="External"/><Relationship Id="rId6" Type="http://schemas.openxmlformats.org/officeDocument/2006/relationships/hyperlink" Target="https://www.sec.gov/Archives/edgar/data/1410428/000110465924097147/tm2423402d1_ex10-1.htm" TargetMode="External"/><Relationship Id="rId7" Type="http://schemas.openxmlformats.org/officeDocument/2006/relationships/hyperlink" Target="https://www.sec.gov/Archives/edgar/data/1410428/000110465924097147/tm2423402d1_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22303</Words>
  <Characters>120556</Characters>
  <CharactersWithSpaces>144648</CharactersWithSpaces>
  <Paragraphs>5474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