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10,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10, 2018, the Company named Janine Canale, who currently serves as the Company’s Controller and Principal Accounting Officer, to the additional post of Principal Financial Officer.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 Canale, 33, has served as our Controller since joining the Company in March 2017. Prior to joining the Company, Ms. Canale most recently was an auditor at global accounting firm BDO USA, LLP from 2011 - 2017 and began her career at national public accounting firm CohnReznick LLP from 2006 - 2011. Ms. Canale holds a B.B.A. in Accounting from Adelphi University and an M.B.A. with a concentration in Finance from Hofstra University. Ms. Canale is a Certified Public Accountant in the state of New York and is a member of the American Institute of Certified Public Accountants.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Canale has no family relationships with any of the executive officers or directors of the Company. There are no arrangements or understandings between Ms. Canale and any other person pursuant to which she was elected as an officer of the Company. The Company is not aware of any transactions in which Ms. Canale has an interest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2"/>
          </w:tcPr>
          <w:p>
            <w:pPr>
              <w:ind w:left="23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Dated: July 10, 2018</w:t>
            </w:r>
          </w:p>
        </w:tc>
        <w:tc>
          <w:tcPr>
            <w:tcW w:w="7520" w:type="dxa"/>
            <w:vAlign w:val="bottom"/>
            <w:gridSpan w:val="2"/>
          </w:tcPr>
          <w:p>
            <w:pPr>
              <w:ind w:left="2380"/>
              <w:spacing w:after="0"/>
              <w:rPr>
                <w:sz w:val="20"/>
                <w:szCs w:val="20"/>
                <w:color w:val="auto"/>
              </w:rPr>
            </w:pPr>
            <w:r>
              <w:rPr>
                <w:rFonts w:ascii="Arial" w:cs="Arial" w:eastAsia="Arial" w:hAnsi="Arial"/>
                <w:sz w:val="18"/>
                <w:szCs w:val="18"/>
                <w:color w:val="auto"/>
              </w:rPr>
              <w:t>By:  /s/ Edward Jankowski</w:t>
            </w:r>
          </w:p>
        </w:tc>
      </w:tr>
      <w:tr>
        <w:trPr>
          <w:trHeight w:val="195"/>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107"/>
        </w:trPr>
        <w:tc>
          <w:tcPr>
            <w:tcW w:w="3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2019-12-07T09:32:53Z</dcterms:created>
  <dcterms:modified xsi:type="dcterms:W3CDTF">2019-12-07T09:32:53Z</dcterms:modified>
</cp:coreProperties>
</file>