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Cohen David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Chief Legal and IP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10017</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2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0000FF"/>
              </w:rPr>
              <w:t>09/30/2014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3,646</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0.9632</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72,915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60" w:type="dxa"/>
            <w:vAlign w:val="bottom"/>
            <w:gridSpan w:val="9"/>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Form 4 were effected to cover tax liabilities pursuant to a Rule 10b5-1 trading plan adopted by the reporting person on November 25,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45,832 shares of common stock are represented by unvested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spacing w:after="0" w:line="239" w:lineRule="auto"/>
        <w:rPr>
          <w:sz w:val="20"/>
          <w:szCs w:val="20"/>
          <w:color w:val="auto"/>
        </w:rPr>
      </w:pPr>
      <w:r>
        <w:rPr>
          <w:rFonts w:ascii="Arial" w:cs="Arial" w:eastAsia="Arial" w:hAnsi="Arial"/>
          <w:sz w:val="14"/>
          <w:szCs w:val="14"/>
          <w:color w:val="008000"/>
        </w:rPr>
        <w:t>As of the reporting date, the reporting person holds 876,666 vested and unvested options and 45,832 vested and unvested restricted stock units. In addition, the reporting person owns 27,083 shares of common stock. The total number of securities listed is 949,581.</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David L. Cohen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09/30/2014</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6248"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2019-12-17T06:21:28Z</dcterms:created>
  <dcterms:modified xsi:type="dcterms:W3CDTF">2019-12-17T06:21:28Z</dcterms:modified>
</cp:coreProperties>
</file>