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12,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2024, XWELL, Inc. (the “Company”) issued a press release announcing that the Company, together with Ginkgo Bioworks and the Centers for Disease Control and Prevention (the “CDC”), are expanding the CDC’s Traveler-based Genomic Surveillance program to new collection locations at US international airports in Miami (MIA) and Chicago (ORD).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XpresTest began conducting the bio-surveillance monitoring program with the CDC in collaboration with Concentric by Ginkgo in 2021. As previously disclosed, the program was renewed in August 2023 through a new one-year contract. At that time, we estimated that revenue from such one-year extension totaled approximately $15.9 million. Under the March 2024 extension, the program funding and scope were expanded to an estimated $36.7 million or more for the extension with new collection locations at U.S. international airports in Miami (MIA) and Chicago (ORD) and the roll out of multi-pathogen testing across the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(the “Form 8-K”) and the press release attached hereto include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expectations relating to the bio-surveillance monitoring program,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1020" w:hanging="1012"/>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0000EE"/>
              </w:rPr>
              <w:t>Press Release dated March 12, 2024</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Cara Soffer</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CDC Traveler-based Genomic Surveillance Program to Expand to Two New US International Airports in Miami and Chicago</w:t>
      </w:r>
    </w:p>
    <w:p>
      <w:pPr>
        <w:spacing w:after="0" w:line="22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The TGS program, a leading example of biosecurity infrastructure, operates at a total of nine US locations and leverages voluntary nasal swabs as well as wastewater sampling from international travelers to detect more than 30 pathogens.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New York, NY — March 12, 2024 — Ginkgo Bioworks (NYSE: DNA), which is building the leading platform for cell programming and biosecurity, the Centers for Disease Control and Prevention (CDC), and XpresCheck by XWELL, Inc. (Nasdaq: XWEL), a leader in the delivery of onsite pathogen screening, today announced they are expanding the CDC's </w:t>
      </w:r>
      <w:r>
        <w:rPr>
          <w:rFonts w:ascii="Times New Roman" w:cs="Times New Roman" w:eastAsia="Times New Roman" w:hAnsi="Times New Roman"/>
          <w:sz w:val="18"/>
          <w:szCs w:val="18"/>
          <w:u w:val="single" w:color="auto"/>
          <w:color w:val="auto"/>
        </w:rPr>
        <w:t>Traveler-based Genomic Surveillance (TGS) program</w:t>
      </w:r>
      <w:r>
        <w:rPr>
          <w:rFonts w:ascii="Times New Roman" w:cs="Times New Roman" w:eastAsia="Times New Roman" w:hAnsi="Times New Roman"/>
          <w:sz w:val="18"/>
          <w:szCs w:val="18"/>
          <w:color w:val="auto"/>
        </w:rPr>
        <w:t xml:space="preserve"> to new collection locations at US international airports in Miami (MIA) and Chicago (ORD).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program funding and expanded program scope, which will double the CDC’s current investment in the TGS program, will be used to substantially increase the volume of nasal and wastewater samples collected, tested, and sequenced using a custom multipathogen panel. This expanded funding will also bring the number of airports in the program to a total of nine active sites: Los Angeles, San Francisco, New York (JFK), Washington Dulles, Newark, Boston, Seattle, Miami, and Chicago.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Since its </w:t>
      </w:r>
      <w:r>
        <w:rPr>
          <w:rFonts w:ascii="Times New Roman" w:cs="Times New Roman" w:eastAsia="Times New Roman" w:hAnsi="Times New Roman"/>
          <w:sz w:val="18"/>
          <w:szCs w:val="18"/>
          <w:u w:val="single" w:color="auto"/>
          <w:color w:val="auto"/>
        </w:rPr>
        <w:t>inception</w:t>
      </w:r>
      <w:r>
        <w:rPr>
          <w:rFonts w:ascii="Times New Roman" w:cs="Times New Roman" w:eastAsia="Times New Roman" w:hAnsi="Times New Roman"/>
          <w:sz w:val="18"/>
          <w:szCs w:val="18"/>
          <w:color w:val="auto"/>
        </w:rPr>
        <w:t xml:space="preserve"> in September 2021, the TGS program has demonstrated its ability to serve as an early detection mechanism for new pathogens and fill gaps in global biosurveillance.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program has </w:t>
      </w:r>
      <w:r>
        <w:rPr>
          <w:rFonts w:ascii="Times New Roman" w:cs="Times New Roman" w:eastAsia="Times New Roman" w:hAnsi="Times New Roman"/>
          <w:sz w:val="18"/>
          <w:szCs w:val="18"/>
          <w:u w:val="single" w:color="auto"/>
          <w:color w:val="auto"/>
        </w:rPr>
        <w:t>detected</w:t>
      </w:r>
      <w:r>
        <w:rPr>
          <w:rFonts w:ascii="Times New Roman" w:cs="Times New Roman" w:eastAsia="Times New Roman" w:hAnsi="Times New Roman"/>
          <w:sz w:val="18"/>
          <w:szCs w:val="18"/>
          <w:color w:val="auto"/>
        </w:rPr>
        <w:t xml:space="preserve"> several novel strains of SARS-CoV-2 (the virus that causes COVID-19), using different sample types, including nasal swabs collected anonymously from volunteer international travelers arriving at participating airports hosting mobile testing centers in terminals, as well as wastewater samples from airplanes and airport triturators. In October 2023, the program </w:t>
      </w:r>
      <w:r>
        <w:rPr>
          <w:rFonts w:ascii="Times New Roman" w:cs="Times New Roman" w:eastAsia="Times New Roman" w:hAnsi="Times New Roman"/>
          <w:sz w:val="18"/>
          <w:szCs w:val="18"/>
          <w:u w:val="single" w:color="auto"/>
          <w:color w:val="auto"/>
        </w:rPr>
        <w:t>expanded</w:t>
      </w:r>
      <w:r>
        <w:rPr>
          <w:rFonts w:ascii="Times New Roman" w:cs="Times New Roman" w:eastAsia="Times New Roman" w:hAnsi="Times New Roman"/>
          <w:sz w:val="18"/>
          <w:szCs w:val="18"/>
          <w:color w:val="auto"/>
        </w:rPr>
        <w:t xml:space="preserve"> to cover a list of more than 30 viral and bacterial targets.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first phase of multipathogen testing and sequencing in November and December 2023 proved successful, and the TGS program was able to detect positive samples containing several pathogens of interest, including influenza A and B, RSV, and </w:t>
      </w:r>
      <w:r>
        <w:rPr>
          <w:rFonts w:ascii="Times New Roman" w:cs="Times New Roman" w:eastAsia="Times New Roman" w:hAnsi="Times New Roman"/>
          <w:sz w:val="18"/>
          <w:szCs w:val="18"/>
          <w:i w:val="1"/>
          <w:iCs w:val="1"/>
          <w:color w:val="auto"/>
        </w:rPr>
        <w:t>Mycoplasma pneumoniae</w:t>
      </w:r>
      <w:r>
        <w:rPr>
          <w:rFonts w:ascii="Times New Roman" w:cs="Times New Roman" w:eastAsia="Times New Roman" w:hAnsi="Times New Roman"/>
          <w:sz w:val="18"/>
          <w:szCs w:val="18"/>
          <w:color w:val="auto"/>
        </w:rPr>
        <w:t>, a bacteria that causes pneumonia.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thrilled to have the opportunity to take the TGS program to the next level. Multipathogen biomonitoring expands this critical biosecurity infrastructure for the United States,” said Matt McKnight, General Manager for Biosecurity at Ginkgo Bioworks. “The </w:t>
      </w:r>
      <w:r>
        <w:rPr>
          <w:rFonts w:ascii="Times New Roman" w:cs="Times New Roman" w:eastAsia="Times New Roman" w:hAnsi="Times New Roman"/>
          <w:sz w:val="18"/>
          <w:szCs w:val="18"/>
          <w:u w:val="single" w:color="auto"/>
          <w:color w:val="auto"/>
        </w:rPr>
        <w:t>frequency</w:t>
      </w:r>
      <w:r>
        <w:rPr>
          <w:rFonts w:ascii="Times New Roman" w:cs="Times New Roman" w:eastAsia="Times New Roman" w:hAnsi="Times New Roman"/>
          <w:sz w:val="18"/>
          <w:szCs w:val="18"/>
          <w:color w:val="auto"/>
        </w:rPr>
        <w:t xml:space="preserve"> of new outbreaks around the world reminds us every day that persistent and strategically focused biosurveillance is paramount to ensure readiness and rapid response. We are honored that CDC continues to trust this consortium to deliver a strategic piece of our biothreat preparedness.”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program continues to innovate in the space of pathogen genomics and biosecurity by introducing new collection modalities, launching in new locations, and refining the list of target pathogens to provide a clearer picture of what pathogens are circulating through the international travel system. It is supported by robust operational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“This expansion demonstrates the continued capability of the TGS program and is a further realization of the goal set out by the CDC and the Federal Government to incorporate this program as part of a permanent biosecurity effort in the United States,” said Ezra Ernst, CEO of XpresCheck. "It allows us to continue providing a frontline defense against potential pathogens entering our country and reinforces our commitment to public health.”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additional funding of the program allows us to add infrastructure to support new mobile testing centers at Miami International Airport and Chicago O’Hare International Airport. It will also enable us to increase testing capacity at existing airports, reinforcing our position as the largest consortium of partners in the biosecurity space,” added Ernst.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w:t>
      </w:r>
    </w:p>
    <w:p>
      <w:pPr>
        <w:spacing w:after="0" w:line="233"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Treat™, Naples Wax Center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XpresCheck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HyperPointe™.</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and its Treat brand are leading retailers of wellness services and related products, with 34 locations in 15 airports globally.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Ginkgo Bioworks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Ginkgo Bioworks is the leading horizontal platform for cell programming, providing flexible, end-to-end services that solve challenges for organizations across diverse markets, from food and agriculture to pharmaceuticals to industrial and specialty chemicals. Ginkgo's biosecurity and public health unit, Concentric by Ginkgo, is building global infrastructure for biosecurity to empower governments, communities, and public health leaders to prevent, detect and respond to a wide variety of biological threats. For more information, visit </w:t>
      </w:r>
      <w:r>
        <w:rPr>
          <w:rFonts w:ascii="Times New Roman" w:cs="Times New Roman" w:eastAsia="Times New Roman" w:hAnsi="Times New Roman"/>
          <w:sz w:val="18"/>
          <w:szCs w:val="18"/>
          <w:u w:val="single" w:color="auto"/>
          <w:color w:val="auto"/>
        </w:rPr>
        <w:t>ginkgobioworks.com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concentricbyginkgo.com</w:t>
      </w:r>
      <w:r>
        <w:rPr>
          <w:rFonts w:ascii="Times New Roman" w:cs="Times New Roman" w:eastAsia="Times New Roman" w:hAnsi="Times New Roman"/>
          <w:sz w:val="18"/>
          <w:szCs w:val="18"/>
          <w:color w:val="auto"/>
        </w:rPr>
        <w:t xml:space="preserve">, read our </w:t>
      </w:r>
      <w:r>
        <w:rPr>
          <w:rFonts w:ascii="Times New Roman" w:cs="Times New Roman" w:eastAsia="Times New Roman" w:hAnsi="Times New Roman"/>
          <w:sz w:val="18"/>
          <w:szCs w:val="18"/>
          <w:u w:val="single" w:color="auto"/>
          <w:color w:val="auto"/>
        </w:rPr>
        <w:t>blog</w:t>
      </w:r>
      <w:r>
        <w:rPr>
          <w:rFonts w:ascii="Times New Roman" w:cs="Times New Roman" w:eastAsia="Times New Roman" w:hAnsi="Times New Roman"/>
          <w:sz w:val="18"/>
          <w:szCs w:val="18"/>
          <w:color w:val="auto"/>
        </w:rPr>
        <w:t>, or follow us on social media channels such as X (formerly known as Twitter) (</w:t>
      </w:r>
      <w:r>
        <w:rPr>
          <w:rFonts w:ascii="Times New Roman" w:cs="Times New Roman" w:eastAsia="Times New Roman" w:hAnsi="Times New Roman"/>
          <w:sz w:val="18"/>
          <w:szCs w:val="18"/>
          <w:u w:val="single" w:color="auto"/>
          <w:color w:val="auto"/>
        </w:rPr>
        <w:t>@Ginkgo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@ConcentricByGinkgo</w:t>
      </w:r>
      <w:r>
        <w:rPr>
          <w:rFonts w:ascii="Times New Roman" w:cs="Times New Roman" w:eastAsia="Times New Roman" w:hAnsi="Times New Roman"/>
          <w:sz w:val="18"/>
          <w:szCs w:val="18"/>
          <w:color w:val="auto"/>
        </w:rPr>
        <w:t>), Instagram (</w:t>
      </w:r>
      <w:r>
        <w:rPr>
          <w:rFonts w:ascii="Times New Roman" w:cs="Times New Roman" w:eastAsia="Times New Roman" w:hAnsi="Times New Roman"/>
          <w:sz w:val="18"/>
          <w:szCs w:val="18"/>
          <w:u w:val="single" w:color="auto"/>
          <w:color w:val="auto"/>
        </w:rPr>
        <w:t>@GinkgoBioworks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@ConcentricByGinkgo</w:t>
      </w:r>
      <w:r>
        <w:rPr>
          <w:rFonts w:ascii="Times New Roman" w:cs="Times New Roman" w:eastAsia="Times New Roman" w:hAnsi="Times New Roman"/>
          <w:sz w:val="18"/>
          <w:szCs w:val="18"/>
          <w:color w:val="auto"/>
        </w:rPr>
        <w:t>), Threads (</w:t>
      </w:r>
      <w:r>
        <w:rPr>
          <w:rFonts w:ascii="Times New Roman" w:cs="Times New Roman" w:eastAsia="Times New Roman" w:hAnsi="Times New Roman"/>
          <w:sz w:val="18"/>
          <w:szCs w:val="18"/>
          <w:u w:val="single" w:color="auto"/>
          <w:color w:val="auto"/>
        </w:rPr>
        <w:t>@GinkgoBioworks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 of XWELL,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for Naples Wax Center,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of Ginkgo Bioworks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IR@XWELL.com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investors@ginkgobioworks.com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press@ginkgobioworks.com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2024-03-12T06:07:45Z</dcterms:created>
  <dcterms:modified xsi:type="dcterms:W3CDTF">2024-03-12T06:07:45Z</dcterms:modified>
</cp:coreProperties>
</file>