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-7620</wp:posOffset>
            </wp:positionV>
            <wp:extent cx="137160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44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5349240</wp:posOffset>
            </wp:positionH>
            <wp:positionV relativeFrom="paragraph">
              <wp:posOffset>-655955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4078605</wp:posOffset>
            </wp:positionH>
            <wp:positionV relativeFrom="paragraph">
              <wp:posOffset>-655955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-1543685</wp:posOffset>
            </wp:positionH>
            <wp:positionV relativeFrom="paragraph">
              <wp:posOffset>20320</wp:posOffset>
            </wp:positionV>
            <wp:extent cx="6987540" cy="571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1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20"/>
            <w:col w:w="866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Haynes Omar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XWELL,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254 WEST 31ST STREET, 11TH FLOOR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XWELL,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XWEL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12/31/2022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Interim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9,083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0.39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191,465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7,412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0.36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184,053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5,963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178,090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omitted from the reporting person's Form 4 filed on June 16, 2023. The number of shares of common stock reflected in such Form 4 should be deemed adjusted accordingly.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shares of common stock surrendered to satisfy tax withholding obligations in connection with vesting of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Haynes is no longer Interim CFO as of July 10,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Cara Soffer, Attorney-in-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Omar Haynes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5145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2023-07-21T15:26:49Z</dcterms:created>
  <dcterms:modified xsi:type="dcterms:W3CDTF">2023-07-21T15:26:49Z</dcterms:modified>
</cp:coreProperties>
</file>