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August 5, 2024</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XWELL,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5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001-34785</w:t>
            </w:r>
          </w:p>
        </w:tc>
        <w:tc>
          <w:tcPr>
            <w:tcW w:w="220" w:type="dxa"/>
            <w:vAlign w:val="bottom"/>
          </w:tcPr>
          <w:p>
            <w:pPr>
              <w:spacing w:after="0"/>
              <w:rPr>
                <w:sz w:val="21"/>
                <w:szCs w:val="21"/>
                <w:color w:val="auto"/>
              </w:rPr>
            </w:pPr>
          </w:p>
        </w:tc>
        <w:tc>
          <w:tcPr>
            <w:tcW w:w="5500" w:type="dxa"/>
            <w:vAlign w:val="bottom"/>
            <w:tcBorders>
              <w:bottom w:val="single" w:sz="8" w:color="auto"/>
            </w:tcBorders>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20-4988129</w:t>
            </w:r>
          </w:p>
        </w:tc>
      </w:tr>
      <w:tr>
        <w:trPr>
          <w:trHeight w:val="234"/>
        </w:trPr>
        <w:tc>
          <w:tcPr>
            <w:tcW w:w="5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20" w:type="dxa"/>
            <w:vAlign w:val="bottom"/>
          </w:tcPr>
          <w:p>
            <w:pPr>
              <w:spacing w:after="0"/>
              <w:rPr>
                <w:sz w:val="20"/>
                <w:szCs w:val="20"/>
                <w:color w:val="auto"/>
              </w:rPr>
            </w:pPr>
          </w:p>
        </w:tc>
        <w:tc>
          <w:tcPr>
            <w:tcW w:w="5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21"/>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254 West 31st Street, 11th Floor, New York, New York</w:t>
            </w:r>
          </w:p>
        </w:tc>
        <w:tc>
          <w:tcPr>
            <w:tcW w:w="5500" w:type="dxa"/>
            <w:vAlign w:val="bottom"/>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10001</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(212) 750-9595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6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2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0" w:type="dxa"/>
            <w:vAlign w:val="bottom"/>
          </w:tcPr>
          <w:p>
            <w:pPr>
              <w:spacing w:after="0"/>
              <w:rPr>
                <w:sz w:val="20"/>
                <w:szCs w:val="20"/>
                <w:color w:val="auto"/>
              </w:rPr>
            </w:pPr>
          </w:p>
        </w:tc>
      </w:tr>
      <w:tr>
        <w:trPr>
          <w:trHeight w:val="439"/>
        </w:trPr>
        <w:tc>
          <w:tcPr>
            <w:tcW w:w="466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78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center"/>
              <w:ind w:right="610"/>
              <w:spacing w:after="0"/>
              <w:rPr>
                <w:sz w:val="20"/>
                <w:szCs w:val="20"/>
                <w:color w:val="auto"/>
              </w:rPr>
            </w:pPr>
            <w:r>
              <w:rPr>
                <w:rFonts w:ascii="Times New Roman" w:cs="Times New Roman" w:eastAsia="Times New Roman" w:hAnsi="Times New Roman"/>
                <w:sz w:val="18"/>
                <w:szCs w:val="18"/>
                <w:color w:val="auto"/>
                <w:w w:val="99"/>
              </w:rPr>
              <w:t>XWEL</w:t>
            </w:r>
          </w:p>
        </w:tc>
        <w:tc>
          <w:tcPr>
            <w:tcW w:w="120" w:type="dxa"/>
            <w:vAlign w:val="bottom"/>
          </w:tcPr>
          <w:p>
            <w:pPr>
              <w:spacing w:after="0"/>
              <w:rPr>
                <w:sz w:val="20"/>
                <w:szCs w:val="20"/>
                <w:color w:val="auto"/>
              </w:rPr>
            </w:pPr>
          </w:p>
        </w:tc>
        <w:tc>
          <w:tcPr>
            <w:tcW w:w="3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46"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August 6, 2024, XWELL,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entered into a securities purchase agreement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with certain institutional and accredited investors, pursuant to which the Company agreed to sell and issue in a registered direct offering (the “</w:t>
      </w:r>
      <w:r>
        <w:rPr>
          <w:rFonts w:ascii="Times New Roman" w:cs="Times New Roman" w:eastAsia="Times New Roman" w:hAnsi="Times New Roman"/>
          <w:sz w:val="18"/>
          <w:szCs w:val="18"/>
          <w:b w:val="1"/>
          <w:bCs w:val="1"/>
          <w:i w:val="1"/>
          <w:iCs w:val="1"/>
          <w:color w:val="auto"/>
        </w:rPr>
        <w:t>Offering</w:t>
      </w:r>
      <w:r>
        <w:rPr>
          <w:rFonts w:ascii="Times New Roman" w:cs="Times New Roman" w:eastAsia="Times New Roman" w:hAnsi="Times New Roman"/>
          <w:sz w:val="18"/>
          <w:szCs w:val="18"/>
          <w:color w:val="auto"/>
        </w:rPr>
        <w:t>”), an aggregate of 652,705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$0.01 par value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The gross proceeds to the Company from the Offering, prior to deducting estimated fees and expenses, is expected to be approximately $1.4 million. The Company currently intends to use the net proceeds from the Offering for working capital and general corporate purposes. The Offering is expected to close on or about August 8, 2024, subject to the satisfaction of customary closing conditions.</w:t>
      </w:r>
    </w:p>
    <w:p>
      <w:pPr>
        <w:spacing w:after="0" w:line="1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Shares will be offered and sold by the Company pursuant to a shelf registration statement on Form S-3 (File No. 333-273726), previously filed with the Securities and Exchange Commission (the “</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on August 4, 2023, and declared effective by the SEC on September 29, 2023, and the base prospectus included therein. A final prospectus supplement relating to the Offering, dated August 6, 2024, and the accompanying prospectus, has been filed with the SEC.</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legal opinion of Haynes and Boone, LLP relating to the legality of the issuance and sale of the Shares in the Offering is attached hereto as Exhibit 5.1 to this Current Report on Form 8-K. The foregoing descriptions of the Purchase Agreement does not purport to be complete and is qualified in its entirety by the full text of the form of Purchase Agreement, attached hereto as Exhibit 10.1. The provisions of the Purchase Agreement, including the representations and warranties contained therein, are not for the benefit of any party other than the parties to such agreement or as stated therein and are not intended as a document for investors and the public to obtain factual information about the current state of affairs of the parties to the documents and agreements. Rather, investors and the public should look to other disclosures contained in the Company’s filings with the SEC.</w:t>
      </w:r>
    </w:p>
    <w:p>
      <w:pPr>
        <w:spacing w:after="0" w:line="18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3.02</w:t>
      </w:r>
      <w:r>
        <w:rPr>
          <w:sz w:val="20"/>
          <w:szCs w:val="20"/>
          <w:color w:val="auto"/>
        </w:rPr>
        <w:tab/>
      </w:r>
      <w:r>
        <w:rPr>
          <w:rFonts w:ascii="Times New Roman" w:cs="Times New Roman" w:eastAsia="Times New Roman" w:hAnsi="Times New Roman"/>
          <w:sz w:val="18"/>
          <w:szCs w:val="18"/>
          <w:b w:val="1"/>
          <w:bCs w:val="1"/>
          <w:color w:val="auto"/>
        </w:rPr>
        <w:t>Unregistered Sales of Equity Securities.</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August 5, 2024, the Company, XpresSpa Middle East B.V., and certain other parties thereto (such parties, the “</w:t>
      </w:r>
      <w:r>
        <w:rPr>
          <w:rFonts w:ascii="Times New Roman" w:cs="Times New Roman" w:eastAsia="Times New Roman" w:hAnsi="Times New Roman"/>
          <w:sz w:val="18"/>
          <w:szCs w:val="18"/>
          <w:b w:val="1"/>
          <w:bCs w:val="1"/>
          <w:i w:val="1"/>
          <w:iCs w:val="1"/>
          <w:color w:val="auto"/>
        </w:rPr>
        <w:t>Settlor Parties</w:t>
      </w:r>
      <w:r>
        <w:rPr>
          <w:rFonts w:ascii="Times New Roman" w:cs="Times New Roman" w:eastAsia="Times New Roman" w:hAnsi="Times New Roman"/>
          <w:sz w:val="18"/>
          <w:szCs w:val="18"/>
          <w:color w:val="auto"/>
        </w:rPr>
        <w:t>”) entered into a Settlement Agreement (the “</w:t>
      </w:r>
      <w:r>
        <w:rPr>
          <w:rFonts w:ascii="Times New Roman" w:cs="Times New Roman" w:eastAsia="Times New Roman" w:hAnsi="Times New Roman"/>
          <w:sz w:val="18"/>
          <w:szCs w:val="18"/>
          <w:b w:val="1"/>
          <w:bCs w:val="1"/>
          <w:i w:val="1"/>
          <w:iCs w:val="1"/>
          <w:color w:val="auto"/>
        </w:rPr>
        <w:t>Settlement Agreement</w:t>
      </w:r>
      <w:r>
        <w:rPr>
          <w:rFonts w:ascii="Times New Roman" w:cs="Times New Roman" w:eastAsia="Times New Roman" w:hAnsi="Times New Roman"/>
          <w:sz w:val="18"/>
          <w:szCs w:val="18"/>
          <w:color w:val="auto"/>
        </w:rPr>
        <w:t>”), pursuant to which the Company agreed to issue an aggregate of 416,000 shares of common stock (the “</w:t>
      </w:r>
      <w:r>
        <w:rPr>
          <w:rFonts w:ascii="Times New Roman" w:cs="Times New Roman" w:eastAsia="Times New Roman" w:hAnsi="Times New Roman"/>
          <w:sz w:val="18"/>
          <w:szCs w:val="18"/>
          <w:b w:val="1"/>
          <w:bCs w:val="1"/>
          <w:i w:val="1"/>
          <w:iCs w:val="1"/>
          <w:color w:val="auto"/>
        </w:rPr>
        <w:t>Settlement Shares</w:t>
      </w:r>
      <w:r>
        <w:rPr>
          <w:rFonts w:ascii="Times New Roman" w:cs="Times New Roman" w:eastAsia="Times New Roman" w:hAnsi="Times New Roman"/>
          <w:sz w:val="18"/>
          <w:szCs w:val="18"/>
          <w:color w:val="auto"/>
        </w:rPr>
        <w:t>”) to the Settlor Parties in consideration for their entry into the Settlement Agreement. The Settlement Shares were not registered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were issued in reliance on one or more exemptions from registration under the Securities Act, including pursuant to Rule 903 of Regulation S under the Securities Act.</w:t>
      </w:r>
    </w:p>
    <w:p>
      <w:pPr>
        <w:spacing w:after="0" w:line="17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August 6, 2024, the Company issued a press release announcing the pricing of the Offering. A copy of the press release is attached hereto and furnished herewith as Exhibit 99.1 to this Current Report on Form 8-K. The Company undertakes no obligation to update, supplement or amend the materials attached hereto as Exhibit 99.1.</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General Instruction B.2 of Form 8-K, the information in this Item 7.01 of this Current Report on Form 8-K, including Exhibit 99.1, shall not be deemed “filed” for the purposes of Section 18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or otherwise subject to the liabilities of that section, nor shall it be deemed incorporated by reference in any filing under the Exchange Act or the Securities Act, as amended, except as shall be expressly set forth by reference in such a filing. Furthermore, the furnishing of information under Item 7.01 of this Current Report on Form 8-K is not intended to constitute a determination by the Company that the information contained herein, including the exhibits hereto, is material or that the dissemination of such information is required by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press release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The forward-looking statements in the press release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risks and uncertainties and other factors discussed from time to time in the Company’s filings with the SEC, including the Company’s Annual Report on Form 10-K, as amended, Quarterly Reports on Form 10-Q, Current Reports on Form 8-K and proxy statements, registration statement and other documents filed by the Company from time to time with the SEC. The Company expressly disclaims any obligation to publicly update any forward-looking statements contained herein, whether as a result of new information, future events or otherwise, except as required by law.</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 No.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0000EE"/>
                <w:w w:val="97"/>
              </w:rPr>
              <w:t>5.</w:t>
            </w:r>
            <w:r>
              <w:rPr>
                <w:rFonts w:ascii="Times New Roman" w:cs="Times New Roman" w:eastAsia="Times New Roman" w:hAnsi="Times New Roman"/>
                <w:sz w:val="18"/>
                <w:szCs w:val="18"/>
                <w:u w:val="single" w:color="auto"/>
                <w:color w:val="0000EE"/>
                <w:w w:val="97"/>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0000EE"/>
              </w:rPr>
              <w:t>Opinion of Haynes and Boone, LLP</w:t>
            </w:r>
          </w:p>
        </w:tc>
      </w:tr>
      <w:tr>
        <w:trPr>
          <w:trHeight w:val="20"/>
        </w:trPr>
        <w:tc>
          <w:tcPr>
            <w:tcW w:w="2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96"/>
        </w:trPr>
        <w:tc>
          <w:tcPr>
            <w:tcW w:w="42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10.</w:t>
            </w:r>
            <w:r>
              <w:rPr>
                <w:rFonts w:ascii="Times New Roman" w:cs="Times New Roman" w:eastAsia="Times New Roman" w:hAnsi="Times New Roman"/>
                <w:sz w:val="18"/>
                <w:szCs w:val="18"/>
                <w:u w:val="single" w:color="auto"/>
                <w:color w:val="0000EE"/>
                <w:w w:val="98"/>
              </w:rPr>
              <w:t>1*</w:t>
            </w:r>
          </w:p>
        </w:tc>
        <w:tc>
          <w:tcPr>
            <w:tcW w:w="280" w:type="dxa"/>
            <w:vAlign w:val="bottom"/>
          </w:tcPr>
          <w:p>
            <w:pPr>
              <w:spacing w:after="0"/>
              <w:rPr>
                <w:sz w:val="17"/>
                <w:szCs w:val="17"/>
                <w:color w:val="auto"/>
              </w:rPr>
            </w:pPr>
          </w:p>
        </w:tc>
        <w:tc>
          <w:tcPr>
            <w:tcW w:w="9960" w:type="dxa"/>
            <w:vAlign w:val="bottom"/>
            <w:gridSpan w:val="4"/>
          </w:tcPr>
          <w:p>
            <w:pPr>
              <w:ind w:left="300"/>
              <w:spacing w:after="0" w:line="196" w:lineRule="exact"/>
              <w:rPr>
                <w:sz w:val="20"/>
                <w:szCs w:val="20"/>
                <w:color w:val="auto"/>
              </w:rPr>
            </w:pPr>
            <w:r>
              <w:rPr>
                <w:rFonts w:ascii="Times New Roman" w:cs="Times New Roman" w:eastAsia="Times New Roman" w:hAnsi="Times New Roman"/>
                <w:sz w:val="18"/>
                <w:szCs w:val="18"/>
                <w:color w:val="0000EE"/>
                <w:w w:val="99"/>
              </w:rPr>
              <w:t>Form of Securities Purchase Agreement, dated as of August 6, 2024, by and among the Company and the purchasers signatory thereto</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800" w:type="dxa"/>
            <w:vAlign w:val="bottom"/>
            <w:shd w:val="clear" w:color="auto" w:fill="0000EE"/>
          </w:tcPr>
          <w:p>
            <w:pPr>
              <w:spacing w:after="0" w:line="20" w:lineRule="exact"/>
              <w:rPr>
                <w:sz w:val="1"/>
                <w:szCs w:val="1"/>
                <w:color w:val="auto"/>
              </w:rPr>
            </w:pPr>
          </w:p>
        </w:tc>
        <w:tc>
          <w:tcPr>
            <w:tcW w:w="5260" w:type="dxa"/>
            <w:vAlign w:val="bottom"/>
            <w:shd w:val="clear" w:color="auto" w:fill="0000EE"/>
          </w:tcPr>
          <w:p>
            <w:pPr>
              <w:spacing w:after="0" w:line="20" w:lineRule="exact"/>
              <w:rPr>
                <w:sz w:val="1"/>
                <w:szCs w:val="1"/>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99.</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60" w:type="dxa"/>
            <w:vAlign w:val="bottom"/>
            <w:gridSpan w:val="4"/>
          </w:tcPr>
          <w:p>
            <w:pPr>
              <w:ind w:left="300"/>
              <w:spacing w:after="0" w:line="196" w:lineRule="exact"/>
              <w:rPr>
                <w:sz w:val="20"/>
                <w:szCs w:val="20"/>
                <w:color w:val="auto"/>
              </w:rPr>
            </w:pPr>
            <w:r>
              <w:rPr>
                <w:rFonts w:ascii="Times New Roman" w:cs="Times New Roman" w:eastAsia="Times New Roman" w:hAnsi="Times New Roman"/>
                <w:sz w:val="18"/>
                <w:szCs w:val="18"/>
                <w:color w:val="0000EE"/>
              </w:rPr>
              <w:t>Press Release, dated August 6, 2024</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196"/>
        </w:trPr>
        <w:tc>
          <w:tcPr>
            <w:tcW w:w="3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5"/>
              </w:rPr>
              <w:t>23.</w:t>
            </w:r>
            <w:r>
              <w:rPr>
                <w:rFonts w:ascii="Times New Roman" w:cs="Times New Roman" w:eastAsia="Times New Roman" w:hAnsi="Times New Roman"/>
                <w:sz w:val="18"/>
                <w:szCs w:val="18"/>
                <w:u w:val="single" w:color="auto"/>
                <w:color w:val="0000EE"/>
                <w:w w:val="95"/>
              </w:rPr>
              <w:t>1</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960" w:type="dxa"/>
            <w:vAlign w:val="bottom"/>
            <w:gridSpan w:val="4"/>
          </w:tcPr>
          <w:p>
            <w:pPr>
              <w:ind w:left="300"/>
              <w:spacing w:after="0" w:line="196" w:lineRule="exact"/>
              <w:rPr>
                <w:sz w:val="20"/>
                <w:szCs w:val="20"/>
                <w:color w:val="auto"/>
              </w:rPr>
            </w:pPr>
            <w:r>
              <w:rPr>
                <w:rFonts w:ascii="Times New Roman" w:cs="Times New Roman" w:eastAsia="Times New Roman" w:hAnsi="Times New Roman"/>
                <w:sz w:val="18"/>
                <w:szCs w:val="18"/>
                <w:color w:val="0000EE"/>
              </w:rPr>
              <w:t>Consent of Haynes and Boone, LLP (included in Exhibit 5.1)</w:t>
            </w:r>
          </w:p>
        </w:tc>
      </w:tr>
      <w:tr>
        <w:trPr>
          <w:trHeight w:val="20"/>
        </w:trPr>
        <w:tc>
          <w:tcPr>
            <w:tcW w:w="3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0" w:type="dxa"/>
            <w:vAlign w:val="bottom"/>
            <w:gridSpan w:val="2"/>
            <w:shd w:val="clear" w:color="auto" w:fill="0000EE"/>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37"/>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96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bl>
    <w:p>
      <w:pPr>
        <w:spacing w:after="0" w:line="198" w:lineRule="exact"/>
        <w:rPr>
          <w:sz w:val="20"/>
          <w:szCs w:val="20"/>
          <w:color w:val="auto"/>
        </w:rPr>
      </w:pPr>
    </w:p>
    <w:p>
      <w:pPr>
        <w:jc w:val="both"/>
        <w:ind w:firstLine="8"/>
        <w:spacing w:after="0" w:line="261" w:lineRule="auto"/>
        <w:tabs>
          <w:tab w:leader="none" w:pos="1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12529"/>
        </w:rPr>
        <w:t>Certain of the schedules (and similar attachments) to this exhibit have been omitted in accordance with Item 601(a)(5) of Regulation S-K under the Securities Act because they do not contain information material to an investment or voting decision and that information is not otherwise disclosed in the exhibit or the disclosure document. The registrant hereby agrees to furnish a copy of all omitted schedules (or similar attachments)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XWELL, Inc.</w:t>
      </w:r>
    </w:p>
    <w:p>
      <w:pPr>
        <w:spacing w:after="0" w:line="227" w:lineRule="exact"/>
        <w:rPr>
          <w:sz w:val="20"/>
          <w:szCs w:val="20"/>
          <w:color w:val="auto"/>
        </w:rPr>
      </w:pPr>
    </w:p>
    <w:p>
      <w:pPr>
        <w:spacing w:after="0"/>
        <w:tabs>
          <w:tab w:leader="none" w:pos="5620" w:val="left"/>
          <w:tab w:leader="none" w:pos="618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Scott R. Milford</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Scott R. Milford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-119380</wp:posOffset>
            </wp:positionV>
            <wp:extent cx="32061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1"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2108835" cy="2228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08835" cy="222885"/>
                    </a:xfrm>
                    <a:prstGeom prst="rect">
                      <a:avLst/>
                    </a:prstGeom>
                    <a:noFill/>
                  </pic:spPr>
                </pic:pic>
              </a:graphicData>
            </a:graphic>
          </wp:anchor>
        </w:drawing>
        <w:drawing>
          <wp:anchor simplePos="0" relativeHeight="251657728" behindDoc="1" locked="0" layoutInCell="0" allowOverlap="1">
            <wp:simplePos x="0" y="0"/>
            <wp:positionH relativeFrom="column">
              <wp:posOffset>6691630</wp:posOffset>
            </wp:positionH>
            <wp:positionV relativeFrom="paragraph">
              <wp:posOffset>167640</wp:posOffset>
            </wp:positionV>
            <wp:extent cx="420370" cy="402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20370" cy="402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August 7,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XWELL, Inc.</w:t>
      </w:r>
    </w:p>
    <w:p>
      <w:pPr>
        <w:spacing w:after="0" w:line="205" w:lineRule="auto"/>
        <w:rPr>
          <w:sz w:val="20"/>
          <w:szCs w:val="20"/>
          <w:color w:val="auto"/>
        </w:rPr>
      </w:pPr>
      <w:r>
        <w:rPr>
          <w:rFonts w:ascii="Times New Roman" w:cs="Times New Roman" w:eastAsia="Times New Roman" w:hAnsi="Times New Roman"/>
          <w:sz w:val="18"/>
          <w:szCs w:val="18"/>
          <w:color w:val="auto"/>
        </w:rPr>
        <w:t>254 West 31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xml:space="preserve"> Street, 11th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20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8"/>
          <w:szCs w:val="18"/>
          <w:color w:val="auto"/>
        </w:rPr>
        <w:t>XWELL, Inc.</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Registration Statement on Form S-3 (File No. 333-273726)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We have acted as counsel to XWELL, Inc., a Delaware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preparation and filing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xml:space="preserve">”) on the date hereof, pursuant to Rule 424(b) under the Securities Act of 1933, as amended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of the Company’s prospectus supplement, dated August 6, 2024 (the “</w:t>
      </w:r>
      <w:r>
        <w:rPr>
          <w:rFonts w:ascii="Times New Roman" w:cs="Times New Roman" w:eastAsia="Times New Roman" w:hAnsi="Times New Roman"/>
          <w:sz w:val="18"/>
          <w:szCs w:val="18"/>
          <w:b w:val="1"/>
          <w:bCs w:val="1"/>
          <w:i w:val="1"/>
          <w:iCs w:val="1"/>
          <w:color w:val="auto"/>
        </w:rPr>
        <w:t>Prospectus Supplement</w:t>
      </w:r>
      <w:r>
        <w:rPr>
          <w:rFonts w:ascii="Times New Roman" w:cs="Times New Roman" w:eastAsia="Times New Roman" w:hAnsi="Times New Roman"/>
          <w:sz w:val="18"/>
          <w:szCs w:val="18"/>
          <w:color w:val="auto"/>
        </w:rPr>
        <w:t>”), forming part of the registration statement on Form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S-3 (Registration No. 333-273726), initially filed by the Company with the Commission on August 4, 2023, and declared effective on September 29, 2023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We also have acted as counsel to the Company in connection with an offering of 652,705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the Company’s common stock, par value $0.01 per share (the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that may be issued and sold under that certain Securities Purchase Agreement executed by the Company and the signatories thereto, on August 6, 2024 (the “</w:t>
      </w:r>
      <w:r>
        <w:rPr>
          <w:rFonts w:ascii="Times New Roman" w:cs="Times New Roman" w:eastAsia="Times New Roman" w:hAnsi="Times New Roman"/>
          <w:sz w:val="18"/>
          <w:szCs w:val="18"/>
          <w:b w:val="1"/>
          <w:bCs w:val="1"/>
          <w:i w:val="1"/>
          <w:iCs w:val="1"/>
          <w:color w:val="auto"/>
        </w:rPr>
        <w:t>Purchase Agreement</w:t>
      </w:r>
      <w:r>
        <w:rPr>
          <w:rFonts w:ascii="Times New Roman" w:cs="Times New Roman" w:eastAsia="Times New Roman" w:hAnsi="Times New Roman"/>
          <w:sz w:val="18"/>
          <w:szCs w:val="18"/>
          <w:color w:val="auto"/>
        </w:rPr>
        <w:t>”). The Prospectus Supplement relates to the Shares.</w:t>
      </w:r>
    </w:p>
    <w:p>
      <w:pPr>
        <w:spacing w:after="0" w:line="17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rendering the opinion set forth herein, we have examined the originals, or photostatic or certified copies, of (i) the Certificate of Incorporation and Bylaws of the Company, each as amended and/or restated as of the date hereof, (ii) certain resolutions of the Board of Directors of the Company related to the filing of the Registration Statement and the Prospectus Supplement, the authorization and issuance of the Shares and related matters, (iii) the Registration Statement and all exhibits thereto, (iv) the Prospectus Supplement and the base prospectus, dated September 29, 2023, included in the Registration Statement (the “</w:t>
      </w:r>
      <w:r>
        <w:rPr>
          <w:rFonts w:ascii="Times New Roman" w:cs="Times New Roman" w:eastAsia="Times New Roman" w:hAnsi="Times New Roman"/>
          <w:sz w:val="18"/>
          <w:szCs w:val="18"/>
          <w:b w:val="1"/>
          <w:bCs w:val="1"/>
          <w:i w:val="1"/>
          <w:iCs w:val="1"/>
          <w:color w:val="auto"/>
        </w:rPr>
        <w:t>Base Prospectus</w:t>
      </w:r>
      <w:r>
        <w:rPr>
          <w:rFonts w:ascii="Times New Roman" w:cs="Times New Roman" w:eastAsia="Times New Roman" w:hAnsi="Times New Roman"/>
          <w:sz w:val="18"/>
          <w:szCs w:val="18"/>
          <w:color w:val="auto"/>
        </w:rPr>
        <w:t>” and together with the Prospectus Supplement, the “</w:t>
      </w:r>
      <w:r>
        <w:rPr>
          <w:rFonts w:ascii="Times New Roman" w:cs="Times New Roman" w:eastAsia="Times New Roman" w:hAnsi="Times New Roman"/>
          <w:sz w:val="18"/>
          <w:szCs w:val="18"/>
          <w:b w:val="1"/>
          <w:bCs w:val="1"/>
          <w:i w:val="1"/>
          <w:iCs w:val="1"/>
          <w:color w:val="auto"/>
        </w:rPr>
        <w:t>Prospectus</w:t>
      </w:r>
      <w:r>
        <w:rPr>
          <w:rFonts w:ascii="Times New Roman" w:cs="Times New Roman" w:eastAsia="Times New Roman" w:hAnsi="Times New Roman"/>
          <w:sz w:val="18"/>
          <w:szCs w:val="18"/>
          <w:color w:val="auto"/>
        </w:rPr>
        <w:t>”), (v) the Purchase Agreement, (vi) the specimen Common Stock certificate, (vii) a certificate executed by an officer of the Company, dated as of the date hereof, and (viii) such other records, documents and instruments as we deemed relevant and necessary for purposes of the opinion stated herein.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have relied upon such certificates of officers of the Company and of public officials and statements and information furnished by officers of the Company with respect to the accuracy of material factual matters contained therein which were not independently established by us. In such examination we have assumed the genuineness of all signatures, the authenticity of all documents submitted to us as originals, the conformity to original documents of all documents submitted to us as photostatic or certified copies, and the authenticity of the originals of such copies.</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making the foregoing examination we have assumed the genuineness of all signatures, the legal capacity of all natural persons, the authenticity of all documents submitted to us as originals, the conformity to original documents of all documents submitted to us as photostatic or certified copies, and the authenticity of the originals of such copies. As to all questions of fact material to this opinion, where such facts have not been independently established, we have relied, to the extent we have deemed reasonably appropriate, upon representations or certificates of officers of the Company or governmental officials.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Haynes and Boone, LLP</w:t>
            </w: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30 Rockefeller Plaza | 26th Floor | New York, NY 10112</w:t>
            </w:r>
          </w:p>
        </w:tc>
      </w:tr>
      <w:tr>
        <w:trPr>
          <w:trHeight w:val="234"/>
        </w:trPr>
        <w:tc>
          <w:tcPr>
            <w:tcW w:w="2520" w:type="dxa"/>
            <w:vAlign w:val="bottom"/>
            <w:tcBorders>
              <w:right w:val="single" w:sz="8" w:color="auto"/>
            </w:tcBorders>
          </w:tcPr>
          <w:p>
            <w:pPr>
              <w:spacing w:after="0"/>
              <w:rPr>
                <w:sz w:val="20"/>
                <w:szCs w:val="20"/>
                <w:color w:val="auto"/>
              </w:rPr>
            </w:pPr>
          </w:p>
        </w:tc>
        <w:tc>
          <w:tcPr>
            <w:tcW w:w="87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 212.659.7300 | haynesboone.com</w:t>
            </w:r>
          </w:p>
        </w:tc>
      </w:tr>
      <w:tr>
        <w:trPr>
          <w:trHeight w:val="432"/>
        </w:trPr>
        <w:tc>
          <w:tcPr>
            <w:tcW w:w="2520" w:type="dxa"/>
            <w:vAlign w:val="bottom"/>
            <w:tcBorders>
              <w:bottom w:val="single" w:sz="8" w:color="auto"/>
            </w:tcBorders>
          </w:tcPr>
          <w:p>
            <w:pPr>
              <w:spacing w:after="0"/>
              <w:rPr>
                <w:sz w:val="24"/>
                <w:szCs w:val="24"/>
                <w:color w:val="auto"/>
              </w:rPr>
            </w:pPr>
          </w:p>
        </w:tc>
        <w:tc>
          <w:tcPr>
            <w:tcW w:w="8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2108835" cy="2228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108835" cy="222885"/>
                    </a:xfrm>
                    <a:prstGeom prst="rect">
                      <a:avLst/>
                    </a:prstGeom>
                    <a:noFill/>
                  </pic:spPr>
                </pic:pic>
              </a:graphicData>
            </a:graphic>
          </wp:anchor>
        </w:drawing>
        <w:drawing>
          <wp:anchor simplePos="0" relativeHeight="251657728" behindDoc="1" locked="0" layoutInCell="0" allowOverlap="1">
            <wp:simplePos x="0" y="0"/>
            <wp:positionH relativeFrom="page">
              <wp:posOffset>6894830</wp:posOffset>
            </wp:positionH>
            <wp:positionV relativeFrom="page">
              <wp:posOffset>226060</wp:posOffset>
            </wp:positionV>
            <wp:extent cx="420370" cy="402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420370" cy="402590"/>
                    </a:xfrm>
                    <a:prstGeom prst="rect">
                      <a:avLst/>
                    </a:prstGeom>
                    <a:noFill/>
                  </pic:spPr>
                </pic:pic>
              </a:graphicData>
            </a:graphic>
          </wp:anchor>
        </w:drawing>
        <w:t>XWELL,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7,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not considered, and express no opinion herein as to, the laws of any state or jurisdiction other than the General Corporation Law of the State of Delaware, as currently in effect.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assumptions and limitations stated herein, we are of the opinion that upon payment and delivery in accordance with the Purchase Agreement, the Shares will be validly issued, fully paid and nonassessable.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5.1 to the Company’s Current Report on Form 8-K to be filed with the Commission. We further consent to the reference to our firm under the caption “Legal Matters” in the Prospectus constituting a part of the Registration Statement. In giving this consent, we are not admitting that we are within the category of persons whose consent is required under Section 7 of the Act or the rules and regulations of the Commission thereunder. This opinion is given as of the date hereof and we assume no obligation to update or supplement such opinion after the date hereof to reflect any facts or circumstances that may thereafter come to our attention or any changes that may thereafter occur.</w:t>
      </w:r>
    </w:p>
    <w:p>
      <w:pPr>
        <w:spacing w:after="0" w:line="18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6940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694055"/>
                    </a:xfrm>
                    <a:prstGeom prst="rect">
                      <a:avLst/>
                    </a:prstGeom>
                    <a:noFill/>
                  </pic:spPr>
                </pic:pic>
              </a:graphicData>
            </a:graphic>
          </wp:anchor>
        </w:drawing>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Haynes and Boone, LLP</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Haynes and Boone,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2" w:right="339" w:bottom="1440" w:gutter="0" w:footer="0" w:header="0"/>
        </w:sectPr>
      </w:pPr>
    </w:p>
    <w:bookmarkStart w:id="6" w:name="page7"/>
    <w:bookmarkEnd w:id="6"/>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PURCHASE AGREEMENT</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Securities Purchase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August 6, 2024, between XWELL,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each purchaser identified on the signature pages hereto (each, including its successors and assigns, a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Purchasers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subject to the terms and conditions set forth in this Agreement and pursuant to an effective registration statement under the Securities Act (as defined below), the Company desires to issue and sell to each Purchaser, and each Purchaser, severally and not jointly, desires to purchase from the Company, securities of the Company as more fully described in this Agreement.</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mutual covenants contained in this Agreement, and for other good and valuable consideration the receipt and adequacy of which are hereby acknowledged, the Company and each Purchaser agree as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  Definitions</w:t>
      </w:r>
      <w:r>
        <w:rPr>
          <w:rFonts w:ascii="Times New Roman" w:cs="Times New Roman" w:eastAsia="Times New Roman" w:hAnsi="Times New Roman"/>
          <w:sz w:val="18"/>
          <w:szCs w:val="18"/>
          <w:color w:val="auto"/>
        </w:rPr>
        <w:t>. In addition to the terms defined elsewhere in this Agreement, for all purposes of this Agreement, the following terms have the meanings set forth in this Section 1.1:</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shall have the meaning ascribed to such term in Section 4.5.</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have the meaning ascribed to such term in Section 3.1(j).</w:t>
      </w:r>
    </w:p>
    <w:p>
      <w:pPr>
        <w:spacing w:after="0" w:line="225"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any Person that, directly or indirectly through one or more intermediaries, controls or is controlled by or is under common control with a Person as such terms are used in and construed under Rule 405 under the Securities Act.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shall have the meaning ascribed to such term in Section 3.1(mm).</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means the closing of the purchase and sale of the Shares pursuant to Section 2.1.</w:t>
      </w:r>
    </w:p>
    <w:p>
      <w:pPr>
        <w:spacing w:after="0" w:line="225" w:lineRule="exact"/>
        <w:rPr>
          <w:sz w:val="20"/>
          <w:szCs w:val="20"/>
          <w:color w:val="auto"/>
        </w:rPr>
      </w:pPr>
    </w:p>
    <w:p>
      <w:pPr>
        <w:jc w:val="both"/>
        <w:ind w:left="660" w:firstLine="648"/>
        <w:spacing w:after="0" w:line="27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means the Trading Day on which all of the Transaction Documents have been executed and delivered by the applicable parties thereto, and all conditions precedent to (i) the Purchasers’ obligations to pay the Subscription Amount and (ii) the Company’s obligations to deliver the Shares have been satisfied or waived, but in no event later than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hereof.</w:t>
      </w:r>
    </w:p>
    <w:p>
      <w:pPr>
        <w:spacing w:after="0" w:line="4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7" w:name="page8"/>
    <w:bookmarkEnd w:id="7"/>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 par value $0.01 per share, and any other class of securities into which such securities may hereafter be reclassified or changed.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 Equivalents</w:t>
      </w:r>
      <w:r>
        <w:rPr>
          <w:rFonts w:ascii="Times New Roman" w:cs="Times New Roman" w:eastAsia="Times New Roman" w:hAnsi="Times New Roman"/>
          <w:sz w:val="18"/>
          <w:szCs w:val="18"/>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Counsel</w:t>
      </w:r>
      <w:r>
        <w:rPr>
          <w:rFonts w:ascii="Times New Roman" w:cs="Times New Roman" w:eastAsia="Times New Roman" w:hAnsi="Times New Roman"/>
          <w:sz w:val="18"/>
          <w:szCs w:val="18"/>
          <w:color w:val="auto"/>
        </w:rPr>
        <w:t>” means Haynes and Boone, LLP with offices located at 30 Rockefeller Plaza, 26th Floor, New York, NY 10112.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CPC Lawsuit</w:t>
      </w:r>
      <w:r>
        <w:rPr>
          <w:rFonts w:ascii="Times New Roman" w:cs="Times New Roman" w:eastAsia="Times New Roman" w:hAnsi="Times New Roman"/>
          <w:sz w:val="18"/>
          <w:szCs w:val="18"/>
          <w:color w:val="auto"/>
        </w:rPr>
        <w:t>” means the lawsuit initiated by CPC Pain &amp; Wellness SPV, LLC against the incumbent members of the Board of Directors on July 19, 2024.</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Schedules</w:t>
      </w:r>
      <w:r>
        <w:rPr>
          <w:rFonts w:ascii="Times New Roman" w:cs="Times New Roman" w:eastAsia="Times New Roman" w:hAnsi="Times New Roman"/>
          <w:sz w:val="18"/>
          <w:szCs w:val="18"/>
          <w:color w:val="auto"/>
        </w:rPr>
        <w:t>” means the Disclosure Schedules of the Company delivered concurrently therewith.</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Time</w:t>
      </w:r>
      <w:r>
        <w:rPr>
          <w:rFonts w:ascii="Times New Roman" w:cs="Times New Roman" w:eastAsia="Times New Roman" w:hAnsi="Times New Roman"/>
          <w:sz w:val="18"/>
          <w:szCs w:val="18"/>
          <w:color w:val="auto"/>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spacing w:after="0" w:line="1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shall have the meaning ascribed to such term in Section 3.1(s).</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Reserve</w:t>
      </w:r>
      <w:r>
        <w:rPr>
          <w:rFonts w:ascii="Times New Roman" w:cs="Times New Roman" w:eastAsia="Times New Roman" w:hAnsi="Times New Roman"/>
          <w:sz w:val="18"/>
          <w:szCs w:val="18"/>
          <w:color w:val="auto"/>
        </w:rPr>
        <w:t>” shall have the meaning ascribed to such term in Section 3.1(mm).</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shall have the meaning ascribed to such term in Section 3.1(aa).</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have the meaning ascribed to such term in Section 3.1(p).</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means a lien, charge, pledge, security interest, encumbrance, right of first refusal, preemptive right or other restriction.</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shall have the meaning assigned to such term in Section 3.1(b).</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8" w:name="page9"/>
    <w:bookmarkEnd w:id="8"/>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shall have the meaning ascribed to such term in Section 3.1(n).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 Share Purchase Price</w:t>
      </w:r>
      <w:r>
        <w:rPr>
          <w:rFonts w:ascii="Times New Roman" w:cs="Times New Roman" w:eastAsia="Times New Roman" w:hAnsi="Times New Roman"/>
          <w:sz w:val="18"/>
          <w:szCs w:val="18"/>
          <w:color w:val="auto"/>
        </w:rPr>
        <w:t>” equals $2.18, subject to adjustment for reverse and forward stock splits, stock dividends, stock combinations and other similar transactions of the Common Stock that occur after the date of this Agreement and prior to the Closing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means an action, claim, suit, investigation or proceeding (including, without limitation, an informal investigation or partial proceeding, such as a deposition), whether commenced or threatened.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means the base prospectus filed for the Registration Statement, including all information, documents and exhibits filed with or incorporated by reference into such prospectus.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 Supplement</w:t>
      </w:r>
      <w:r>
        <w:rPr>
          <w:rFonts w:ascii="Times New Roman" w:cs="Times New Roman" w:eastAsia="Times New Roman" w:hAnsi="Times New Roman"/>
          <w:sz w:val="18"/>
          <w:szCs w:val="18"/>
          <w:color w:val="auto"/>
        </w:rPr>
        <w:t>” means the supplement to the Prospectus complying with Rule 424(b) of the Securities Act, including all information, documents and exhibits filed with or incorporated by reference into such prospectus supplement, that is filed with the Commission and delivered by the Company to each Purchaser at the Closing.</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shall have the meaning ascribed to such term in Section 4.8.</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means the effective registration statement on Form S-3 (File No. 333-273726) filed with the Commission, including all information, documents and exhibits filed with or incorporated by reference into such registration statement, which registers the issuance and sale of the Shares to the Purchasers.</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Approvals</w:t>
      </w:r>
      <w:r>
        <w:rPr>
          <w:rFonts w:ascii="Times New Roman" w:cs="Times New Roman" w:eastAsia="Times New Roman" w:hAnsi="Times New Roman"/>
          <w:sz w:val="18"/>
          <w:szCs w:val="18"/>
          <w:color w:val="auto"/>
        </w:rPr>
        <w:t>” shall have the meaning ascribed to such term in Section 3.1(c).</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424</w:t>
      </w:r>
      <w:r>
        <w:rPr>
          <w:rFonts w:ascii="Times New Roman" w:cs="Times New Roman" w:eastAsia="Times New Roman" w:hAnsi="Times New Roman"/>
          <w:sz w:val="18"/>
          <w:szCs w:val="18"/>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shall have the meaning ascribed to such term in Section 3.1(h).</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promulgated thereunder.</w:t>
      </w:r>
    </w:p>
    <w:p>
      <w:pPr>
        <w:spacing w:after="0" w:line="200" w:lineRule="exact"/>
        <w:rPr>
          <w:sz w:val="20"/>
          <w:szCs w:val="20"/>
          <w:color w:val="auto"/>
        </w:rPr>
      </w:pPr>
    </w:p>
    <w:p>
      <w:pPr>
        <w:spacing w:after="0" w:line="24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9" w:name="page10"/>
    <w:bookmarkEnd w:id="9"/>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means the shares of Common Stock issued or issuable to each Purchaser pursuant to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Sales</w:t>
      </w:r>
      <w:r>
        <w:rPr>
          <w:rFonts w:ascii="Times New Roman" w:cs="Times New Roman" w:eastAsia="Times New Roman" w:hAnsi="Times New Roman"/>
          <w:sz w:val="18"/>
          <w:szCs w:val="18"/>
          <w:color w:val="auto"/>
        </w:rPr>
        <w:t>” means all “short sales” as defined in Rule 200 of Regulation SHO under the Exchange Act (but shall not be deemed to include locating and/or borrowing shares of Common Stock).</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Subscription Amount</w:t>
      </w:r>
      <w:r>
        <w:rPr>
          <w:rFonts w:ascii="Times New Roman" w:cs="Times New Roman" w:eastAsia="Times New Roman" w:hAnsi="Times New Roman"/>
          <w:sz w:val="18"/>
          <w:szCs w:val="18"/>
          <w:color w:val="auto"/>
        </w:rPr>
        <w:t>” means, as to each Purchaser, the aggregate amount to be paid for the Shares purchased hereunder as specified below such Purchaser’s name on the signature page of this Agreement and next to the heading “Subscription Amount,” in United States dollars and in immediately available funds.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any subsidiary of the Company as set forth in the SEC Reports, and shall, where applicable, also include any direct or indirect subsidiary of the Company formed or acquired after the date hereof.</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Day</w:t>
      </w:r>
      <w:r>
        <w:rPr>
          <w:rFonts w:ascii="Times New Roman" w:cs="Times New Roman" w:eastAsia="Times New Roman" w:hAnsi="Times New Roman"/>
          <w:sz w:val="18"/>
          <w:szCs w:val="18"/>
          <w:color w:val="auto"/>
        </w:rPr>
        <w:t>” means a day on which the principal Trading Market is open for trading.</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Market</w:t>
      </w:r>
      <w:r>
        <w:rPr>
          <w:rFonts w:ascii="Times New Roman" w:cs="Times New Roman" w:eastAsia="Times New Roman" w:hAnsi="Times New Roman"/>
          <w:sz w:val="18"/>
          <w:szCs w:val="18"/>
          <w:color w:val="auto"/>
        </w:rPr>
        <w:t>” means any of the following markets or exchanges on which the Common Stock is listed or quoted for trading on the date in question: the NYSE American, the Nasdaq Capital Market, the Nasdaq Global Market, the Nasdaq Global Select Market or the New York Stock Exchange (or any successors to any of the foregoing).</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this Agreement, all exhibits and schedules thereto and hereto and any other documents or agreements executed in connection with the transactions contemplated hereunder.</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Agent</w:t>
      </w:r>
      <w:r>
        <w:rPr>
          <w:rFonts w:ascii="Times New Roman" w:cs="Times New Roman" w:eastAsia="Times New Roman" w:hAnsi="Times New Roman"/>
          <w:sz w:val="18"/>
          <w:szCs w:val="18"/>
          <w:color w:val="auto"/>
        </w:rPr>
        <w:t>” means Equiniti Trust Company, LLC, the current transfer agent of the Company, with a mailing address of with offices at 6201 15th Avenue, Brooklyn, New York 11219, and any successor transfer agent of the Company.</w:t>
      </w:r>
    </w:p>
    <w:p>
      <w:pPr>
        <w:spacing w:after="0" w:line="378"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PURCHASE AND SALE</w:t>
      </w:r>
    </w:p>
    <w:p>
      <w:pPr>
        <w:spacing w:after="0" w:line="20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u w:val="single" w:color="auto"/>
          <w:color w:val="auto"/>
        </w:rPr>
        <w:t>  Closing</w:t>
      </w:r>
      <w:r>
        <w:rPr>
          <w:rFonts w:ascii="Times New Roman" w:cs="Times New Roman" w:eastAsia="Times New Roman" w:hAnsi="Times New Roman"/>
          <w:sz w:val="18"/>
          <w:szCs w:val="18"/>
          <w:color w:val="auto"/>
        </w:rPr>
        <w:t>. On the Closing Date, upon the terms and subject to the conditions set forth herein, the Company agrees to sell, and the Purchasers, severally and not jointly, agree to purchase an aggregate of $1,422,896.90 of Shares. Each Purchaser’s Subscription Amount as set forth on the signature page hereto executed by such Purchaser shall be made available for “Delivery Versus Payment” (“</w:t>
      </w:r>
      <w:r>
        <w:rPr>
          <w:rFonts w:ascii="Times New Roman" w:cs="Times New Roman" w:eastAsia="Times New Roman" w:hAnsi="Times New Roman"/>
          <w:sz w:val="18"/>
          <w:szCs w:val="18"/>
          <w:u w:val="single" w:color="auto"/>
          <w:color w:val="auto"/>
        </w:rPr>
        <w:t>DVP</w:t>
      </w:r>
      <w:r>
        <w:rPr>
          <w:rFonts w:ascii="Times New Roman" w:cs="Times New Roman" w:eastAsia="Times New Roman" w:hAnsi="Times New Roman"/>
          <w:sz w:val="18"/>
          <w:szCs w:val="18"/>
          <w:color w:val="auto"/>
        </w:rPr>
        <w:t>”) settlement with the Company or its designee. The Company shall deliver to each Purchaser its respective Shares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transmission of the Closing documentation. Settlement of the Shares shall occur via DVP (i.e., on the Closing Date, the Company shall issue the Shares registered in the Purchasers’ names and addresses and released by the Transfer Agent directly to the account(s) identified by each Purchaser. Notwithstanding anything herein to the contrary, if at any time on or after the time of execution of this Agreement by the Company and an applicable Purchaser, through, and including the time immediately prior to the Closing (the “</w:t>
      </w:r>
      <w:r>
        <w:rPr>
          <w:rFonts w:ascii="Times New Roman" w:cs="Times New Roman" w:eastAsia="Times New Roman" w:hAnsi="Times New Roman"/>
          <w:sz w:val="18"/>
          <w:szCs w:val="18"/>
          <w:u w:val="single" w:color="auto"/>
          <w:color w:val="auto"/>
        </w:rPr>
        <w:t>Pre-Settlement Period</w:t>
      </w:r>
      <w:r>
        <w:rPr>
          <w:rFonts w:ascii="Times New Roman" w:cs="Times New Roman" w:eastAsia="Times New Roman" w:hAnsi="Times New Roman"/>
          <w:sz w:val="18"/>
          <w:szCs w:val="18"/>
          <w:color w:val="auto"/>
        </w:rPr>
        <w:t>”), such Purchaser sells to any Person all, or any portion, of the Shares to be issued hereunder to such Purchaser at the Closing (collectively, the “</w:t>
      </w:r>
      <w:r>
        <w:rPr>
          <w:rFonts w:ascii="Times New Roman" w:cs="Times New Roman" w:eastAsia="Times New Roman" w:hAnsi="Times New Roman"/>
          <w:sz w:val="18"/>
          <w:szCs w:val="18"/>
          <w:u w:val="single" w:color="auto"/>
          <w:color w:val="auto"/>
        </w:rPr>
        <w:t>Pre-Settlement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such Purchaser shall, automatically hereunder (without any additional required actions by such Purchaser or the Company), be deemed to be unconditionally bound to purchase, and the Company shall be deemed unconditionally bound to sell, such Pre-Settlement Shares to such Purchaser at the Closing; provided, that the Company shall not be required to deliver any Pre-Settlement Shares to such Purchaser prior to the Company’s receipt of the purchase price of such Pre-Settlement Shares hereunder; and provided further that the Company hereby acknowledges and agrees that the forgoing shall not constitute a representation or covenant by such Purchaser as to whether or not during the Pre-Settlement Period such Purchaser shall sell any shares of Common Stock to any Person and that any such decision to sell any shares of Common Stock by such Purchaser shall solely be made at the time such Purchaser elects to effect any such sale, if any.</w:t>
      </w:r>
    </w:p>
    <w:p>
      <w:pPr>
        <w:spacing w:after="0" w:line="19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u w:val="single" w:color="auto"/>
          <w:color w:val="auto"/>
        </w:rPr>
        <w:t>  Deliveries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On or prior to the Closing Date, the Company shall deliver or cause to be delivered to each Purchaser the following: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this Agreement duly executed by the Company;</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a legal opinion of Company Counsel, directed to the Purchasers, in form and substance reasonably acceptable to the Purchasers;</w:t>
      </w:r>
    </w:p>
    <w:p>
      <w:pPr>
        <w:spacing w:after="0" w:line="162" w:lineRule="exact"/>
        <w:rPr>
          <w:sz w:val="20"/>
          <w:szCs w:val="20"/>
          <w:color w:val="auto"/>
        </w:rPr>
      </w:pPr>
    </w:p>
    <w:p>
      <w:pPr>
        <w:jc w:val="both"/>
        <w:ind w:left="1300" w:right="20" w:firstLine="648"/>
        <w:spacing w:after="0" w:line="282" w:lineRule="auto"/>
        <w:rPr>
          <w:sz w:val="20"/>
          <w:szCs w:val="20"/>
          <w:color w:val="auto"/>
        </w:rPr>
      </w:pPr>
      <w:r>
        <w:rPr>
          <w:rFonts w:ascii="Times New Roman" w:cs="Times New Roman" w:eastAsia="Times New Roman" w:hAnsi="Times New Roman"/>
          <w:sz w:val="18"/>
          <w:szCs w:val="18"/>
          <w:color w:val="auto"/>
        </w:rPr>
        <w:t>(iii)          the Company shall have provided each Purchaser with the Company’s wire instructions, on Company letterhead and executed by the Chief Executive Officer or Chief Financial Officer;</w:t>
      </w:r>
    </w:p>
    <w:p>
      <w:pPr>
        <w:spacing w:after="0" w:line="162" w:lineRule="exact"/>
        <w:rPr>
          <w:sz w:val="20"/>
          <w:szCs w:val="20"/>
          <w:color w:val="auto"/>
        </w:rPr>
      </w:pPr>
    </w:p>
    <w:p>
      <w:pPr>
        <w:jc w:val="both"/>
        <w:ind w:left="1300" w:firstLine="648"/>
        <w:spacing w:after="0" w:line="266" w:lineRule="auto"/>
        <w:rPr>
          <w:sz w:val="20"/>
          <w:szCs w:val="20"/>
          <w:color w:val="auto"/>
        </w:rPr>
      </w:pPr>
      <w:r>
        <w:rPr>
          <w:rFonts w:ascii="Times New Roman" w:cs="Times New Roman" w:eastAsia="Times New Roman" w:hAnsi="Times New Roman"/>
          <w:sz w:val="18"/>
          <w:szCs w:val="18"/>
          <w:color w:val="auto"/>
        </w:rPr>
        <w:t>(iv)          subject to Section 2.1, a copy of the irrevocable instructions to the Transfer Agent instructing the Transfer Agent to deliver on an expedited basis via The Depository Trust Company Deposit or Withdrawal at Custodian system (“</w:t>
      </w:r>
      <w:r>
        <w:rPr>
          <w:rFonts w:ascii="Times New Roman" w:cs="Times New Roman" w:eastAsia="Times New Roman" w:hAnsi="Times New Roman"/>
          <w:sz w:val="18"/>
          <w:szCs w:val="18"/>
          <w:u w:val="single" w:color="auto"/>
          <w:color w:val="auto"/>
        </w:rPr>
        <w:t>DWAC</w:t>
      </w:r>
      <w:r>
        <w:rPr>
          <w:rFonts w:ascii="Times New Roman" w:cs="Times New Roman" w:eastAsia="Times New Roman" w:hAnsi="Times New Roman"/>
          <w:sz w:val="18"/>
          <w:szCs w:val="18"/>
          <w:color w:val="auto"/>
        </w:rPr>
        <w:t>”) Shares equal to such Purchaser’s Subscription Amount divided by the Per Share Purchase Price, registered in the name of such Purchaser; and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            the Prospectus and Prospectus Supplement (which may be delivered in accordance with Rule 172 under the Securities</w:t>
      </w:r>
    </w:p>
    <w:p>
      <w:pPr>
        <w:spacing w:after="0" w:line="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Act).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On or prior to the Closing Date, each Purchaser shall deliver or cause to be delivered to the Company the following:</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this Agreement duly executed by such Purchaser; and</w:t>
      </w:r>
    </w:p>
    <w:p>
      <w:pPr>
        <w:spacing w:after="0" w:line="225" w:lineRule="exact"/>
        <w:rPr>
          <w:sz w:val="20"/>
          <w:szCs w:val="20"/>
          <w:color w:val="auto"/>
        </w:rPr>
      </w:pPr>
    </w:p>
    <w:p>
      <w:pPr>
        <w:jc w:val="both"/>
        <w:ind w:left="1300" w:firstLine="648"/>
        <w:spacing w:after="0" w:line="282" w:lineRule="auto"/>
        <w:rPr>
          <w:sz w:val="20"/>
          <w:szCs w:val="20"/>
          <w:color w:val="auto"/>
        </w:rPr>
      </w:pPr>
      <w:r>
        <w:rPr>
          <w:rFonts w:ascii="Times New Roman" w:cs="Times New Roman" w:eastAsia="Times New Roman" w:hAnsi="Times New Roman"/>
          <w:sz w:val="18"/>
          <w:szCs w:val="18"/>
          <w:color w:val="auto"/>
        </w:rPr>
        <w:t>(ii)           such Purchaser’s Subscription Amount, which shall be made available for DVP settlement with the Company or its designee.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u w:val="single" w:color="auto"/>
          <w:color w:val="auto"/>
        </w:rPr>
        <w:t>  Closing Conditions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(a)            The obligations of the Company hereunder in connection with the Closing are subject to the following conditions being met:</w:t>
      </w:r>
    </w:p>
    <w:p>
      <w:pPr>
        <w:spacing w:after="0" w:line="225" w:lineRule="exact"/>
        <w:rPr>
          <w:sz w:val="20"/>
          <w:szCs w:val="20"/>
          <w:color w:val="auto"/>
        </w:rPr>
      </w:pPr>
    </w:p>
    <w:p>
      <w:pPr>
        <w:jc w:val="both"/>
        <w:ind w:left="640" w:firstLine="648"/>
        <w:spacing w:after="0" w:line="281" w:lineRule="auto"/>
        <w:rPr>
          <w:sz w:val="20"/>
          <w:szCs w:val="20"/>
          <w:color w:val="auto"/>
        </w:rPr>
      </w:pPr>
      <w:r>
        <w:rPr>
          <w:rFonts w:ascii="Times New Roman" w:cs="Times New Roman" w:eastAsia="Times New Roman" w:hAnsi="Times New Roman"/>
          <w:sz w:val="17"/>
          <w:szCs w:val="17"/>
          <w:color w:val="auto"/>
        </w:rPr>
        <w:t>(i)            the accuracy in all material respects (or, to the extent representations or warranties are qualified by materiality or Material Adverse Effect, in all respects) when made and on the Closing Date of the representations and warranties of the Purchasers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164"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           all obligations, covenants and agreements of each Purchaser required to be performed at or prior to the Closing Date shall have been performed; and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delivery by each Purchaser of the items set forth in Section 2.2(b) of this Agreement.</w:t>
      </w:r>
    </w:p>
    <w:p>
      <w:pPr>
        <w:spacing w:after="0" w:line="22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(b)            The respective obligations of the Purchasers hereunder in connection with the Closing are subject to the following conditions being</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met:</w:t>
      </w:r>
    </w:p>
    <w:p>
      <w:pPr>
        <w:spacing w:after="0" w:line="207" w:lineRule="exact"/>
        <w:rPr>
          <w:sz w:val="20"/>
          <w:szCs w:val="20"/>
          <w:color w:val="auto"/>
        </w:rPr>
      </w:pPr>
    </w:p>
    <w:p>
      <w:pPr>
        <w:jc w:val="both"/>
        <w:ind w:left="640" w:firstLine="648"/>
        <w:spacing w:after="0" w:line="281" w:lineRule="auto"/>
        <w:rPr>
          <w:sz w:val="20"/>
          <w:szCs w:val="20"/>
          <w:color w:val="auto"/>
        </w:rPr>
      </w:pPr>
      <w:r>
        <w:rPr>
          <w:rFonts w:ascii="Times New Roman" w:cs="Times New Roman" w:eastAsia="Times New Roman" w:hAnsi="Times New Roman"/>
          <w:sz w:val="17"/>
          <w:szCs w:val="17"/>
          <w:color w:val="auto"/>
        </w:rPr>
        <w:t>(i)            the accuracy in all material respects (or, to the extent representations or warranties are qualified by materiality or Material Adverse Effect, in all respects) when made and on the Closing Date of the representations and warranties of the Company contained herein (unless such representation or warranty is as of a specific date therein in which case they shall be accurate in all material respects (or, to the extent representations or warranties are qualified by materiality or Material Adverse Effect, in all respects) as of such date);</w:t>
      </w:r>
    </w:p>
    <w:p>
      <w:pPr>
        <w:spacing w:after="0" w:line="164" w:lineRule="exact"/>
        <w:rPr>
          <w:sz w:val="20"/>
          <w:szCs w:val="20"/>
          <w:color w:val="auto"/>
        </w:rPr>
      </w:pPr>
    </w:p>
    <w:p>
      <w:pPr>
        <w:jc w:val="both"/>
        <w:ind w:left="640" w:firstLine="648"/>
        <w:spacing w:after="0" w:line="282" w:lineRule="auto"/>
        <w:rPr>
          <w:sz w:val="20"/>
          <w:szCs w:val="20"/>
          <w:color w:val="auto"/>
        </w:rPr>
      </w:pPr>
      <w:r>
        <w:rPr>
          <w:rFonts w:ascii="Times New Roman" w:cs="Times New Roman" w:eastAsia="Times New Roman" w:hAnsi="Times New Roman"/>
          <w:sz w:val="18"/>
          <w:szCs w:val="18"/>
          <w:color w:val="auto"/>
        </w:rPr>
        <w:t>(ii)           all obligations, covenants and agreements of the Company required to be performed at or prior to the Closing Date shall have been performed;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(iii)          the delivery by the Company of the items set forth in Section 2.2(a) of this Agreement;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(iv)          there shall have been no Material Adverse Effect with respect to the Company since the date hereof; and</w:t>
      </w:r>
    </w:p>
    <w:p>
      <w:pPr>
        <w:spacing w:after="0" w:line="225" w:lineRule="exact"/>
        <w:rPr>
          <w:sz w:val="20"/>
          <w:szCs w:val="20"/>
          <w:color w:val="auto"/>
        </w:rPr>
      </w:pPr>
    </w:p>
    <w:p>
      <w:pPr>
        <w:jc w:val="both"/>
        <w:ind w:left="640" w:firstLine="648"/>
        <w:spacing w:after="0" w:line="255" w:lineRule="auto"/>
        <w:rPr>
          <w:sz w:val="20"/>
          <w:szCs w:val="20"/>
          <w:color w:val="auto"/>
        </w:rPr>
      </w:pPr>
      <w:r>
        <w:rPr>
          <w:rFonts w:ascii="Times New Roman" w:cs="Times New Roman" w:eastAsia="Times New Roman" w:hAnsi="Times New Roman"/>
          <w:sz w:val="18"/>
          <w:szCs w:val="18"/>
          <w:color w:val="auto"/>
        </w:rPr>
        <w:t>(v)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Shares at the Closing.</w:t>
      </w:r>
    </w:p>
    <w:p>
      <w:pPr>
        <w:spacing w:after="0" w:line="200" w:lineRule="exact"/>
        <w:rPr>
          <w:sz w:val="20"/>
          <w:szCs w:val="20"/>
          <w:color w:val="auto"/>
        </w:rPr>
      </w:pPr>
    </w:p>
    <w:p>
      <w:pPr>
        <w:spacing w:after="0" w:line="2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REPRESENTATIONS AND WARRANTIES</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3.1          </w:t>
      </w:r>
      <w:r>
        <w:rPr>
          <w:rFonts w:ascii="Times New Roman" w:cs="Times New Roman" w:eastAsia="Times New Roman" w:hAnsi="Times New Roman"/>
          <w:sz w:val="18"/>
          <w:szCs w:val="18"/>
          <w:u w:val="single" w:color="auto"/>
          <w:color w:val="auto"/>
        </w:rPr>
        <w:t>  Representations and Warranties of the Company</w:t>
      </w:r>
      <w:r>
        <w:rPr>
          <w:rFonts w:ascii="Times New Roman" w:cs="Times New Roman" w:eastAsia="Times New Roman" w:hAnsi="Times New Roman"/>
          <w:sz w:val="18"/>
          <w:szCs w:val="18"/>
          <w:color w:val="auto"/>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spacing w:after="0" w:line="176" w:lineRule="exact"/>
        <w:rPr>
          <w:sz w:val="20"/>
          <w:szCs w:val="20"/>
          <w:color w:val="auto"/>
        </w:rPr>
      </w:pPr>
    </w:p>
    <w:p>
      <w:pPr>
        <w:jc w:val="both"/>
        <w:ind w:left="660" w:firstLine="648"/>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Subsidiaries</w:t>
      </w:r>
      <w:r>
        <w:rPr>
          <w:rFonts w:ascii="Times New Roman" w:cs="Times New Roman" w:eastAsia="Times New Roman" w:hAnsi="Times New Roman"/>
          <w:sz w:val="18"/>
          <w:szCs w:val="18"/>
          <w:color w:val="auto"/>
        </w:rPr>
        <w:t>. All of the direct and indirect Subsidiaries of the Company are set forth in the SEC Reports. The Company owns, directly or indirectly, all of the capital stock or other equity interests of each Subsidiary free and clear of any Liens, and all of the issued and outstanding shares of capital stock or equity interests, as applicable, of each Subsidiary are validly issued and are fully paid, non-assessable and free of preemptive and similar rights to subscribe for or purchase securities. Except as set forth in the SEC Reports, there are no outstanding options, warrants, scrips or rights to subscribe to, calls or commitments whatsoever relating to, or securities, rights or obligations convertible into or exercisable or exchangeable for, or giving any Person any right to subscribe for or acquire, any capital stock or equity interest, as applicable, of any Subsidiary, or contracts, commitments, understandings, or arrangements by which any Subsidiary is or may become bound to issue capital stock or equity interests, applicable.</w:t>
      </w:r>
    </w:p>
    <w:p>
      <w:pPr>
        <w:spacing w:after="0" w:line="192"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(i) a material adverse effect on the legality, validity or enforceability of any Transaction Document, (ii) a material adverse effect on the results of business, general affairs, stockholders equity, operations, assets, business, properties,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and no Proceeding has been instituted in any such jurisdiction revoking, limiting or curtailing or seeking to revoke, limit or curtail such power and authority or qualification.</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Authorization; Enforcement</w:t>
      </w:r>
      <w:r>
        <w:rPr>
          <w:rFonts w:ascii="Times New Roman" w:cs="Times New Roman" w:eastAsia="Times New Roman" w:hAnsi="Times New Roman"/>
          <w:sz w:val="18"/>
          <w:szCs w:val="18"/>
          <w:color w:val="auto"/>
        </w:rPr>
        <w:t>.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192" w:lineRule="exact"/>
        <w:rPr>
          <w:sz w:val="20"/>
          <w:szCs w:val="20"/>
          <w:color w:val="auto"/>
        </w:rPr>
      </w:pPr>
    </w:p>
    <w:p>
      <w:pPr>
        <w:jc w:val="both"/>
        <w:ind w:left="4" w:firstLine="648"/>
        <w:spacing w:after="0" w:line="268" w:lineRule="auto"/>
        <w:rPr>
          <w:sz w:val="20"/>
          <w:szCs w:val="20"/>
          <w:color w:val="auto"/>
        </w:rPr>
      </w:pPr>
      <w:r>
        <w:rPr>
          <w:rFonts w:ascii="Times New Roman" w:cs="Times New Roman" w:eastAsia="Times New Roman" w:hAnsi="Times New Roman"/>
          <w:sz w:val="17"/>
          <w:szCs w:val="17"/>
          <w:color w:val="auto"/>
        </w:rPr>
        <w:t>(d)          </w:t>
      </w:r>
      <w:r>
        <w:rPr>
          <w:rFonts w:ascii="Times New Roman" w:cs="Times New Roman" w:eastAsia="Times New Roman" w:hAnsi="Times New Roman"/>
          <w:sz w:val="17"/>
          <w:szCs w:val="17"/>
          <w:u w:val="single" w:color="auto"/>
          <w:color w:val="auto"/>
        </w:rPr>
        <w:t>  No Conflicts</w:t>
      </w:r>
      <w:r>
        <w:rPr>
          <w:rFonts w:ascii="Times New Roman" w:cs="Times New Roman" w:eastAsia="Times New Roman" w:hAnsi="Times New Roman"/>
          <w:sz w:val="17"/>
          <w:szCs w:val="17"/>
          <w:color w:val="auto"/>
        </w:rPr>
        <w:t>. The execution, delivery and performance by the Company of this Agreement and the other Transaction Documents to which it is a party, the issuance and sale of the Shares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w:t>
      </w:r>
    </w:p>
    <w:p>
      <w:pPr>
        <w:jc w:val="both"/>
        <w:ind w:left="4" w:hanging="4"/>
        <w:spacing w:after="0" w:line="250" w:lineRule="auto"/>
        <w:tabs>
          <w:tab w:leader="none" w:pos="33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w:t>
      </w:r>
    </w:p>
    <w:p>
      <w:pPr>
        <w:spacing w:after="0" w:line="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(iii), such as could not, individually or in the aggregate, have or reasonably be expected to result in a Material Adverse Effect.</w:t>
      </w:r>
    </w:p>
    <w:p>
      <w:pPr>
        <w:spacing w:after="0" w:line="207"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Filings, Consents and Approvals</w:t>
      </w:r>
      <w:r>
        <w:rPr>
          <w:rFonts w:ascii="Times New Roman" w:cs="Times New Roman" w:eastAsia="Times New Roman" w:hAnsi="Times New Roman"/>
          <w:sz w:val="18"/>
          <w:szCs w:val="18"/>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4.4 of this Agreement, (ii) the filing with the Commission of the Prospectus Supplement, (iii) the notice and/or application(s) to each applicable Trading Market for the issuance and sale of the Shares and the listing of the Shares for trading thereon in the time and manner required thereby, and (iv) such filings as are required to be made under applicable state securities laws (collectively, the “</w:t>
      </w:r>
      <w:r>
        <w:rPr>
          <w:rFonts w:ascii="Times New Roman" w:cs="Times New Roman" w:eastAsia="Times New Roman" w:hAnsi="Times New Roman"/>
          <w:sz w:val="18"/>
          <w:szCs w:val="18"/>
          <w:u w:val="single" w:color="auto"/>
          <w:color w:val="auto"/>
        </w:rPr>
        <w:t>Required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Approvals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924"/>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4" w:name="page15"/>
    <w:bookmarkEnd w:id="1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u w:val="single" w:color="auto"/>
          <w:color w:val="auto"/>
        </w:rPr>
        <w:t>Issuance of the Shares; Registration</w:t>
      </w:r>
      <w:r>
        <w:rPr>
          <w:rFonts w:ascii="Times New Roman" w:cs="Times New Roman" w:eastAsia="Times New Roman" w:hAnsi="Times New Roman"/>
          <w:sz w:val="18"/>
          <w:szCs w:val="18"/>
          <w:color w:val="auto"/>
        </w:rPr>
        <w:t>. The Shares are duly authorized and, when issued and paid for in accordance with the applicable Transaction Documents, will be duly and validly issued, fully paid and nonassessable, free and clear of all Liens imposed by the Company. The Company has reserved from its duly authorized capital stock the maximum number of shares of Common Stock issuable pursuant to this Agreement. The Company has prepared and filed the Registration Statement in conformity with the requirements of the Securities Act, which became effective on September 29, 2023, including the Prospectus, and such amendments and supplements thereto as may have been required to the date of this Agreement. The Registration Statement is effective under the Securities Act and no stop order preventing or suspending the effectiveness of the Registration Statement or suspending or preventing the use of the Prospectus has been issued by the Commission and no proceedings for that purpose have been instituted or, to the knowledge of the Company, are threatened by the Commission. The Company, if required by the rules and regulations of the Commission, shall file the Prospectus Supplement with the Commission pursuant to Rule 424(b). At the time the Registration Statement and any amendments thereto became effective, at the date of this Agreement and at the Closing Date, the Registration Statement and any amendments thereto conformed and will conform in all material respects to the requirements of the Securities Act and did not and will not contain any untrue statement of a material fact or omit to state any material fact required to be stated therein or necessary to make the statements therein not misleading; and the Prospectus and any amendments or supplements thereto, at the time the Prospectus or any amendment or supplement thereto was issued and at the Closing Date, conformed and will conform in all material respects to the requirements of the Securities Act and did not and will not contain an untrue statement of a material fact or omit to state a material fact necessary in order to make the statements therein, in the light of the circumstances under which they were made, not misleading. The Company was at the time of the filing of the Registration Statement eligible to use Form S-3. The Company is eligible to use Form S-3 under the Securities Act and it meets the transaction requirements with respect to the aggregate market value of securities being sold pursuant to this offering and during the twelve (12) calendar months prior to this offering, as set forth in General Instruction I.B.6 of Form S-3.</w:t>
      </w:r>
    </w:p>
    <w:p>
      <w:pPr>
        <w:spacing w:after="0" w:line="200" w:lineRule="exact"/>
        <w:rPr>
          <w:sz w:val="20"/>
          <w:szCs w:val="20"/>
          <w:color w:val="auto"/>
        </w:rPr>
      </w:pPr>
    </w:p>
    <w:p>
      <w:pPr>
        <w:spacing w:after="0" w:line="2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5" w:name="page16"/>
    <w:bookmarkEnd w:id="15"/>
    <w:p>
      <w:pPr>
        <w:jc w:val="both"/>
        <w:ind w:left="4" w:firstLine="648"/>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Capitalization</w:t>
      </w:r>
      <w:r>
        <w:rPr>
          <w:rFonts w:ascii="Times New Roman" w:cs="Times New Roman" w:eastAsia="Times New Roman" w:hAnsi="Times New Roman"/>
          <w:sz w:val="18"/>
          <w:szCs w:val="18"/>
          <w:color w:val="auto"/>
        </w:rPr>
        <w:t>. The capitalization of the Company as of the date hereof is as set forth in the Schedule 3.1(g)(i) of the Disclosure Schedules, including the number of shares of Common Stock owned beneficially, and of record, by Affiliates of the Company as of the date hereof. Except as set forth in the Schedule 3.1(g)(ii) of the Disclosure Schedules,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No Person has any right of first refusal, preemptive right, right of participation, or any similar right to participate in the transactions contemplated by the Transaction Documents. Except as a result of the purchase and sale of the Shares and as set forth in the Section 3.1(g)(iii) of the Disclosure Schedules,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Shares will not obligate the Company or any Subsidiary to issue shares of Common Stock or other securities to any Person (other than the Purchasers). 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Shares.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205" w:lineRule="exact"/>
        <w:rPr>
          <w:sz w:val="20"/>
          <w:szCs w:val="20"/>
          <w:color w:val="auto"/>
        </w:rPr>
      </w:pPr>
    </w:p>
    <w:p>
      <w:pPr>
        <w:jc w:val="both"/>
        <w:ind w:left="4" w:firstLine="648"/>
        <w:spacing w:after="0" w:line="276" w:lineRule="auto"/>
        <w:rPr>
          <w:sz w:val="20"/>
          <w:szCs w:val="20"/>
          <w:color w:val="auto"/>
        </w:rPr>
      </w:pPr>
      <w:r>
        <w:rPr>
          <w:rFonts w:ascii="Times New Roman" w:cs="Times New Roman" w:eastAsia="Times New Roman" w:hAnsi="Times New Roman"/>
          <w:sz w:val="17"/>
          <w:szCs w:val="17"/>
          <w:color w:val="auto"/>
        </w:rPr>
        <w:t>(h)          </w:t>
      </w:r>
      <w:r>
        <w:rPr>
          <w:rFonts w:ascii="Times New Roman" w:cs="Times New Roman" w:eastAsia="Times New Roman" w:hAnsi="Times New Roman"/>
          <w:sz w:val="17"/>
          <w:szCs w:val="17"/>
          <w:u w:val="single" w:color="auto"/>
          <w:color w:val="auto"/>
        </w:rPr>
        <w:t>  SEC Reports; Financial Statements</w:t>
      </w:r>
      <w:r>
        <w:rPr>
          <w:rFonts w:ascii="Times New Roman" w:cs="Times New Roman" w:eastAsia="Times New Roman" w:hAnsi="Times New Roman"/>
          <w:sz w:val="17"/>
          <w:szCs w:val="17"/>
          <w:color w:val="auto"/>
        </w:rPr>
        <w:t>. The Company has filed all reports, schedules, forms, statements and other documents required to be filed by the Company under the Securities Act and the Exchange Act, including pursuant to Section 13(a) or 15(d) thereof, for the two</w:t>
      </w:r>
    </w:p>
    <w:p>
      <w:pPr>
        <w:spacing w:after="0" w:line="1" w:lineRule="exact"/>
        <w:rPr>
          <w:sz w:val="20"/>
          <w:szCs w:val="20"/>
          <w:color w:val="auto"/>
        </w:rPr>
      </w:pPr>
    </w:p>
    <w:p>
      <w:pPr>
        <w:jc w:val="both"/>
        <w:ind w:left="4" w:hanging="4"/>
        <w:spacing w:after="0" w:line="251" w:lineRule="auto"/>
        <w:tabs>
          <w:tab w:leader="none" w:pos="2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preceding the date hereof (or such shorter period as the Company was required by law or regulation to file such material) (the foregoing materials, including the exhibits thereto and documents incorporated by reference therein, together with the Prospectus and the Prospectus Supplement, being collectively referred to herein as the “</w:t>
      </w:r>
      <w:r>
        <w:rPr>
          <w:rFonts w:ascii="Times New Roman" w:cs="Times New Roman" w:eastAsia="Times New Roman" w:hAnsi="Times New Roman"/>
          <w:sz w:val="18"/>
          <w:szCs w:val="18"/>
          <w:u w:val="single" w:color="auto"/>
          <w:color w:val="auto"/>
        </w:rPr>
        <w:t>SEC Reports</w:t>
      </w:r>
      <w:r>
        <w:rPr>
          <w:rFonts w:ascii="Times New Roman" w:cs="Times New Roman" w:eastAsia="Times New Roman" w:hAnsi="Times New Roman"/>
          <w:sz w:val="18"/>
          <w:szCs w:val="18"/>
          <w:color w:val="auto"/>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Company has never been an issuer subject to Rule 144(i) under the Securities Act.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spacing w:after="0" w:line="200" w:lineRule="exact"/>
        <w:rPr>
          <w:sz w:val="20"/>
          <w:szCs w:val="20"/>
          <w:color w:val="auto"/>
        </w:rPr>
      </w:pPr>
    </w:p>
    <w:p>
      <w:pPr>
        <w:spacing w:after="0" w:line="207"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16" w:name="page17"/>
    <w:bookmarkEnd w:id="1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Material Changes; Undisclosed Events, Liabilities or Developments</w:t>
      </w:r>
      <w:r>
        <w:rPr>
          <w:rFonts w:ascii="Times New Roman" w:cs="Times New Roman" w:eastAsia="Times New Roman" w:hAnsi="Times New Roman"/>
          <w:sz w:val="18"/>
          <w:szCs w:val="18"/>
          <w:color w:val="auto"/>
        </w:rPr>
        <w:t>. Since the date of the latest audited financial statements included within the SEC Reports, except as set forth in Section 3.1(i) of the Disclosure Schedules,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equity compensation plans. The Company does not have pending before the Commission any request for confidential treatment of information. Except for the issuance of the Shares contemplated by this Agreement or as set forth in the Section 3.1(i) of the Disclosure Schedules,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one (1) Trading Day prior to the date that this representation is made.</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Except as set forth in the Section 3.1(j) of the Disclosure Schedules and the CPC Lawsuit,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that would not have or reasonably be expected to result in a Material Adverse Effect (federal, state, county, local or foreign) (collectively,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None of the Actions set forth in the Section 3.1(j) of the Disclosure Schedules or the CPC Lawsuit, (i) adversely affects or challenges the legality, validity or enforceability of any of the Transaction Documents or the Shares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200" w:lineRule="exact"/>
        <w:rPr>
          <w:sz w:val="20"/>
          <w:szCs w:val="20"/>
          <w:color w:val="auto"/>
        </w:rPr>
      </w:pPr>
    </w:p>
    <w:p>
      <w:pPr>
        <w:spacing w:after="0" w:line="20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7" w:name="page18"/>
    <w:bookmarkEnd w:id="1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Labor Relations</w:t>
      </w:r>
      <w:r>
        <w:rPr>
          <w:rFonts w:ascii="Times New Roman" w:cs="Times New Roman" w:eastAsia="Times New Roman" w:hAnsi="Times New Roman"/>
          <w:sz w:val="18"/>
          <w:szCs w:val="18"/>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(l)             </w:t>
      </w:r>
      <w:r>
        <w:rPr>
          <w:rFonts w:ascii="Times New Roman" w:cs="Times New Roman" w:eastAsia="Times New Roman" w:hAnsi="Times New Roman"/>
          <w:sz w:val="18"/>
          <w:szCs w:val="18"/>
          <w:u w:val="single" w:color="auto"/>
          <w:color w:val="auto"/>
        </w:rPr>
        <w:t>Compliance</w:t>
      </w:r>
      <w:r>
        <w:rPr>
          <w:rFonts w:ascii="Times New Roman" w:cs="Times New Roman" w:eastAsia="Times New Roman" w:hAnsi="Times New Roman"/>
          <w:sz w:val="18"/>
          <w:szCs w:val="18"/>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could not have or reasonably be expected to result in a Material Adverse Effect.</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8" w:name="page19"/>
    <w:bookmarkEnd w:id="18"/>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(m)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194"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Regulatory Permits</w:t>
      </w:r>
      <w:r>
        <w:rPr>
          <w:rFonts w:ascii="Times New Roman" w:cs="Times New Roman" w:eastAsia="Times New Roman" w:hAnsi="Times New Roman"/>
          <w:sz w:val="18"/>
          <w:szCs w:val="18"/>
          <w:color w:val="auto"/>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 w:cs="Times New Roman" w:eastAsia="Times New Roman" w:hAnsi="Times New Roman"/>
          <w:sz w:val="18"/>
          <w:szCs w:val="18"/>
          <w:u w:val="single" w:color="auto"/>
          <w:color w:val="auto"/>
        </w:rPr>
        <w:t>Material Permits</w:t>
      </w:r>
      <w:r>
        <w:rPr>
          <w:rFonts w:ascii="Times New Roman" w:cs="Times New Roman" w:eastAsia="Times New Roman" w:hAnsi="Times New Roman"/>
          <w:sz w:val="18"/>
          <w:szCs w:val="18"/>
          <w:color w:val="auto"/>
        </w:rPr>
        <w:t>”), and neither the Company nor any Subsidiary has received any notice of proceedings relating to the revocation or modification of any Material Permit.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Title to Assets</w:t>
      </w:r>
      <w:r>
        <w:rPr>
          <w:rFonts w:ascii="Times New Roman" w:cs="Times New Roman" w:eastAsia="Times New Roman" w:hAnsi="Times New Roman"/>
          <w:sz w:val="18"/>
          <w:szCs w:val="18"/>
          <w:color w:val="auto"/>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200" w:lineRule="exact"/>
        <w:rPr>
          <w:sz w:val="20"/>
          <w:szCs w:val="20"/>
          <w:color w:val="auto"/>
        </w:rPr>
      </w:pPr>
    </w:p>
    <w:p>
      <w:pPr>
        <w:spacing w:after="0" w:line="20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19" w:name="page20"/>
    <w:bookmarkEnd w:id="1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Intellectual Property</w:t>
      </w:r>
      <w:r>
        <w:rPr>
          <w:rFonts w:ascii="Times New Roman" w:cs="Times New Roman" w:eastAsia="Times New Roman" w:hAnsi="Times New Roman"/>
          <w:sz w:val="18"/>
          <w:szCs w:val="18"/>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SEC Reports and which the failure to so have could have a Material Adverse Effect (collectively, the “</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SEC Reports, a written notice of a claim or otherwise has any knowledge that the Intellectual Property Rights violate or infringe upon the rights of any Person, except as could not have or reasonably be expected to not have a Material Adverse Effect. To the knowledge of the Company,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 None of the Intellectual Property Rights used by the Company or any of its Subsidiaries in their respective businesses has been obtained or is being used by the Company or such Subsidiary in violation of any contractual obligation binding on the Company or any of its subsidiaries in violation of the rights of any person. The Company and its subsidiaries have taken all reasonable steps in accordance with normal industry practice to protect and maintain the Intellectual Property Rights including, without limitation, the execution of appropriate nondisclosure and invention assignment agreements. The consummation of the transactions contemplated by this Agreement will not result in the loss or impairment of, or payment of, and additional amounts with respect to, nor require the consent of, any other person regarding the Company’s or any of its subsidiaries’ right to own or use any of the Intellectual Property Rights as owned or used in the conduct of such party’s business as currently conducted. To the knowledge of the Company and its Subsidiaries, no employee of any of the Company or its subsidiaries is the subject of any pending claim or proceeding involving a violation of any term of any employment contract, invention disclosure agreement, patent disclosure agreement, noncompetition agreement, non-solicitation agreement, nondisclosure agreement or restrictive covenant to or with a former employer, where the basis of such violation relates to such employee’s employment with the Company or its subsidiaries or actions undertaken by the employee while employed with the Company or its Subsidiaries.The Company has no knowledge of any facts that would preclude it from having valid license rights or clear title to the Intellectual Property Rights. The Company has no knowledge that it lacks or will be unable to obtain any rights or licenses to use all Intellectual Property Rights that are necessary to conduct its business.</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(q)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(r)          </w:t>
      </w:r>
      <w:r>
        <w:rPr>
          <w:rFonts w:ascii="Times New Roman" w:cs="Times New Roman" w:eastAsia="Times New Roman" w:hAnsi="Times New Roman"/>
          <w:sz w:val="18"/>
          <w:szCs w:val="18"/>
          <w:u w:val="single" w:color="auto"/>
          <w:color w:val="auto"/>
        </w:rPr>
        <w:t>  Transactions With Affiliates and Employees</w:t>
      </w:r>
      <w:r>
        <w:rPr>
          <w:rFonts w:ascii="Times New Roman" w:cs="Times New Roman" w:eastAsia="Times New Roman" w:hAnsi="Times New Roman"/>
          <w:sz w:val="18"/>
          <w:szCs w:val="18"/>
          <w:color w:val="auto"/>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200" w:lineRule="exact"/>
        <w:rPr>
          <w:sz w:val="20"/>
          <w:szCs w:val="20"/>
          <w:color w:val="auto"/>
        </w:rPr>
      </w:pPr>
    </w:p>
    <w:p>
      <w:pPr>
        <w:spacing w:after="0" w:line="204"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0" w:name="page21"/>
    <w:bookmarkEnd w:id="2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          </w:t>
      </w:r>
      <w:r>
        <w:rPr>
          <w:rFonts w:ascii="Times New Roman" w:cs="Times New Roman" w:eastAsia="Times New Roman" w:hAnsi="Times New Roman"/>
          <w:sz w:val="18"/>
          <w:szCs w:val="18"/>
          <w:u w:val="single" w:color="auto"/>
          <w:color w:val="auto"/>
        </w:rPr>
        <w:t>  Sarbanes-Oxley; Internal Accounting Controls</w:t>
      </w:r>
      <w:r>
        <w:rPr>
          <w:rFonts w:ascii="Times New Roman" w:cs="Times New Roman" w:eastAsia="Times New Roman" w:hAnsi="Times New Roman"/>
          <w:sz w:val="18"/>
          <w:szCs w:val="18"/>
          <w:color w:val="auto"/>
        </w:rPr>
        <w:t>. The Company and the Subsidiaries are in compliance with any and all applicable requirements of the Sarbanes-Oxley Act of 2002, as amended, that are effective as of the date hereof and as of the Closing Date,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 w:cs="Times New Roman" w:eastAsia="Times New Roman" w:hAnsi="Times New Roman"/>
          <w:sz w:val="18"/>
          <w:szCs w:val="18"/>
          <w:u w:val="single" w:color="auto"/>
          <w:color w:val="auto"/>
        </w:rPr>
        <w:t>Evaluation Date</w:t>
      </w:r>
      <w:r>
        <w:rPr>
          <w:rFonts w:ascii="Times New Roman" w:cs="Times New Roman" w:eastAsia="Times New Roman" w:hAnsi="Times New Roman"/>
          <w:sz w:val="18"/>
          <w:szCs w:val="18"/>
          <w:color w:val="auto"/>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of the Company and its Subsidiaries that have materially affected, or is reasonably likely to materially affect, the internal control over financial reporting of the Company and its Subsidiaries.</w:t>
      </w:r>
    </w:p>
    <w:p>
      <w:pPr>
        <w:spacing w:after="0" w:line="19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(t)             </w:t>
      </w: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 No brokerage or finder’s fees or commissions are or will be payable by the Company or any Subsidiary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          </w:t>
      </w:r>
      <w:r>
        <w:rPr>
          <w:rFonts w:ascii="Times New Roman" w:cs="Times New Roman" w:eastAsia="Times New Roman" w:hAnsi="Times New Roman"/>
          <w:sz w:val="18"/>
          <w:szCs w:val="18"/>
          <w:u w:val="single" w:color="auto"/>
          <w:color w:val="auto"/>
        </w:rPr>
        <w:t>  Investment Company</w:t>
      </w:r>
      <w:r>
        <w:rPr>
          <w:rFonts w:ascii="Times New Roman" w:cs="Times New Roman" w:eastAsia="Times New Roman" w:hAnsi="Times New Roman"/>
          <w:sz w:val="18"/>
          <w:szCs w:val="18"/>
          <w:color w:val="auto"/>
        </w:rPr>
        <w:t>. The Company is not, and is not an Affiliate of, and immediately after receipt of payment for the Shares,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39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1" w:name="page22"/>
    <w:bookmarkEnd w:id="21"/>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Registration Rights</w:t>
      </w:r>
      <w:r>
        <w:rPr>
          <w:rFonts w:ascii="Times New Roman" w:cs="Times New Roman" w:eastAsia="Times New Roman" w:hAnsi="Times New Roman"/>
          <w:sz w:val="18"/>
          <w:szCs w:val="18"/>
          <w:color w:val="auto"/>
        </w:rPr>
        <w:t>. No Person has any right to cause the Company or any Subsidiary to effect the registration under the Securities Act of any securities of the Company or any Subsidiary.</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           </w:t>
      </w:r>
      <w:r>
        <w:rPr>
          <w:rFonts w:ascii="Times New Roman" w:cs="Times New Roman" w:eastAsia="Times New Roman" w:hAnsi="Times New Roman"/>
          <w:sz w:val="18"/>
          <w:szCs w:val="18"/>
          <w:u w:val="single" w:color="auto"/>
          <w:color w:val="auto"/>
        </w:rPr>
        <w:t>Listing and Maintenance Requirements</w:t>
      </w:r>
      <w:r>
        <w:rPr>
          <w:rFonts w:ascii="Times New Roman" w:cs="Times New Roman" w:eastAsia="Times New Roman" w:hAnsi="Times New Roman"/>
          <w:sz w:val="18"/>
          <w:szCs w:val="18"/>
          <w:color w:val="auto"/>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(x)          </w:t>
      </w:r>
      <w:r>
        <w:rPr>
          <w:rFonts w:ascii="Times New Roman" w:cs="Times New Roman" w:eastAsia="Times New Roman" w:hAnsi="Times New Roman"/>
          <w:sz w:val="18"/>
          <w:szCs w:val="18"/>
          <w:u w:val="single" w:color="auto"/>
          <w:color w:val="auto"/>
        </w:rPr>
        <w:t>  Application of Takeover Protections</w:t>
      </w:r>
      <w:r>
        <w:rPr>
          <w:rFonts w:ascii="Times New Roman" w:cs="Times New Roman" w:eastAsia="Times New Roman" w:hAnsi="Times New Roman"/>
          <w:sz w:val="18"/>
          <w:szCs w:val="18"/>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Shares and the Purchasers’ ownership of the Shares.</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(y)          </w:t>
      </w:r>
      <w:r>
        <w:rPr>
          <w:rFonts w:ascii="Times New Roman" w:cs="Times New Roman" w:eastAsia="Times New Roman" w:hAnsi="Times New Roman"/>
          <w:sz w:val="18"/>
          <w:szCs w:val="18"/>
          <w:u w:val="single" w:color="auto"/>
          <w:color w:val="auto"/>
        </w:rPr>
        <w:t>  Disclosure</w:t>
      </w:r>
      <w:r>
        <w:rPr>
          <w:rFonts w:ascii="Times New Roman" w:cs="Times New Roman" w:eastAsia="Times New Roman" w:hAnsi="Times New Roman"/>
          <w:sz w:val="18"/>
          <w:szCs w:val="18"/>
          <w:color w:val="auto"/>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which is not otherwise disclosed in the Prospectus Supplement.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spacing w:after="0" w:line="200" w:lineRule="exact"/>
        <w:rPr>
          <w:sz w:val="20"/>
          <w:szCs w:val="20"/>
          <w:color w:val="auto"/>
        </w:rPr>
      </w:pPr>
    </w:p>
    <w:p>
      <w:pPr>
        <w:spacing w:after="0" w:line="20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2" w:name="page23"/>
    <w:bookmarkEnd w:id="2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(z)          </w:t>
      </w:r>
      <w:r>
        <w:rPr>
          <w:rFonts w:ascii="Times New Roman" w:cs="Times New Roman" w:eastAsia="Times New Roman" w:hAnsi="Times New Roman"/>
          <w:sz w:val="18"/>
          <w:szCs w:val="18"/>
          <w:u w:val="single" w:color="auto"/>
          <w:color w:val="auto"/>
        </w:rPr>
        <w:t>  No Integrated Offering</w:t>
      </w:r>
      <w:r>
        <w:rPr>
          <w:rFonts w:ascii="Times New Roman" w:cs="Times New Roman" w:eastAsia="Times New Roman" w:hAnsi="Times New Roman"/>
          <w:sz w:val="18"/>
          <w:szCs w:val="18"/>
          <w:color w:val="auto"/>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Shares to be integrated with prior offerings by the Company for purposes of any applicable shareholder approval provisions of any Trading Market on which any of the securities of the Company are listed or designated.</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(aa)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Based on the consolidated financial condition of the Company as of the Closing Date, after giving effect to the receipt by the Company of the proceeds from the sale of the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The Section 3.1(aa) of the Dislcosure Schedules set forth as of the date hereof all outstanding secured and unsecured Indebtedness of the Company or any Subsidiary, or for which the Company or any Subsidiary has commitments. For the purposes of this Agreement,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(x) any liabilities for borrowed money or amounts owed in excess of $50,000 (other than trade accounts payable incurred in the ordinary course of business), (y)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(z) the present value of any lease payments in excess of $50,000 due under leases required to be capitalized in accordance with GAAP. Neither the Company nor any Subsidiary is in default with respect to any Indebtedness.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3" w:name="page24"/>
    <w:bookmarkEnd w:id="2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(bb)         </w:t>
      </w:r>
      <w:r>
        <w:rPr>
          <w:rFonts w:ascii="Times New Roman" w:cs="Times New Roman" w:eastAsia="Times New Roman" w:hAnsi="Times New Roman"/>
          <w:sz w:val="18"/>
          <w:szCs w:val="18"/>
          <w:u w:val="single" w:color="auto"/>
          <w:color w:val="auto"/>
        </w:rPr>
        <w:t>Tax Status</w:t>
      </w:r>
      <w:r>
        <w:rPr>
          <w:rFonts w:ascii="Times New Roman" w:cs="Times New Roman" w:eastAsia="Times New Roman" w:hAnsi="Times New Roman"/>
          <w:sz w:val="18"/>
          <w:szCs w:val="18"/>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fines or penalties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(cc)        </w:t>
      </w:r>
      <w:r>
        <w:rPr>
          <w:rFonts w:ascii="Times New Roman" w:cs="Times New Roman" w:eastAsia="Times New Roman" w:hAnsi="Times New Roman"/>
          <w:sz w:val="18"/>
          <w:szCs w:val="18"/>
          <w:u w:val="single" w:color="auto"/>
          <w:color w:val="auto"/>
        </w:rPr>
        <w:t>  Foreign Corrupt Practices</w:t>
      </w:r>
      <w:r>
        <w:rPr>
          <w:rFonts w:ascii="Times New Roman" w:cs="Times New Roman" w:eastAsia="Times New Roman" w:hAnsi="Times New Roman"/>
          <w:sz w:val="18"/>
          <w:szCs w:val="18"/>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(dd)         </w:t>
      </w:r>
      <w:r>
        <w:rPr>
          <w:rFonts w:ascii="Times New Roman" w:cs="Times New Roman" w:eastAsia="Times New Roman" w:hAnsi="Times New Roman"/>
          <w:sz w:val="18"/>
          <w:szCs w:val="18"/>
          <w:u w:val="single" w:color="auto"/>
          <w:color w:val="auto"/>
        </w:rPr>
        <w:t>Accountants</w:t>
      </w:r>
      <w:r>
        <w:rPr>
          <w:rFonts w:ascii="Times New Roman" w:cs="Times New Roman" w:eastAsia="Times New Roman" w:hAnsi="Times New Roman"/>
          <w:sz w:val="18"/>
          <w:szCs w:val="18"/>
          <w:color w:val="auto"/>
        </w:rPr>
        <w:t>. The Company’s independent registered public accounting firm is set forth in the SEC Reports.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2024.</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(ee)        </w:t>
      </w:r>
      <w:r>
        <w:rPr>
          <w:rFonts w:ascii="Times New Roman" w:cs="Times New Roman" w:eastAsia="Times New Roman" w:hAnsi="Times New Roman"/>
          <w:sz w:val="18"/>
          <w:szCs w:val="18"/>
          <w:u w:val="single" w:color="auto"/>
          <w:color w:val="auto"/>
        </w:rPr>
        <w:t>  Acknowledgment Regarding Purchasers’ Purchase of Shares</w:t>
      </w:r>
      <w:r>
        <w:rPr>
          <w:rFonts w:ascii="Times New Roman" w:cs="Times New Roman" w:eastAsia="Times New Roman" w:hAnsi="Times New Roman"/>
          <w:sz w:val="18"/>
          <w:szCs w:val="18"/>
          <w:color w:val="auto"/>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Shares.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spacing w:after="0" w:line="200" w:lineRule="exact"/>
        <w:rPr>
          <w:sz w:val="20"/>
          <w:szCs w:val="20"/>
          <w:color w:val="auto"/>
        </w:rPr>
      </w:pPr>
    </w:p>
    <w:p>
      <w:pPr>
        <w:spacing w:after="0" w:line="20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4" w:name="page25"/>
    <w:bookmarkEnd w:id="24"/>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 xml:space="preserve">(ff)           </w:t>
      </w:r>
      <w:r>
        <w:rPr>
          <w:rFonts w:ascii="Times New Roman" w:cs="Times New Roman" w:eastAsia="Times New Roman" w:hAnsi="Times New Roman"/>
          <w:sz w:val="18"/>
          <w:szCs w:val="18"/>
          <w:u w:val="single" w:color="auto"/>
          <w:color w:val="auto"/>
        </w:rPr>
        <w:t>Acknowledgment Regarding Purchaser’s Trading Activity</w:t>
      </w:r>
      <w:r>
        <w:rPr>
          <w:rFonts w:ascii="Times New Roman" w:cs="Times New Roman" w:eastAsia="Times New Roman" w:hAnsi="Times New Roman"/>
          <w:sz w:val="18"/>
          <w:szCs w:val="18"/>
          <w:color w:val="auto"/>
        </w:rPr>
        <w:t>. Anything in this Agreement or elsewhere herein to the contrary notwithstanding (except for Sections 3.2(f) and 4.13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Securities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presently may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Shares are outstanding,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spacing w:after="0" w:line="187" w:lineRule="exact"/>
        <w:rPr>
          <w:sz w:val="20"/>
          <w:szCs w:val="20"/>
          <w:color w:val="auto"/>
        </w:rPr>
      </w:pPr>
    </w:p>
    <w:p>
      <w:pPr>
        <w:jc w:val="both"/>
        <w:ind w:left="4" w:firstLine="648"/>
        <w:spacing w:after="0" w:line="257" w:lineRule="auto"/>
        <w:rPr>
          <w:sz w:val="20"/>
          <w:szCs w:val="20"/>
          <w:color w:val="auto"/>
        </w:rPr>
      </w:pPr>
      <w:r>
        <w:rPr>
          <w:rFonts w:ascii="Times New Roman" w:cs="Times New Roman" w:eastAsia="Times New Roman" w:hAnsi="Times New Roman"/>
          <w:sz w:val="18"/>
          <w:szCs w:val="18"/>
          <w:color w:val="auto"/>
        </w:rPr>
        <w:t xml:space="preserve">(gg)         </w:t>
      </w:r>
      <w:r>
        <w:rPr>
          <w:rFonts w:ascii="Times New Roman" w:cs="Times New Roman" w:eastAsia="Times New Roman" w:hAnsi="Times New Roman"/>
          <w:sz w:val="18"/>
          <w:szCs w:val="18"/>
          <w:u w:val="single" w:color="auto"/>
          <w:color w:val="auto"/>
        </w:rPr>
        <w:t>Regulation M Compliance</w:t>
      </w:r>
      <w:r>
        <w:rPr>
          <w:rFonts w:ascii="Times New Roman" w:cs="Times New Roman" w:eastAsia="Times New Roman" w:hAnsi="Times New Roman"/>
          <w:sz w:val="18"/>
          <w:szCs w:val="18"/>
          <w:color w:val="auto"/>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Shares, (ii) sold, bid for, purchased, or, paid any compensation for soliciting purchases of, any of the Shares, or</w:t>
      </w:r>
    </w:p>
    <w:p>
      <w:pPr>
        <w:spacing w:after="0" w:line="1" w:lineRule="exact"/>
        <w:rPr>
          <w:sz w:val="20"/>
          <w:szCs w:val="20"/>
          <w:color w:val="auto"/>
        </w:rPr>
      </w:pPr>
    </w:p>
    <w:p>
      <w:pPr>
        <w:ind w:left="4" w:hanging="4"/>
        <w:spacing w:after="0" w:line="260" w:lineRule="auto"/>
        <w:tabs>
          <w:tab w:leader="none" w:pos="319"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or agreed to pay to any Person any compensation for soliciting another to purchase any other securities of the Company, other than, in the case of clauses (ii) and (iii).</w:t>
      </w:r>
    </w:p>
    <w:p>
      <w:pPr>
        <w:spacing w:after="0" w:line="181" w:lineRule="exact"/>
        <w:rPr>
          <w:sz w:val="20"/>
          <w:szCs w:val="20"/>
          <w:color w:val="auto"/>
        </w:rPr>
      </w:pPr>
    </w:p>
    <w:p>
      <w:pPr>
        <w:jc w:val="both"/>
        <w:ind w:left="4" w:firstLine="648"/>
        <w:spacing w:after="0" w:line="256" w:lineRule="auto"/>
        <w:rPr>
          <w:sz w:val="20"/>
          <w:szCs w:val="20"/>
          <w:color w:val="auto"/>
        </w:rPr>
      </w:pPr>
      <w:r>
        <w:rPr>
          <w:rFonts w:ascii="Times New Roman" w:cs="Times New Roman" w:eastAsia="Times New Roman" w:hAnsi="Times New Roman"/>
          <w:sz w:val="18"/>
          <w:szCs w:val="18"/>
          <w:color w:val="auto"/>
        </w:rPr>
        <w:t xml:space="preserve">(hh)         </w:t>
      </w:r>
      <w:r>
        <w:rPr>
          <w:rFonts w:ascii="Times New Roman" w:cs="Times New Roman" w:eastAsia="Times New Roman" w:hAnsi="Times New Roman"/>
          <w:sz w:val="18"/>
          <w:szCs w:val="18"/>
          <w:u w:val="single" w:color="auto"/>
          <w:color w:val="auto"/>
        </w:rPr>
        <w:t>Stock Option Plans</w:t>
      </w:r>
      <w:r>
        <w:rPr>
          <w:rFonts w:ascii="Times New Roman" w:cs="Times New Roman" w:eastAsia="Times New Roman" w:hAnsi="Times New Roman"/>
          <w:sz w:val="18"/>
          <w:szCs w:val="18"/>
          <w:color w:val="auto"/>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spacing w:after="0" w:line="187" w:lineRule="exact"/>
        <w:rPr>
          <w:sz w:val="20"/>
          <w:szCs w:val="20"/>
          <w:color w:val="auto"/>
        </w:rPr>
      </w:pPr>
    </w:p>
    <w:p>
      <w:pPr>
        <w:jc w:val="both"/>
        <w:ind w:left="4" w:firstLine="648"/>
        <w:spacing w:after="0" w:line="253"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Cybersecurity</w:t>
      </w:r>
      <w:r>
        <w:rPr>
          <w:rFonts w:ascii="Times New Roman" w:cs="Times New Roman" w:eastAsia="Times New Roman" w:hAnsi="Times New Roman"/>
          <w:sz w:val="18"/>
          <w:szCs w:val="18"/>
          <w:color w:val="auto"/>
        </w:rPr>
        <w:t>. (i)(x) There has been no security breach or other compromise of or relating to any of the Company’s or any Subsidiary’s information technology and computer systems, networks, hardware, software, data (including the data of its respective customers, employees, suppliers, vendors and any third party data maintained by or on behalf of it), equipment or technology (collectively, “</w:t>
      </w:r>
      <w:r>
        <w:rPr>
          <w:rFonts w:ascii="Times New Roman" w:cs="Times New Roman" w:eastAsia="Times New Roman" w:hAnsi="Times New Roman"/>
          <w:sz w:val="18"/>
          <w:szCs w:val="18"/>
          <w:u w:val="single" w:color="auto"/>
          <w:color w:val="auto"/>
        </w:rPr>
        <w:t>IT Systems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Data</w:t>
      </w:r>
      <w:r>
        <w:rPr>
          <w:rFonts w:ascii="Times New Roman" w:cs="Times New Roman" w:eastAsia="Times New Roman" w:hAnsi="Times New Roman"/>
          <w:sz w:val="18"/>
          <w:szCs w:val="18"/>
          <w:color w:val="auto"/>
        </w:rPr>
        <w:t>”) and (y) the Company and the Subsidiaries have not been notified of, and has no knowledge of any event or condition that would reasonably be expected to result in, any security breach or other compromise to its IT Systems and Data; (ii) the Company and the Subsidiaries are presently in compliance with all applicable laws or statutes and all judgments, orders, rules and regulations of any court or arbitrator or governmental or regulatory authority, internal policies and contractual obligations relating to the privacy and security of IT Systems and Data and to the protection of such IT Systems and Data from unauthorized use, access, misappropriation or modification, except as would not, individually or in the aggregate, have a Material Adverse Effect; (iii) the Company and the Subsidiaries have implemented and maintained commercially reasonable safeguards to maintain and protect its material confidential information and the integrity, continuous operation, redundancy and security of all IT Systems and Data; and (iv) the Company and the Subsidiaries have implemented backup and disaster recovery technology consistent with industry standards and practices.</w:t>
      </w:r>
    </w:p>
    <w:p>
      <w:pPr>
        <w:spacing w:after="0" w:line="200" w:lineRule="exact"/>
        <w:rPr>
          <w:sz w:val="20"/>
          <w:szCs w:val="20"/>
          <w:color w:val="auto"/>
        </w:rPr>
      </w:pPr>
    </w:p>
    <w:p>
      <w:pPr>
        <w:spacing w:after="0" w:line="206" w:lineRule="exact"/>
        <w:rPr>
          <w:sz w:val="20"/>
          <w:szCs w:val="20"/>
          <w:color w:val="auto"/>
        </w:rPr>
      </w:pPr>
    </w:p>
    <w:p>
      <w:pPr>
        <w:ind w:left="4884"/>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904" w:right="339" w:bottom="1440" w:gutter="0" w:footer="0" w:header="0"/>
        </w:sectPr>
      </w:pPr>
    </w:p>
    <w:bookmarkStart w:id="25" w:name="page26"/>
    <w:bookmarkEnd w:id="25"/>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(jj)          </w:t>
      </w:r>
      <w:r>
        <w:rPr>
          <w:rFonts w:ascii="Times New Roman" w:cs="Times New Roman" w:eastAsia="Times New Roman" w:hAnsi="Times New Roman"/>
          <w:sz w:val="18"/>
          <w:szCs w:val="18"/>
          <w:u w:val="single" w:color="auto"/>
          <w:color w:val="auto"/>
        </w:rPr>
        <w:t>  Compliance with Data Privacy Laws</w:t>
      </w:r>
      <w:r>
        <w:rPr>
          <w:rFonts w:ascii="Times New Roman" w:cs="Times New Roman" w:eastAsia="Times New Roman" w:hAnsi="Times New Roman"/>
          <w:sz w:val="18"/>
          <w:szCs w:val="18"/>
          <w:color w:val="auto"/>
        </w:rPr>
        <w:t>. (i) The Company and the Subsidiaries are, and at all times during the last three (3) years were, in material compliance with all applicable state, federal and foreign data privacy and security laws and regulations, including, without limitation, the European Union General Data Protection Regulation (“GDPR”) (EU 2016/679) (collectively, “</w:t>
      </w:r>
      <w:r>
        <w:rPr>
          <w:rFonts w:ascii="Times New Roman" w:cs="Times New Roman" w:eastAsia="Times New Roman" w:hAnsi="Times New Roman"/>
          <w:sz w:val="18"/>
          <w:szCs w:val="18"/>
          <w:u w:val="single" w:color="auto"/>
          <w:color w:val="auto"/>
        </w:rPr>
        <w:t>Privacy Laws</w:t>
      </w:r>
      <w:r>
        <w:rPr>
          <w:rFonts w:ascii="Times New Roman" w:cs="Times New Roman" w:eastAsia="Times New Roman" w:hAnsi="Times New Roman"/>
          <w:sz w:val="18"/>
          <w:szCs w:val="18"/>
          <w:color w:val="auto"/>
        </w:rPr>
        <w:t>”); (ii) the Company and the Subsidiaries have in place, comply with, and take appropriate steps reasonably designed to ensure compliance with their policies and procedures relating to data privacy and security and the collection, storage, use, disclosure, handling and analysis of Personal Data (as defined below) (the “</w:t>
      </w:r>
      <w:r>
        <w:rPr>
          <w:rFonts w:ascii="Times New Roman" w:cs="Times New Roman" w:eastAsia="Times New Roman" w:hAnsi="Times New Roman"/>
          <w:sz w:val="18"/>
          <w:szCs w:val="18"/>
          <w:u w:val="single" w:color="auto"/>
          <w:color w:val="auto"/>
        </w:rPr>
        <w:t>Policies</w:t>
      </w:r>
      <w:r>
        <w:rPr>
          <w:rFonts w:ascii="Times New Roman" w:cs="Times New Roman" w:eastAsia="Times New Roman" w:hAnsi="Times New Roman"/>
          <w:sz w:val="18"/>
          <w:szCs w:val="18"/>
          <w:color w:val="auto"/>
        </w:rPr>
        <w:t>”); (iii) the Company provides accurate notice of its applicable Policies to its customers, employees, third party vendors and representatives as required by the Privacy Laws; and (iv) applicable Policies provide accurate and sufficient notice of the Company’s then-current privacy practices relating to its subject matter, and do not contain any material omissions of the Company’s then-current privacy practices, as required by Privacy Laws. “</w:t>
      </w:r>
      <w:r>
        <w:rPr>
          <w:rFonts w:ascii="Times New Roman" w:cs="Times New Roman" w:eastAsia="Times New Roman" w:hAnsi="Times New Roman"/>
          <w:sz w:val="18"/>
          <w:szCs w:val="18"/>
          <w:u w:val="single" w:color="auto"/>
          <w:color w:val="auto"/>
        </w:rPr>
        <w:t>Personal Data</w:t>
      </w:r>
      <w:r>
        <w:rPr>
          <w:rFonts w:ascii="Times New Roman" w:cs="Times New Roman" w:eastAsia="Times New Roman" w:hAnsi="Times New Roman"/>
          <w:sz w:val="18"/>
          <w:szCs w:val="18"/>
          <w:color w:val="auto"/>
        </w:rPr>
        <w:t>” means (i) a natural person’s name, street address, telephone number, email address, photograph, social security number, bank information, or customer or account number; (ii) any information which would qualify as “personally identifying information” under the Federal Trade Commission Act, as amended; (iii) “personal data” as defined by GDPR; and (iv) any other piece of information that allows the identification of such natural person, or his or her family, or permits the collection or analysis of any identifiable data related to an identified person’s health or sexual orientation. (i) None of such disclosures made or contained in any of the Policies have been inaccurate, misleading, or deceptive in violation of any Privacy Laws and (ii) the execution, delivery and performance of the Transaction Documents will not result in a breach of any Privacy Laws or Policies. Neither the Company nor the Subsidiaries (i) to the knowledge of the Company, has received written notice of any actual or potential liability of the Company or the Subsidiaries under, or actual or potential violation by the Company or the Subsidiaries of, any of the Privacy Laws; (ii) is currently conducting or paying for, in whole or in part, any investigation, remediation or other corrective action pursuant to any regulatory request or demand pursuant to any Privacy Law; or (iii) is a party to any order, decree, or agreement by or with any court or arbitrator or governmental or regulatory authority that imposed any obligation or liability under any Privacy Law.</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(kk)        </w:t>
      </w:r>
      <w:r>
        <w:rPr>
          <w:rFonts w:ascii="Times New Roman" w:cs="Times New Roman" w:eastAsia="Times New Roman" w:hAnsi="Times New Roman"/>
          <w:sz w:val="18"/>
          <w:szCs w:val="18"/>
          <w:u w:val="single" w:color="auto"/>
          <w:color w:val="auto"/>
        </w:rPr>
        <w:t>  Office of Foreign Assets Control</w:t>
      </w:r>
      <w:r>
        <w:rPr>
          <w:rFonts w:ascii="Times New Roman" w:cs="Times New Roman" w:eastAsia="Times New Roman" w:hAnsi="Times New Roman"/>
          <w:sz w:val="18"/>
          <w:szCs w:val="18"/>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904" w:right="339" w:bottom="1440" w:gutter="0" w:footer="0" w:header="0"/>
        </w:sectPr>
      </w:pPr>
    </w:p>
    <w:bookmarkStart w:id="26" w:name="page27"/>
    <w:bookmarkEnd w:id="26"/>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(ll)          </w:t>
      </w:r>
      <w:r>
        <w:rPr>
          <w:rFonts w:ascii="Times New Roman" w:cs="Times New Roman" w:eastAsia="Times New Roman" w:hAnsi="Times New Roman"/>
          <w:sz w:val="18"/>
          <w:szCs w:val="18"/>
          <w:u w:val="single" w:color="auto"/>
          <w:color w:val="auto"/>
        </w:rPr>
        <w:t>  U.S. Real Property Holding Corporation</w:t>
      </w:r>
      <w:r>
        <w:rPr>
          <w:rFonts w:ascii="Times New Roman" w:cs="Times New Roman" w:eastAsia="Times New Roman" w:hAnsi="Times New Roman"/>
          <w:sz w:val="18"/>
          <w:szCs w:val="18"/>
          <w:color w:val="auto"/>
        </w:rPr>
        <w:t>. The Company is not and has never been a U.S. real property holding corporation within the meaning of Section 897 of the Internal Revenue Code of 1986, as amended, and the Company shall so certify upon Purchaser’s request.</w:t>
      </w:r>
    </w:p>
    <w:p>
      <w:pPr>
        <w:spacing w:after="0" w:line="162" w:lineRule="exact"/>
        <w:rPr>
          <w:sz w:val="20"/>
          <w:szCs w:val="20"/>
          <w:color w:val="auto"/>
        </w:rPr>
      </w:pPr>
    </w:p>
    <w:p>
      <w:pPr>
        <w:jc w:val="both"/>
        <w:ind w:left="660" w:firstLine="648"/>
        <w:spacing w:after="0" w:line="256" w:lineRule="auto"/>
        <w:rPr>
          <w:sz w:val="20"/>
          <w:szCs w:val="20"/>
          <w:color w:val="auto"/>
        </w:rPr>
      </w:pPr>
      <w:r>
        <w:rPr>
          <w:rFonts w:ascii="Times New Roman" w:cs="Times New Roman" w:eastAsia="Times New Roman" w:hAnsi="Times New Roman"/>
          <w:sz w:val="18"/>
          <w:szCs w:val="18"/>
          <w:color w:val="auto"/>
        </w:rPr>
        <w:t>(mm)      </w:t>
      </w:r>
      <w:r>
        <w:rPr>
          <w:rFonts w:ascii="Times New Roman" w:cs="Times New Roman" w:eastAsia="Times New Roman" w:hAnsi="Times New Roman"/>
          <w:sz w:val="18"/>
          <w:szCs w:val="18"/>
          <w:u w:val="single" w:color="auto"/>
          <w:color w:val="auto"/>
        </w:rPr>
        <w:t>  Bank Holding Company Act</w:t>
      </w:r>
      <w:r>
        <w:rPr>
          <w:rFonts w:ascii="Times New Roman" w:cs="Times New Roman" w:eastAsia="Times New Roman" w:hAnsi="Times New Roman"/>
          <w:sz w:val="18"/>
          <w:szCs w:val="18"/>
          <w:color w:val="auto"/>
        </w:rPr>
        <w:t>. Neither the Company nor any of its Subsidiaries or Affiliates is subject to the Bank Holding Company Act of 1956, as amended (the “</w:t>
      </w:r>
      <w:r>
        <w:rPr>
          <w:rFonts w:ascii="Times New Roman" w:cs="Times New Roman" w:eastAsia="Times New Roman" w:hAnsi="Times New Roman"/>
          <w:sz w:val="18"/>
          <w:szCs w:val="18"/>
          <w:u w:val="single" w:color="auto"/>
          <w:color w:val="auto"/>
        </w:rPr>
        <w:t>BHCA</w:t>
      </w:r>
      <w:r>
        <w:rPr>
          <w:rFonts w:ascii="Times New Roman" w:cs="Times New Roman" w:eastAsia="Times New Roman" w:hAnsi="Times New Roman"/>
          <w:sz w:val="18"/>
          <w:szCs w:val="18"/>
          <w:color w:val="auto"/>
        </w:rPr>
        <w:t>”) and to regulation by the Board of Governors of the Federal Reserve System (the “</w:t>
      </w:r>
      <w:r>
        <w:rPr>
          <w:rFonts w:ascii="Times New Roman" w:cs="Times New Roman" w:eastAsia="Times New Roman" w:hAnsi="Times New Roman"/>
          <w:sz w:val="18"/>
          <w:szCs w:val="18"/>
          <w:u w:val="single" w:color="auto"/>
          <w:color w:val="auto"/>
        </w:rPr>
        <w:t>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Reserve</w:t>
      </w:r>
      <w:r>
        <w:rPr>
          <w:rFonts w:ascii="Times New Roman" w:cs="Times New Roman" w:eastAsia="Times New Roman" w:hAnsi="Times New Roman"/>
          <w:sz w:val="18"/>
          <w:szCs w:val="18"/>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187"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(nn)       </w:t>
      </w:r>
      <w:r>
        <w:rPr>
          <w:rFonts w:ascii="Times New Roman" w:cs="Times New Roman" w:eastAsia="Times New Roman" w:hAnsi="Times New Roman"/>
          <w:sz w:val="18"/>
          <w:szCs w:val="18"/>
          <w:u w:val="single" w:color="auto"/>
          <w:color w:val="auto"/>
        </w:rPr>
        <w:t>  Money Laundering</w:t>
      </w:r>
      <w:r>
        <w:rPr>
          <w:rFonts w:ascii="Times New Roman" w:cs="Times New Roman" w:eastAsia="Times New Roman" w:hAnsi="Times New Roman"/>
          <w:sz w:val="18"/>
          <w:szCs w:val="18"/>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 w:cs="Times New Roman" w:eastAsia="Times New Roman" w:hAnsi="Times New Roman"/>
          <w:sz w:val="18"/>
          <w:szCs w:val="18"/>
          <w:u w:val="single" w:color="auto"/>
          <w:color w:val="auto"/>
        </w:rPr>
        <w:t>Money Laundering Laws</w:t>
      </w:r>
      <w:r>
        <w:rPr>
          <w:rFonts w:ascii="Times New Roman" w:cs="Times New Roman" w:eastAsia="Times New Roman" w:hAnsi="Times New Roman"/>
          <w:sz w:val="18"/>
          <w:szCs w:val="18"/>
          <w:color w:val="auto"/>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(oo)       </w:t>
      </w:r>
      <w:r>
        <w:rPr>
          <w:rFonts w:ascii="Times New Roman" w:cs="Times New Roman" w:eastAsia="Times New Roman" w:hAnsi="Times New Roman"/>
          <w:sz w:val="18"/>
          <w:szCs w:val="18"/>
          <w:u w:val="single" w:color="auto"/>
          <w:color w:val="auto"/>
        </w:rPr>
        <w:t>  Promotional Stock Activities</w:t>
      </w:r>
      <w:r>
        <w:rPr>
          <w:rFonts w:ascii="Times New Roman" w:cs="Times New Roman" w:eastAsia="Times New Roman" w:hAnsi="Times New Roman"/>
          <w:sz w:val="18"/>
          <w:szCs w:val="18"/>
          <w:color w:val="auto"/>
        </w:rPr>
        <w:t>. Neither the Company nor any Subsidiary of the Company and none of their respective officers, directors, managers, affiliates or agents have engaged in any stock promotional activity that could give rise to a complaint, inquiry, or trading suspension by the SEC alleging: (i) a violation of the anti-fraud provisions of the federal securities laws; (ii) violations of the anti-touting provisions; (iii) improper “gun-jumping”; or (iv) promotion without proper disclosure of compensation.</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3.2          </w:t>
      </w:r>
      <w:r>
        <w:rPr>
          <w:rFonts w:ascii="Times New Roman" w:cs="Times New Roman" w:eastAsia="Times New Roman" w:hAnsi="Times New Roman"/>
          <w:sz w:val="18"/>
          <w:szCs w:val="18"/>
          <w:u w:val="single" w:color="auto"/>
          <w:color w:val="auto"/>
        </w:rPr>
        <w:t>  Representations and Warranties of the Purchasers</w:t>
      </w:r>
      <w:r>
        <w:rPr>
          <w:rFonts w:ascii="Times New Roman" w:cs="Times New Roman" w:eastAsia="Times New Roman" w:hAnsi="Times New Roman"/>
          <w:sz w:val="18"/>
          <w:szCs w:val="18"/>
          <w:color w:val="auto"/>
        </w:rPr>
        <w:t>. Each Purchaser, for itself and for no other Purchaser, hereby represents and warrants as of the date hereof and as of the Closing Date to the Company as follows (unless as of a specific date therein, in which case they shall be accurate as of such date):</w:t>
      </w:r>
    </w:p>
    <w:p>
      <w:pPr>
        <w:spacing w:after="0" w:line="176" w:lineRule="exact"/>
        <w:rPr>
          <w:sz w:val="20"/>
          <w:szCs w:val="20"/>
          <w:color w:val="auto"/>
        </w:rPr>
      </w:pPr>
    </w:p>
    <w:p>
      <w:pPr>
        <w:jc w:val="both"/>
        <w:ind w:left="340" w:firstLine="972"/>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Organization; Authority</w:t>
      </w:r>
      <w:r>
        <w:rPr>
          <w:rFonts w:ascii="Times New Roman" w:cs="Times New Roman" w:eastAsia="Times New Roman" w:hAnsi="Times New Roman"/>
          <w:sz w:val="18"/>
          <w:szCs w:val="18"/>
          <w:color w:val="auto"/>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 (iii) insofar as indemnification and contribution provisions may be limited by applicable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7" w:name="page28"/>
    <w:bookmarkEnd w:id="27"/>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u w:val="single" w:color="auto"/>
          <w:color w:val="auto"/>
        </w:rPr>
        <w:t>Understandings or Arrangements</w:t>
      </w:r>
      <w:r>
        <w:rPr>
          <w:rFonts w:ascii="Times New Roman" w:cs="Times New Roman" w:eastAsia="Times New Roman" w:hAnsi="Times New Roman"/>
          <w:sz w:val="18"/>
          <w:szCs w:val="18"/>
          <w:color w:val="auto"/>
        </w:rPr>
        <w:t>. Such Purchaser is acquiring the Shares as principal for its own account and has no direct or indirect arrangement or understandings with any other persons to distribute or regarding the distribution of such Shares (this representation and warranty not limiting such Purchaser’s right to sell the Shares pursuant to the Registration Statement or otherwise in compliance with applicable federal and state securities laws). Such Purchaser is acquiring the Shares hereunder in the ordinary course of its business.</w:t>
      </w:r>
    </w:p>
    <w:p>
      <w:pPr>
        <w:spacing w:after="0" w:line="180" w:lineRule="exact"/>
        <w:rPr>
          <w:sz w:val="20"/>
          <w:szCs w:val="20"/>
          <w:color w:val="auto"/>
        </w:rPr>
      </w:pPr>
    </w:p>
    <w:p>
      <w:pPr>
        <w:jc w:val="both"/>
        <w:ind w:firstLine="972"/>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Purchaser Status</w:t>
      </w:r>
      <w:r>
        <w:rPr>
          <w:rFonts w:ascii="Times New Roman" w:cs="Times New Roman" w:eastAsia="Times New Roman" w:hAnsi="Times New Roman"/>
          <w:sz w:val="18"/>
          <w:szCs w:val="18"/>
          <w:color w:val="auto"/>
        </w:rPr>
        <w:t>. At the time such Purchaser was offered the Shares, it was, and as of the date hereof it is, either: (i) an “accredited investor” as defined in Rule 501(a)(1), (a)(2), (a)(3), (a)(7), (a)(8), (a)(9), (a)(12), or (a)(13) under the Securities Act or (ii) a “qualified institutional buyer” as defined in Rule 144A(a) under the Securities Act.</w:t>
      </w:r>
    </w:p>
    <w:p>
      <w:pPr>
        <w:spacing w:after="0" w:line="176" w:lineRule="exact"/>
        <w:rPr>
          <w:sz w:val="20"/>
          <w:szCs w:val="20"/>
          <w:color w:val="auto"/>
        </w:rPr>
      </w:pPr>
    </w:p>
    <w:p>
      <w:pPr>
        <w:jc w:val="both"/>
        <w:ind w:firstLine="972"/>
        <w:spacing w:after="0" w:line="261"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Experience of Such Purchaser</w:t>
      </w:r>
      <w:r>
        <w:rPr>
          <w:rFonts w:ascii="Times New Roman" w:cs="Times New Roman" w:eastAsia="Times New Roman" w:hAnsi="Times New Roman"/>
          <w:sz w:val="18"/>
          <w:szCs w:val="18"/>
          <w:color w:val="auto"/>
        </w:rPr>
        <w:t>. Such Purchaser, either alone or together with its representatives, has such knowledge, sophistication and experience in business and financial matters so as to be capable of evaluating the merits and risks of the prospective investment in the Shares, and has so evaluated the merits and risks of such investment. Such Purchaser is able to bear the economic risk of an investment in the Shares and, at the present time, is able to afford a complete loss of such investment.</w:t>
      </w:r>
    </w:p>
    <w:p>
      <w:pPr>
        <w:spacing w:after="0" w:line="180" w:lineRule="exact"/>
        <w:rPr>
          <w:sz w:val="20"/>
          <w:szCs w:val="20"/>
          <w:color w:val="auto"/>
        </w:rPr>
      </w:pPr>
    </w:p>
    <w:p>
      <w:pPr>
        <w:jc w:val="both"/>
        <w:ind w:firstLine="972"/>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Access to Information</w:t>
      </w:r>
      <w:r>
        <w:rPr>
          <w:rFonts w:ascii="Times New Roman" w:cs="Times New Roman" w:eastAsia="Times New Roman" w:hAnsi="Times New Roman"/>
          <w:sz w:val="18"/>
          <w:szCs w:val="18"/>
          <w:color w:val="auto"/>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Shares and the merits and risks of investing in the Shares;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spacing w:after="0" w:line="200" w:lineRule="exact"/>
        <w:rPr>
          <w:sz w:val="20"/>
          <w:szCs w:val="20"/>
          <w:color w:val="auto"/>
        </w:rPr>
      </w:pPr>
    </w:p>
    <w:p>
      <w:pPr>
        <w:spacing w:after="0" w:line="20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17145</wp:posOffset>
            </wp:positionV>
            <wp:extent cx="713232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00"/>
          </w:cols>
          <w:pgMar w:left="660" w:top="904" w:right="339" w:bottom="1440" w:gutter="0" w:footer="0" w:header="0"/>
        </w:sectPr>
      </w:pPr>
    </w:p>
    <w:bookmarkStart w:id="28" w:name="page29"/>
    <w:bookmarkEnd w:id="28"/>
    <w:p>
      <w:pPr>
        <w:jc w:val="both"/>
        <w:ind w:left="340" w:firstLine="972"/>
        <w:spacing w:after="0" w:line="253"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Certain Transactions and Confidentiality</w:t>
      </w:r>
      <w:r>
        <w:rPr>
          <w:rFonts w:ascii="Times New Roman" w:cs="Times New Roman" w:eastAsia="Times New Roman" w:hAnsi="Times New Roman"/>
          <w:sz w:val="18"/>
          <w:szCs w:val="18"/>
          <w:color w:val="auto"/>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Shares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87" w:lineRule="exact"/>
        <w:rPr>
          <w:sz w:val="20"/>
          <w:szCs w:val="20"/>
          <w:color w:val="auto"/>
        </w:rPr>
      </w:pPr>
    </w:p>
    <w:p>
      <w:pPr>
        <w:jc w:val="both"/>
        <w:ind w:left="340" w:firstLine="972"/>
        <w:spacing w:after="0" w:line="266"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General Solicitation</w:t>
      </w:r>
      <w:r>
        <w:rPr>
          <w:rFonts w:ascii="Times New Roman" w:cs="Times New Roman" w:eastAsia="Times New Roman" w:hAnsi="Times New Roman"/>
          <w:sz w:val="18"/>
          <w:szCs w:val="18"/>
          <w:color w:val="auto"/>
        </w:rPr>
        <w:t>. Such Purchaser is not purchasing the Shares as a result of any advertisement, article, notice or other communication regarding the Shares published in any newspaper, magazine or similar media or broadcast over television or radio or presented at any seminar or, to the knowledge of such Purchaser, any other general solicitation or general advertisement.</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AGREEMENTS OF THE PARTIES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          </w:t>
      </w:r>
      <w:r>
        <w:rPr>
          <w:rFonts w:ascii="Times New Roman" w:cs="Times New Roman" w:eastAsia="Times New Roman" w:hAnsi="Times New Roman"/>
          <w:sz w:val="18"/>
          <w:szCs w:val="18"/>
          <w:u w:val="single" w:color="auto"/>
          <w:color w:val="auto"/>
        </w:rPr>
        <w:t>  Shares</w:t>
      </w:r>
      <w:r>
        <w:rPr>
          <w:rFonts w:ascii="Times New Roman" w:cs="Times New Roman" w:eastAsia="Times New Roman" w:hAnsi="Times New Roman"/>
          <w:sz w:val="18"/>
          <w:szCs w:val="18"/>
          <w:color w:val="auto"/>
        </w:rPr>
        <w:t>. The Shares shall be issued free of legends.</w:t>
      </w:r>
    </w:p>
    <w:p>
      <w:pPr>
        <w:spacing w:after="0" w:line="22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4.2          </w:t>
      </w:r>
      <w:r>
        <w:rPr>
          <w:rFonts w:ascii="Times New Roman" w:cs="Times New Roman" w:eastAsia="Times New Roman" w:hAnsi="Times New Roman"/>
          <w:sz w:val="18"/>
          <w:szCs w:val="18"/>
          <w:u w:val="single" w:color="auto"/>
          <w:color w:val="auto"/>
        </w:rPr>
        <w:t>  Furnishing of Information</w:t>
      </w:r>
      <w:r>
        <w:rPr>
          <w:rFonts w:ascii="Times New Roman" w:cs="Times New Roman" w:eastAsia="Times New Roman" w:hAnsi="Times New Roman"/>
          <w:sz w:val="18"/>
          <w:szCs w:val="18"/>
          <w:color w:val="auto"/>
        </w:rPr>
        <w:t>. Until no Purchaser owns any Shares, the Company covenants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4.3          </w:t>
      </w:r>
      <w:r>
        <w:rPr>
          <w:rFonts w:ascii="Times New Roman" w:cs="Times New Roman" w:eastAsia="Times New Roman" w:hAnsi="Times New Roman"/>
          <w:sz w:val="18"/>
          <w:szCs w:val="18"/>
          <w:u w:val="single" w:color="auto"/>
          <w:color w:val="auto"/>
        </w:rPr>
        <w:t>  Integration</w:t>
      </w:r>
      <w:r>
        <w:rPr>
          <w:rFonts w:ascii="Times New Roman" w:cs="Times New Roman" w:eastAsia="Times New Roman" w:hAnsi="Times New Roman"/>
          <w:sz w:val="18"/>
          <w:szCs w:val="18"/>
          <w:color w:val="auto"/>
        </w:rPr>
        <w:t>. The Company shall not sell, offer for sale or solicit offers to buy or otherwise negotiate in respect of any security (as defined in Section 2 of the Securities Act) that would be integrated with the offer or sale of the Shares for purposes of the rules and regulations of any Trading Market such that it would require shareholder approval prior to the closing of such other transaction unless shareholder approval is obtained before the closing of such subsequent transaction.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9" w:name="page30"/>
    <w:bookmarkEnd w:id="29"/>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4.4          </w:t>
      </w:r>
      <w:r>
        <w:rPr>
          <w:rFonts w:ascii="Times New Roman" w:cs="Times New Roman" w:eastAsia="Times New Roman" w:hAnsi="Times New Roman"/>
          <w:sz w:val="18"/>
          <w:szCs w:val="18"/>
          <w:u w:val="single" w:color="auto"/>
          <w:color w:val="auto"/>
        </w:rPr>
        <w:t>  Securities Laws Disclosure; Publicity</w:t>
      </w:r>
      <w:r>
        <w:rPr>
          <w:rFonts w:ascii="Times New Roman" w:cs="Times New Roman" w:eastAsia="Times New Roman" w:hAnsi="Times New Roman"/>
          <w:sz w:val="18"/>
          <w:szCs w:val="18"/>
          <w:color w:val="auto"/>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employees, Affiliates or agents,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spacing w:after="0" w:line="19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4.5          </w:t>
      </w:r>
      <w:r>
        <w:rPr>
          <w:rFonts w:ascii="Times New Roman" w:cs="Times New Roman" w:eastAsia="Times New Roman" w:hAnsi="Times New Roman"/>
          <w:sz w:val="18"/>
          <w:szCs w:val="18"/>
          <w:u w:val="single" w:color="auto"/>
          <w:color w:val="auto"/>
        </w:rPr>
        <w:t>  Shareholder Rights Plan</w:t>
      </w:r>
      <w:r>
        <w:rPr>
          <w:rFonts w:ascii="Times New Roman" w:cs="Times New Roman" w:eastAsia="Times New Roman" w:hAnsi="Times New Roman"/>
          <w:sz w:val="18"/>
          <w:szCs w:val="18"/>
          <w:color w:val="auto"/>
        </w:rPr>
        <w:t>. No claim will be made or enforced by the Company or, with the consent of the Company, any other Person, that any Purchaser is an “</w:t>
      </w:r>
      <w:r>
        <w:rPr>
          <w:rFonts w:ascii="Times New Roman" w:cs="Times New Roman" w:eastAsia="Times New Roman" w:hAnsi="Times New Roman"/>
          <w:sz w:val="18"/>
          <w:szCs w:val="18"/>
          <w:u w:val="single" w:color="auto"/>
          <w:color w:val="auto"/>
        </w:rPr>
        <w:t>Acquiring Person</w:t>
      </w:r>
      <w:r>
        <w:rPr>
          <w:rFonts w:ascii="Times New Roman" w:cs="Times New Roman" w:eastAsia="Times New Roman" w:hAnsi="Times New Roman"/>
          <w:sz w:val="18"/>
          <w:szCs w:val="18"/>
          <w:color w:val="auto"/>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the Shares under the Transaction Documents or under any other agreement between the Company and the Purchasers.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0" w:name="page31"/>
    <w:bookmarkEnd w:id="30"/>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4.6          </w:t>
      </w:r>
      <w:r>
        <w:rPr>
          <w:rFonts w:ascii="Times New Roman" w:cs="Times New Roman" w:eastAsia="Times New Roman" w:hAnsi="Times New Roman"/>
          <w:sz w:val="18"/>
          <w:szCs w:val="18"/>
          <w:u w:val="single" w:color="auto"/>
          <w:color w:val="auto"/>
        </w:rPr>
        <w:t>  Non-Public Information</w:t>
      </w:r>
      <w:r>
        <w:rPr>
          <w:rFonts w:ascii="Times New Roman" w:cs="Times New Roman" w:eastAsia="Times New Roman" w:hAnsi="Times New Roman"/>
          <w:sz w:val="18"/>
          <w:szCs w:val="18"/>
          <w:color w:val="auto"/>
        </w:rPr>
        <w:t>. Except with respect to the material terms and conditions of the transactions contemplated by the Transaction Documents, which shall be disclosed pursuant to Section 4.4,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directors,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spacing w:after="0" w:line="19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4.7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 The Company shall use the net proceeds from the sale of the Shares hereunder for working capital purposes and shall not use such proceeds: (a) for the satisfaction of any portion of the Company’s debt (other than payment of trade payables in the ordinary course of the Company’s business and prior practices), (b) for the redemption of any Common Stock or Common Stock Equivalents, (c) for the settlement of any outstanding litigation or (d) in violation of FCPA or OFAC regulations.</w:t>
      </w:r>
    </w:p>
    <w:p>
      <w:pPr>
        <w:spacing w:after="0" w:line="18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4.8          </w:t>
      </w:r>
      <w:r>
        <w:rPr>
          <w:rFonts w:ascii="Times New Roman" w:cs="Times New Roman" w:eastAsia="Times New Roman" w:hAnsi="Times New Roman"/>
          <w:sz w:val="18"/>
          <w:szCs w:val="18"/>
          <w:u w:val="single" w:color="auto"/>
          <w:color w:val="auto"/>
        </w:rPr>
        <w:t>  Indemnification of Purchasers</w:t>
      </w:r>
      <w:r>
        <w:rPr>
          <w:rFonts w:ascii="Times New Roman" w:cs="Times New Roman" w:eastAsia="Times New Roman" w:hAnsi="Times New Roman"/>
          <w:sz w:val="18"/>
          <w:szCs w:val="18"/>
          <w:color w:val="auto"/>
        </w:rPr>
        <w:t>. Subject to the provisions of this Section 4.8,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 w:cs="Times New Roman" w:eastAsia="Times New Roman" w:hAnsi="Times New Roman"/>
          <w:sz w:val="18"/>
          <w:szCs w:val="18"/>
          <w:u w:val="single" w:color="auto"/>
          <w:color w:val="auto"/>
        </w:rPr>
        <w:t>Purchaser Party</w:t>
      </w:r>
      <w:r>
        <w:rPr>
          <w:rFonts w:ascii="Times New Roman" w:cs="Times New Roman" w:eastAsia="Times New Roman" w:hAnsi="Times New Roman"/>
          <w:sz w:val="18"/>
          <w:szCs w:val="18"/>
          <w:color w:val="auto"/>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or any of them or their respective Affiliates, by any stockholder of the Company who is not an Affiliate of such Purchaser Party, with respect to any of the transactions contemplated by the Transaction Documents (unless such action is solely based upon a material breach of such Purchaser Party’s representations, warranties or covenants under the Transaction Documents or any agreements or understandings such Purchaser Party may have with any such stockholder or any violations by such Purchaser Party of state or federal securities laws or any conduct by such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(y) for any settlement by a Purchaser Party effected without the Company’s prior written consent, which shall not be unreasonably withheld or delayed; or (z) to the extent, but only to the extent that a loss, claim, damage or liability is attributable to any Purchaser Party’s breach of any of the representations, warranties, covenants or agreements made by such Purchaser Party in this Agreement or in the other Transaction Documents. The indemnification required by this Section 4.8 shall be made by periodic payments of the amount thereof during the course of the investigation or defense, as and when bills are received or are incurred. The indemnity agreements contained herein shall be in addition to any cause of action or similar right of any Purchaser Party against the Company or others and any liabilities the Company may be subject to pursuant to law.</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1" w:name="page32"/>
    <w:bookmarkEnd w:id="3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4.9          </w:t>
      </w:r>
      <w:r>
        <w:rPr>
          <w:rFonts w:ascii="Times New Roman" w:cs="Times New Roman" w:eastAsia="Times New Roman" w:hAnsi="Times New Roman"/>
          <w:sz w:val="18"/>
          <w:szCs w:val="18"/>
          <w:u w:val="single" w:color="auto"/>
          <w:color w:val="auto"/>
        </w:rPr>
        <w:t>  Reservation of Common Stock</w:t>
      </w:r>
      <w:r>
        <w:rPr>
          <w:rFonts w:ascii="Times New Roman" w:cs="Times New Roman" w:eastAsia="Times New Roman" w:hAnsi="Times New Roman"/>
          <w:sz w:val="18"/>
          <w:szCs w:val="18"/>
          <w:color w:val="auto"/>
        </w:rPr>
        <w:t>. As of the date hereof, the Company has reserved and the Company shall continue to reserve and keep available at all times, free of preemptive rights, a sufficient number of shares of Common Stock for the purpose of enabling the Company to issue the Shares pursuant to this Agreement.</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4.10        </w:t>
      </w:r>
      <w:r>
        <w:rPr>
          <w:rFonts w:ascii="Times New Roman" w:cs="Times New Roman" w:eastAsia="Times New Roman" w:hAnsi="Times New Roman"/>
          <w:sz w:val="18"/>
          <w:szCs w:val="18"/>
          <w:u w:val="single" w:color="auto"/>
          <w:color w:val="auto"/>
        </w:rPr>
        <w:t>  Listing of Common Stock</w:t>
      </w:r>
      <w:r>
        <w:rPr>
          <w:rFonts w:ascii="Times New Roman" w:cs="Times New Roman" w:eastAsia="Times New Roman" w:hAnsi="Times New Roman"/>
          <w:sz w:val="18"/>
          <w:szCs w:val="18"/>
          <w:color w:val="auto"/>
        </w:rPr>
        <w:t>. The Company hereby agrees to use best efforts to maintain the listing or quotation of the Common Stock on the Trading Market on which it is currently listed, and concurrently with the Closing, the Company shall apply to list or quote all of the Shares on such Trading Market and promptly secure the listing of all of the Shares on such Trading Market. The Company further agrees, if the Company applies to have the Common Stock traded on any other Trading Market, it will then include in such application all of the Shares, and will take such other action as is necessary to cause all of the Shares to be listed or quoted on such other Trading Market as promptly as possible. The Company will then take all action reasonably necessary to continue the listing and trading of its Common Stock on a Trading Market and will comply in all respects with the Company’s reporting, filing and other obligations under the bylaws or rules of the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4.11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2" w:name="page33"/>
    <w:bookmarkEnd w:id="3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4.12        </w:t>
      </w:r>
      <w:r>
        <w:rPr>
          <w:rFonts w:ascii="Times New Roman" w:cs="Times New Roman" w:eastAsia="Times New Roman" w:hAnsi="Times New Roman"/>
          <w:sz w:val="18"/>
          <w:szCs w:val="18"/>
          <w:u w:val="single" w:color="auto"/>
          <w:color w:val="auto"/>
        </w:rPr>
        <w:t>  Equal Treatment of Purchasers</w:t>
      </w:r>
      <w:r>
        <w:rPr>
          <w:rFonts w:ascii="Times New Roman" w:cs="Times New Roman" w:eastAsia="Times New Roman" w:hAnsi="Times New Roman"/>
          <w:sz w:val="18"/>
          <w:szCs w:val="18"/>
          <w:color w:val="auto"/>
        </w:rPr>
        <w:t>. No consideration (including any modification of this Agreement) shall be offered or paid to any Person to amend or consent to a waiver or modification of any provision of this Agreement unless the same consideration is also offered to all of the parties to this Agreement.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the Shares or otherwise.</w:t>
      </w:r>
    </w:p>
    <w:p>
      <w:pPr>
        <w:spacing w:after="0" w:line="18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4.13        </w:t>
      </w:r>
      <w:r>
        <w:rPr>
          <w:rFonts w:ascii="Times New Roman" w:cs="Times New Roman" w:eastAsia="Times New Roman" w:hAnsi="Times New Roman"/>
          <w:sz w:val="18"/>
          <w:szCs w:val="18"/>
          <w:u w:val="single" w:color="auto"/>
          <w:color w:val="auto"/>
        </w:rPr>
        <w:t>  Certain Transactions and Confidentiality</w:t>
      </w:r>
      <w:r>
        <w:rPr>
          <w:rFonts w:ascii="Times New Roman" w:cs="Times New Roman" w:eastAsia="Times New Roman" w:hAnsi="Times New Roman"/>
          <w:sz w:val="18"/>
          <w:szCs w:val="18"/>
          <w:color w:val="auto"/>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4.4. Each Purchaser, severally and not jointly with the other Purchasers, covenants that until such time as the transactions contemplated by this Agreement are publicly disclosed by the Company pursuant to the initial press release as described in Section 4.4,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4.4,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4.4 and (iii) no Purchaser shall have any duty of confidentiality or duty not to trade in the securities of the Company to the Company, any of its Subsidiaries, or any of their respective officers, directors, employees, Affiliates or agent, after the issuance of the initial press release as described in Section 4.4.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Shares covered by this Agreement.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4.14        </w:t>
      </w:r>
      <w:r>
        <w:rPr>
          <w:rFonts w:ascii="Times New Roman" w:cs="Times New Roman" w:eastAsia="Times New Roman" w:hAnsi="Times New Roman"/>
          <w:sz w:val="18"/>
          <w:szCs w:val="18"/>
          <w:u w:val="single" w:color="auto"/>
          <w:color w:val="auto"/>
        </w:rPr>
        <w:t>  Capital Changes</w:t>
      </w:r>
      <w:r>
        <w:rPr>
          <w:rFonts w:ascii="Times New Roman" w:cs="Times New Roman" w:eastAsia="Times New Roman" w:hAnsi="Times New Roman"/>
          <w:sz w:val="18"/>
          <w:szCs w:val="18"/>
          <w:color w:val="auto"/>
        </w:rPr>
        <w:t>. Until the one year anniversary of the Closing Date, the Company shall not undertake a reverse or forward stock split or reclassification of the Common Stock without the prior written consent of the Purchasers holding a majority in interest of the Shares, other than a reverse stock split that is required, in the good faith determination of the Board of Directors, to maintain the listing of the Common Stock on the Trading Market.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5.1          </w:t>
      </w:r>
      <w:r>
        <w:rPr>
          <w:rFonts w:ascii="Times New Roman" w:cs="Times New Roman" w:eastAsia="Times New Roman" w:hAnsi="Times New Roman"/>
          <w:sz w:val="18"/>
          <w:szCs w:val="18"/>
          <w:u w:val="single" w:color="auto"/>
          <w:color w:val="auto"/>
        </w:rPr>
        <w:t>  Termination</w:t>
      </w:r>
      <w:r>
        <w:rPr>
          <w:rFonts w:ascii="Times New Roman" w:cs="Times New Roman" w:eastAsia="Times New Roman" w:hAnsi="Times New Roman"/>
          <w:sz w:val="18"/>
          <w:szCs w:val="18"/>
          <w:color w:val="auto"/>
        </w:rPr>
        <w:t>. This Agreement may be terminated by any Purchaser, as to such Purchaser’s obligations hereunder only and without any effect whatsoever on the obligations between the Company and the other Purchasers, by written notice to the other parties, if the Closing has not been</w:t>
      </w:r>
    </w:p>
    <w:p>
      <w:pPr>
        <w:spacing w:after="0" w:line="209" w:lineRule="auto"/>
        <w:rPr>
          <w:sz w:val="20"/>
          <w:szCs w:val="20"/>
          <w:color w:val="auto"/>
        </w:rPr>
      </w:pPr>
      <w:r>
        <w:rPr>
          <w:rFonts w:ascii="Times New Roman" w:cs="Times New Roman" w:eastAsia="Times New Roman" w:hAnsi="Times New Roman"/>
          <w:sz w:val="18"/>
          <w:szCs w:val="18"/>
          <w:color w:val="auto"/>
        </w:rPr>
        <w:t>consummated on or before 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Trading Day following 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termination will affect the right of any party to sue for any breach by any other party (or parties).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5.2          </w:t>
      </w:r>
      <w:r>
        <w:rPr>
          <w:rFonts w:ascii="Times New Roman" w:cs="Times New Roman" w:eastAsia="Times New Roman" w:hAnsi="Times New Roman"/>
          <w:sz w:val="18"/>
          <w:szCs w:val="18"/>
          <w:u w:val="single" w:color="auto"/>
          <w:color w:val="auto"/>
        </w:rPr>
        <w:t>  Fees and Expenses</w:t>
      </w:r>
      <w:r>
        <w:rPr>
          <w:rFonts w:ascii="Times New Roman" w:cs="Times New Roman" w:eastAsia="Times New Roman" w:hAnsi="Times New Roman"/>
          <w:sz w:val="18"/>
          <w:szCs w:val="18"/>
          <w:color w:val="auto"/>
        </w:rPr>
        <w:t>. At the Closing, the Company has agreed to reimburse the Purchaser the greater of the non-accountable sum of</w:t>
      </w:r>
    </w:p>
    <w:p>
      <w:pPr>
        <w:spacing w:after="0" w:line="27" w:lineRule="exact"/>
        <w:rPr>
          <w:sz w:val="20"/>
          <w:szCs w:val="20"/>
          <w:color w:val="auto"/>
        </w:rPr>
      </w:pPr>
    </w:p>
    <w:p>
      <w:pPr>
        <w:jc w:val="both"/>
        <w:ind w:firstLine="8"/>
        <w:spacing w:after="0" w:line="252" w:lineRule="auto"/>
        <w:tabs>
          <w:tab w:leader="none" w:pos="2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$30,000 for its legal fees and expenses or (ii) the actual reasonable and documented legal fees and expenses of the Purchaser.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exercise notice delivered by a Purchaser), stamp taxes and other taxes and duties levied in connection with the delivery of any Shares to the Purchasers.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5.3          </w:t>
      </w:r>
      <w:r>
        <w:rPr>
          <w:rFonts w:ascii="Times New Roman" w:cs="Times New Roman" w:eastAsia="Times New Roman" w:hAnsi="Times New Roman"/>
          <w:sz w:val="18"/>
          <w:szCs w:val="18"/>
          <w:u w:val="single" w:color="auto"/>
          <w:color w:val="auto"/>
        </w:rPr>
        <w:t>  Entire Agreement</w:t>
      </w:r>
      <w:r>
        <w:rPr>
          <w:rFonts w:ascii="Times New Roman" w:cs="Times New Roman" w:eastAsia="Times New Roman" w:hAnsi="Times New Roman"/>
          <w:sz w:val="18"/>
          <w:szCs w:val="18"/>
          <w:color w:val="auto"/>
        </w:rPr>
        <w:t>. The Transaction Documents, together with the exhibits and schedules thereto, the Prospectus and the Prospectus Supplement,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5.4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 Any and all notices or other communications or deliveries required or permitted to be provided hereunder shall be in writing and shall be deemed given and effective on the earliest of: (a) the time of transmission, if such notice or communication is delivered via email attachment at the email address as set forth on the signature pages attached hereto at or prior to 5:30 p.m. (New York City time) on a Trading Day, (b) the next Trading Day after the time of transmission, if such notice or communication is delivered via email attachment at the email address as set forth on the signature</w:t>
      </w:r>
    </w:p>
    <w:p>
      <w:pPr>
        <w:spacing w:after="0" w:line="3"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pages attached hereto on a day that is not a Trading Day or later than 5:30 p.m. (New York City time) on any Trading Day, (c)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 To the extent that any notice provided pursuant to any Transaction Document constitutes, or contains, material, non-public information regarding the Company or any Subsidiaries, the Company shall simultaneously file such notice with the Commission pursuant to a Current Report on Form 8-K.</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4" w:name="page35"/>
    <w:bookmarkEnd w:id="34"/>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5.5          </w:t>
      </w:r>
      <w:r>
        <w:rPr>
          <w:rFonts w:ascii="Times New Roman" w:cs="Times New Roman" w:eastAsia="Times New Roman" w:hAnsi="Times New Roman"/>
          <w:sz w:val="18"/>
          <w:szCs w:val="18"/>
          <w:u w:val="single" w:color="auto"/>
          <w:color w:val="auto"/>
        </w:rPr>
        <w:t>  Amendments; Waivers</w:t>
      </w:r>
      <w:r>
        <w:rPr>
          <w:rFonts w:ascii="Times New Roman" w:cs="Times New Roman" w:eastAsia="Times New Roman" w:hAnsi="Times New Roman"/>
          <w:sz w:val="18"/>
          <w:szCs w:val="18"/>
          <w:color w:val="auto"/>
        </w:rPr>
        <w:t>. No provision of this Agreement may be waived, modified, supplemented or amended except in a written instrument signed, in the case of an amendment, by the Company and Purchasers which purchased at least 50.1% in interest of the Shares based on the initial Subscription Amounts hereunder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at least 50.1% in interest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proposed amendment or waiver that disproportionately, materially and adversely affects the rights and obligations of any Purchaser relative to the comparable rights and obligations of the other Purchasers shall require the prior written consent of such adversely affected Purchaser. Any amendment effected in accordance with this Section 5.5 shall be binding upon each Purchaser and holder of the Shares and the Company.</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5.6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The headings herein are for convenience only, do not constitute a part of this Agreement and shall not be deemed to limit or affect any of the provisions hereof.</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5.7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Shares, provided that such transferee agrees in writing to be bound, with respect to the transferred Shares, by the provisions of the Transaction Documents that apply to the “Purchasers.”</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5.8          </w:t>
      </w:r>
      <w:r>
        <w:rPr>
          <w:rFonts w:ascii="Times New Roman" w:cs="Times New Roman" w:eastAsia="Times New Roman" w:hAnsi="Times New Roman"/>
          <w:sz w:val="18"/>
          <w:szCs w:val="18"/>
          <w:u w:val="single" w:color="auto"/>
          <w:color w:val="auto"/>
        </w:rPr>
        <w:t>  No Third-Party Beneficiaries</w:t>
      </w:r>
      <w:r>
        <w:rPr>
          <w:rFonts w:ascii="Times New Roman" w:cs="Times New Roman" w:eastAsia="Times New Roman" w:hAnsi="Times New Roman"/>
          <w:sz w:val="18"/>
          <w:szCs w:val="18"/>
          <w:color w:val="auto"/>
        </w:rPr>
        <w:t>. This Agreement is intended for the benefit of the parties hereto and their respective successors and permitted assigns and is not for the benefit of, nor may any provision hereof be enforced by, any other Person, except as otherwise set forth in Section 4.8 and this Section 5.8.</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5.9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All questions concerning the construction, validity, enforcement and interpretation of the Transaction Documents shall be governed by and construed and enforced in accordance with the internal laws of the State of New York,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state and federal courts sitting in the City of New York. Each party hereby irrevocably submits to the exclusive jurisdiction of the state and federal courts sitting in the City of New York, Borough of Manhattan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law. If any party shall commence an Action or Proceeding to enforce any provisions of the Transaction Documents, then, in addition to the obligations of the Company under Section 4.8, the prevailing party in such Action or Proceeding shall be reimbursed by the non-prevailing party for its reasonable attorneys’ fees and other costs and expenses incurred with the investigation, preparation and prosecution of such Action or Proceeding.</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18"/>
          <w:szCs w:val="18"/>
          <w:color w:val="auto"/>
        </w:rPr>
        <w:t>5.10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The representations and warranties contained herein shall survive the Closing and the delivery of the Shares.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5.11        </w:t>
      </w:r>
      <w:r>
        <w:rPr>
          <w:rFonts w:ascii="Times New Roman" w:cs="Times New Roman" w:eastAsia="Times New Roman" w:hAnsi="Times New Roman"/>
          <w:sz w:val="18"/>
          <w:szCs w:val="18"/>
          <w:u w:val="single" w:color="auto"/>
          <w:color w:val="auto"/>
        </w:rPr>
        <w:t>  Execution</w:t>
      </w:r>
      <w:r>
        <w:rPr>
          <w:rFonts w:ascii="Times New Roman" w:cs="Times New Roman" w:eastAsia="Times New Roman" w:hAnsi="Times New Roman"/>
          <w:sz w:val="18"/>
          <w:szCs w:val="18"/>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e-mail delivery (including any electronic signature covered by the U.S. federal ESIGN Act of 2000, Uniform Electronic Transactions Act, the Electronic Signatures and Records Act or other applicable law, e.g., www.docusign.com) or other transmission method, such signature shall be deemed to have been duly and validly delivered and shall create a valid and binding obligation of the party executing (or on whose behalf such signature is executed) with the same force and effect as if such “.pdf” signature page were an original thereof.</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5.12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5.13        </w:t>
      </w:r>
      <w:r>
        <w:rPr>
          <w:rFonts w:ascii="Times New Roman" w:cs="Times New Roman" w:eastAsia="Times New Roman" w:hAnsi="Times New Roman"/>
          <w:sz w:val="18"/>
          <w:szCs w:val="18"/>
          <w:u w:val="single" w:color="auto"/>
          <w:color w:val="auto"/>
        </w:rPr>
        <w:t>  Rescission and Withdrawal Right</w:t>
      </w:r>
      <w:r>
        <w:rPr>
          <w:rFonts w:ascii="Times New Roman" w:cs="Times New Roman" w:eastAsia="Times New Roman" w:hAnsi="Times New Roman"/>
          <w:sz w:val="18"/>
          <w:szCs w:val="18"/>
          <w:color w:val="auto"/>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5.14        </w:t>
      </w:r>
      <w:r>
        <w:rPr>
          <w:rFonts w:ascii="Times New Roman" w:cs="Times New Roman" w:eastAsia="Times New Roman" w:hAnsi="Times New Roman"/>
          <w:sz w:val="18"/>
          <w:szCs w:val="18"/>
          <w:u w:val="single" w:color="auto"/>
          <w:color w:val="auto"/>
        </w:rPr>
        <w:t>  Replacement of</w:t>
      </w:r>
      <w:r>
        <w:rPr>
          <w:rFonts w:ascii="Times New Roman" w:cs="Times New Roman" w:eastAsia="Times New Roman" w:hAnsi="Times New Roman"/>
          <w:sz w:val="18"/>
          <w:szCs w:val="18"/>
          <w:color w:val="auto"/>
        </w:rPr>
        <w:t xml:space="preserve"> Shares. If any certificate or instrument evidencing any Shares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Shares.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6" w:name="page37"/>
    <w:bookmarkEnd w:id="3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5.15        </w:t>
      </w:r>
      <w:r>
        <w:rPr>
          <w:rFonts w:ascii="Times New Roman" w:cs="Times New Roman" w:eastAsia="Times New Roman" w:hAnsi="Times New Roman"/>
          <w:sz w:val="18"/>
          <w:szCs w:val="18"/>
          <w:u w:val="single" w:color="auto"/>
          <w:color w:val="auto"/>
        </w:rPr>
        <w:t>  Remedies</w:t>
      </w:r>
      <w:r>
        <w:rPr>
          <w:rFonts w:ascii="Times New Roman" w:cs="Times New Roman" w:eastAsia="Times New Roman" w:hAnsi="Times New Roman"/>
          <w:sz w:val="18"/>
          <w:szCs w:val="18"/>
          <w:color w:val="auto"/>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5.16        </w:t>
      </w:r>
      <w:r>
        <w:rPr>
          <w:rFonts w:ascii="Times New Roman" w:cs="Times New Roman" w:eastAsia="Times New Roman" w:hAnsi="Times New Roman"/>
          <w:sz w:val="18"/>
          <w:szCs w:val="18"/>
          <w:u w:val="single" w:color="auto"/>
          <w:color w:val="auto"/>
        </w:rPr>
        <w:t>  Payment Set Aside</w:t>
      </w:r>
      <w:r>
        <w:rPr>
          <w:rFonts w:ascii="Times New Roman" w:cs="Times New Roman" w:eastAsia="Times New Roman" w:hAnsi="Times New Roman"/>
          <w:sz w:val="18"/>
          <w:szCs w:val="18"/>
          <w:color w:val="auto"/>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spacing w:after="0" w:line="18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5.17        </w:t>
      </w:r>
      <w:r>
        <w:rPr>
          <w:rFonts w:ascii="Times New Roman" w:cs="Times New Roman" w:eastAsia="Times New Roman" w:hAnsi="Times New Roman"/>
          <w:sz w:val="18"/>
          <w:szCs w:val="18"/>
          <w:u w:val="single" w:color="auto"/>
          <w:color w:val="auto"/>
        </w:rPr>
        <w:t>  Independent Nature of Purchasers’ Obligations and Rights</w:t>
      </w:r>
      <w:r>
        <w:rPr>
          <w:rFonts w:ascii="Times New Roman" w:cs="Times New Roman" w:eastAsia="Times New Roman" w:hAnsi="Times New Roman"/>
          <w:sz w:val="18"/>
          <w:szCs w:val="18"/>
          <w:color w:val="auto"/>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spacing w:after="0" w:line="19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5.18        </w:t>
      </w:r>
      <w:r>
        <w:rPr>
          <w:rFonts w:ascii="Times New Roman" w:cs="Times New Roman" w:eastAsia="Times New Roman" w:hAnsi="Times New Roman"/>
          <w:sz w:val="18"/>
          <w:szCs w:val="18"/>
          <w:u w:val="single" w:color="auto"/>
          <w:color w:val="auto"/>
        </w:rPr>
        <w:t>  Liquidated Damages</w:t>
      </w:r>
      <w:r>
        <w:rPr>
          <w:rFonts w:ascii="Times New Roman" w:cs="Times New Roman" w:eastAsia="Times New Roman" w:hAnsi="Times New Roman"/>
          <w:sz w:val="18"/>
          <w:szCs w:val="18"/>
          <w:color w:val="auto"/>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5.19        </w:t>
      </w:r>
      <w:r>
        <w:rPr>
          <w:rFonts w:ascii="Times New Roman" w:cs="Times New Roman" w:eastAsia="Times New Roman" w:hAnsi="Times New Roman"/>
          <w:sz w:val="18"/>
          <w:szCs w:val="18"/>
          <w:u w:val="single" w:color="auto"/>
          <w:color w:val="auto"/>
        </w:rPr>
        <w:t>  Saturdays, Sundays, Holidays, etc.</w:t>
      </w:r>
      <w:r>
        <w:rPr>
          <w:rFonts w:ascii="Times New Roman" w:cs="Times New Roman" w:eastAsia="Times New Roman" w:hAnsi="Times New Roman"/>
          <w:sz w:val="18"/>
          <w:szCs w:val="18"/>
          <w:color w:val="auto"/>
        </w:rPr>
        <w:t>         If the last or appointed day for the taking of any action or the expiration of any right required or granted herein shall not be a Trading Day, then such action may be taken or such right may be exercised on the next succeeding Trading Day.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7" w:name="page38"/>
    <w:bookmarkEnd w:id="37"/>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5.20        </w:t>
      </w:r>
      <w:r>
        <w:rPr>
          <w:rFonts w:ascii="Times New Roman" w:cs="Times New Roman" w:eastAsia="Times New Roman" w:hAnsi="Times New Roman"/>
          <w:sz w:val="18"/>
          <w:szCs w:val="18"/>
          <w:u w:val="single" w:color="auto"/>
          <w:color w:val="auto"/>
        </w:rPr>
        <w:t>  Construction</w:t>
      </w:r>
      <w:r>
        <w:rPr>
          <w:rFonts w:ascii="Times New Roman" w:cs="Times New Roman" w:eastAsia="Times New Roman" w:hAnsi="Times New Roman"/>
          <w:sz w:val="18"/>
          <w:szCs w:val="18"/>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9"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18"/>
          <w:szCs w:val="18"/>
          <w:color w:val="auto"/>
        </w:rPr>
        <w:t>5.21        </w:t>
      </w:r>
      <w:r>
        <w:rPr>
          <w:rFonts w:ascii="Times New Roman" w:cs="Times New Roman" w:eastAsia="Times New Roman" w:hAnsi="Times New Roman"/>
          <w:sz w:val="18"/>
          <w:szCs w:val="18"/>
          <w:u w:val="single" w:color="auto"/>
          <w:color w:val="auto"/>
        </w:rPr>
        <w:t>  </w:t>
      </w: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IN ANY ACTION, SUIT, OR PROCEEDING IN ANY JURISDICTION BROUGHT BY 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PARTY AGAINST ANY OTHER PARTY, THE PARTIES EACH KNOWINGLY AND INTENTIONALLY, TO THE GREATEST EXTENT PERMITTED BY APPLICABLE LAW, HEREBY ABSOLUTELY, UNCONDITIONALLY, IRREVOCABLY AND EXPRESSLY WAIVES FOREVER TRIAL BY JURY.</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(Signature Pages Follow)</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8" w:name="page39"/>
    <w:bookmarkEnd w:id="38"/>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parties hereto have caused this Securities Purchase Agreement to be duly executed by their respective authorized signatories as of the date first indicated above.</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XWELL, INC.</w:t>
            </w:r>
          </w:p>
        </w:tc>
        <w:tc>
          <w:tcPr>
            <w:tcW w:w="220" w:type="dxa"/>
            <w:vAlign w:val="bottom"/>
          </w:tcPr>
          <w:p>
            <w:pPr>
              <w:spacing w:after="0"/>
              <w:rPr>
                <w:sz w:val="17"/>
                <w:szCs w:val="17"/>
                <w:color w:val="auto"/>
              </w:rPr>
            </w:pPr>
          </w:p>
        </w:tc>
        <w:tc>
          <w:tcPr>
            <w:tcW w:w="1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8"/>
              </w:rPr>
              <w:t>Address for Notice:</w:t>
            </w:r>
          </w:p>
        </w:tc>
      </w:tr>
      <w:tr>
        <w:trPr>
          <w:trHeight w:val="453"/>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w:t>
            </w: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E-Mail:</w:t>
            </w:r>
          </w:p>
        </w:tc>
      </w:tr>
      <w:tr>
        <w:trPr>
          <w:trHeight w:val="191"/>
        </w:trPr>
        <w:tc>
          <w:tcPr>
            <w:tcW w:w="340" w:type="dxa"/>
            <w:vAlign w:val="bottom"/>
          </w:tcPr>
          <w:p>
            <w:pPr>
              <w:spacing w:after="0"/>
              <w:rPr>
                <w:sz w:val="16"/>
                <w:szCs w:val="16"/>
                <w:color w:val="auto"/>
              </w:rPr>
            </w:pPr>
          </w:p>
        </w:tc>
        <w:tc>
          <w:tcPr>
            <w:tcW w:w="51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6"/>
        </w:trPr>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Title:</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With a copy to (which shall not constitute notice):</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19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7"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color w:val="auto"/>
        </w:rPr>
        <w:t>SIGNATURE PAGE FOR PURCHASER FOLLOWS]</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color w:val="auto"/>
        </w:rPr>
        <w:t>[PURCHASER SIGNATURE PAGES TO XWEL SECURITIES PURCHASE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caused this Securities Purchase Agreement to be duly executed by their respective authorized signatories as of the date first indicated above.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Purchaser: _________________________________________________________________________________________________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of Authorized Signatory of Purchaser</w:t>
      </w:r>
      <w:r>
        <w:rPr>
          <w:rFonts w:ascii="Times New Roman" w:cs="Times New Roman" w:eastAsia="Times New Roman" w:hAnsi="Times New Roman"/>
          <w:sz w:val="18"/>
          <w:szCs w:val="18"/>
          <w:color w:val="auto"/>
        </w:rPr>
        <w:t>:  __________________________________________________________________________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Authorized Signatory: 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of Authorized Signatory: _________________________________________________________________________________________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Email Address of Authorized Signatory:  _________________________________________________________________________________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for Notice to Purchaser: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Subscription Amount: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EIN Number: _______________________</w:t>
      </w:r>
    </w:p>
    <w:p>
      <w:pPr>
        <w:spacing w:after="0" w:line="184" w:lineRule="exact"/>
        <w:rPr>
          <w:sz w:val="20"/>
          <w:szCs w:val="20"/>
          <w:color w:val="auto"/>
        </w:rPr>
      </w:pPr>
    </w:p>
    <w:p>
      <w:pPr>
        <w:jc w:val="both"/>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Notwithstanding anything contained in this Agreement to the contrary, by checking this box (i) the obligations of the above-signed to purchase the securities set forth in this Agreement to be purchased from the Company by the above-signed, and the obligations of the Company to sell such securities to</w:t>
      </w:r>
    </w:p>
    <w:p>
      <w:pPr>
        <w:spacing w:after="0" w:line="1"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18"/>
          <w:szCs w:val="18"/>
          <w:color w:val="auto"/>
        </w:rPr>
        <w:t>the above-signed, shall be unconditional and all conditions to Closing shall be disregarded, (ii) the Closing shall occur by the first (1</w:t>
      </w:r>
      <w:r>
        <w:rPr>
          <w:rFonts w:ascii="Times New Roman" w:cs="Times New Roman" w:eastAsia="Times New Roman" w:hAnsi="Times New Roman"/>
          <w:sz w:val="29"/>
          <w:szCs w:val="29"/>
          <w:color w:val="auto"/>
          <w:vertAlign w:val="superscript"/>
        </w:rPr>
        <w:t>st</w:t>
      </w:r>
      <w:r>
        <w:rPr>
          <w:rFonts w:ascii="Times New Roman" w:cs="Times New Roman" w:eastAsia="Times New Roman" w:hAnsi="Times New Roman"/>
          <w:sz w:val="18"/>
          <w:szCs w:val="18"/>
          <w:color w:val="auto"/>
        </w:rPr>
        <w:t>) Trading Day following the date of this Agreement and (iii) any condition to Closing contemplated by this Agreement (but prior to being disregarded by clause (i) above) that required delivery by the Company or the above-signed of any agreement, instrument, certificate or the like or purchase price (as applicable) shall no longer be a condition and shall instead be an unconditional obligation of the Company or the above-signed (as applicable) to deliver such agreement, instrument, certificate or the like or purchase price (as applicable) to such other party on the Closing Date.</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CONTINUE]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XWELL Announces $1.4 Million Registered Direct Offering</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Priced At Premium to Market</w:t>
      </w:r>
    </w:p>
    <w:p>
      <w:pPr>
        <w:spacing w:after="0" w:line="20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NEW YORK--(BUSINESS WIRE)--Aug. 6, 2024-- XWELL, Inc. (Nasdaq: XWEL) (“XWELL” or the “Company”)</w:t>
      </w:r>
      <w:r>
        <w:rPr>
          <w:rFonts w:ascii="Times New Roman" w:cs="Times New Roman" w:eastAsia="Times New Roman" w:hAnsi="Times New Roman"/>
          <w:sz w:val="18"/>
          <w:szCs w:val="18"/>
          <w:color w:val="auto"/>
        </w:rPr>
        <w:t>, an authority in wellness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solutions for people on the go, today announced that it has entered into definitive agreements for the issuance and sale of an aggregate of 652,705 shares of its common stock, par value $0.01 per share, at a purchase price of $2.18 per share in a registered direct offering priced at a premium to market. The closing of the offering is expected to occur on or about August 8, 2024, subject to the satisfaction of customary closing conditions.</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offering are expected to be approximately $1.4 million, before deducting other offering expenses payable by the Company. The Company intends to use the net proceeds of this offering for working capital and general corporate purposes.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shares of common stock offered in the registered direct offering described above are being offered by the Company pursuant to a shelf registration statement on Form S-3 (File No. 333-273726) that was previously filed with the Securities and Exchange Commission (“SEC”) on August 4, 2023, and subsequently declared effective on September 29, 2023. The offering of the shares of common stock to be issued in the registered direct offering are being offered only by means of a prospectus, including a prospectus supplement, forming a part of the effective registration statement. A final prospectus supplement and accompanying base prospectus relating to, and describing the terms of, the registered direct offering will be filed with the SEC and will be available on the SEC’s website at www.sec.gov.</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a solicitation of an offer to buy the securities in this offering, nor shall there be any sale of these securities in any state or other jurisdiction in which such offer, solicitation or sale would be unlawful prior to the registration or qualification under the securities laws of any such state or other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XWELL, Inc.</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XWELL, Inc. (Nasdaq: XWEL) is a leading global wellness holding company operating multiple brands: XpresSpa®, Treat™, Naples Wax Center®, XpresCheck® and HyperPointe™.</w:t>
      </w:r>
    </w:p>
    <w:p>
      <w:pPr>
        <w:spacing w:after="0" w:line="16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XpresSpa is a leading retailer of wellness services and related products, with 33 locations in 16 airports globally.</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Naples Wax Center is a group of upscale skin care boutiques, with three locations currently operating.</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XpresCheck is a provider of screening and diagnostic testing in partnership with the CDC and Concentric by Ginkgo, conducting biosurveillance monitoring in its airport locations to identify new SARS-CoV-2 variants of interest and concern as well as other pathogens entering the country from across the world.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HyperPointe is a leading digital healthcare and data analytics relationship company serving the global healthcare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This press release may contain “forward-looking” statements within the meaning of the Private Securities Litigation Reform Act of 1995, Section 27A of the Securities Act of 1933, as amended, and Section 21E of the Securities Exchange Act of 1934, as amended. These include statements preceded by, followed by or that otherwise include the words “believes,” “expects,” “anticipates,” “estimates,” “projects,” “intends,” “should,” “seeks,” “future,” “continue,” or the negative of such terms, or other comparable terminology, and include such risks and uncertainties such as market and other conditions. Forward-looking statements relating to expectations about future results or events, including statements related to the timing and completion of the registered direct offering, the satisfaction of customary closing conditions related to the registered direct offering and the intended use of proceeds the registered direct offering, the Company’s current plans and expectations relating to the business and operations and future store openings, including but not limited to, future openings of Naples Wax Center and XpresSpa stores, are based upon information available to XWELL as of the date of this press release, and are not guarantees of the future performance of the Company, and actual results may vary materially from the results and expectations discussed. Additional information concerning these and other risks is contained in the Company’s Annual Report on Form 10-K, as amended, Quarterly Reports on Form 10-Q and Current Reports on Form 8-K, and other SEC filings. All subsequent written and oral forward-looking statements concerning XWELL, or other matters and attributable to XWELL or any person acting on its behalf are expressly qualified in their entirety by the cautionary statements above. XWELL does not undertake any obligation to publicly update any of these forward-looking statements to reflect events or circumstances that may arise after the date hereof.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mkucinski@mww.com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3"/>
    </w:lvl>
  </w:abstractNum>
  <w:abstractNum w:abstractNumId="3">
    <w:nsid w:val="507ED7AB"/>
    <w:multiLevelType w:val="hybridMultilevel"/>
    <w:lvl w:ilvl="0">
      <w:lvlJc w:val="left"/>
      <w:lvlText w:val="(%1)"/>
      <w:numFmt w:val="lowerRoman"/>
      <w:start w:val="2"/>
    </w:lvl>
  </w:abstractNum>
  <w:abstractNum w:abstractNumId="4">
    <w:nsid w:val="2EB141F2"/>
    <w:multiLevelType w:val="hybridMultilevel"/>
    <w:lvl w:ilvl="0">
      <w:lvlJc w:val="left"/>
      <w:lvlText w:val="(%1)"/>
      <w:numFmt w:val="decimal"/>
      <w:start w:val="2"/>
    </w:lvl>
  </w:abstractNum>
  <w:abstractNum w:abstractNumId="5">
    <w:nsid w:val="41B71EFB"/>
    <w:multiLevelType w:val="hybridMultilevel"/>
    <w:lvl w:ilvl="0">
      <w:lvlJc w:val="left"/>
      <w:lvlText w:val="(%1)"/>
      <w:numFmt w:val="lowerRoman"/>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2024-08-07T08:09:32Z</dcterms:created>
  <dcterms:modified xsi:type="dcterms:W3CDTF">2024-08-07T08:09:32Z</dcterms:modified>
</cp:coreProperties>
</file>