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3980" w:right="1940" w:hanging="3972"/>
        <w:spacing w:after="0" w:line="476" w:lineRule="auto"/>
        <w:tabs>
          <w:tab w:leader="none" w:pos="33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3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Holdings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Delaware</w:t>
            </w:r>
          </w:p>
        </w:tc>
        <w:tc>
          <w:tcPr>
            <w:tcW w:w="5460" w:type="dxa"/>
            <w:vAlign w:val="bottom"/>
          </w:tcPr>
          <w:p>
            <w:pPr>
              <w:jc w:val="right"/>
              <w:ind w:right="221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5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460" w:type="dxa"/>
            <w:vAlign w:val="bottom"/>
          </w:tcPr>
          <w:p>
            <w:pPr>
              <w:spacing w:after="0"/>
              <w:rPr>
                <w:sz w:val="16"/>
                <w:szCs w:val="16"/>
                <w:color w:val="auto"/>
              </w:rPr>
            </w:pPr>
          </w:p>
        </w:tc>
        <w:tc>
          <w:tcPr>
            <w:tcW w:w="54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incorporation or organization)</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5460" w:type="dxa"/>
            <w:vAlign w:val="bottom"/>
          </w:tcPr>
          <w:p>
            <w:pPr>
              <w:jc w:val="right"/>
              <w:ind w:right="2410"/>
              <w:spacing w:after="0"/>
              <w:rPr>
                <w:sz w:val="20"/>
                <w:szCs w:val="20"/>
                <w:color w:val="auto"/>
              </w:rPr>
            </w:pPr>
            <w:r>
              <w:rPr>
                <w:rFonts w:ascii="Arial" w:cs="Arial" w:eastAsia="Arial" w:hAnsi="Arial"/>
                <w:sz w:val="18"/>
                <w:szCs w:val="18"/>
                <w:b w:val="1"/>
                <w:bCs w:val="1"/>
                <w:color w:val="auto"/>
              </w:rPr>
              <w:t>10017</w:t>
            </w:r>
          </w:p>
        </w:tc>
      </w:tr>
      <w:tr>
        <w:trPr>
          <w:trHeight w:val="228"/>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6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(212) 309-7549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Title of each class</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46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648" w:right="23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160" w:space="720"/>
            <w:col w:w="4400" w:space="720"/>
            <w:col w:w="2140" w:space="720"/>
            <w:col w:w="560"/>
          </w:cols>
          <w:pgMar w:left="240" w:top="648"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2160" w:space="720"/>
            <w:col w:w="4400" w:space="720"/>
            <w:col w:w="2140" w:space="720"/>
            <w:col w:w="560"/>
          </w:cols>
          <w:pgMar w:left="240" w:top="648" w:right="239" w:bottom="1440" w:gutter="0" w:footer="0" w:header="0"/>
          <w:type w:val="continuous"/>
        </w:sectPr>
      </w:pPr>
    </w:p>
    <w:p>
      <w:pPr>
        <w:spacing w:after="0" w:line="4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 w:leader="none" w:pos="8820" w:val="left"/>
          <w:tab w:leader="none" w:pos="9220" w:val="left"/>
          <w:tab w:leader="none" w:pos="9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7, 2017, 26,483,467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w w:val="95"/>
              </w:rPr>
              <w:t>FORM Holdings Corp.</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0" w:type="dxa"/>
            <w:vAlign w:val="bottom"/>
            <w:gridSpan w:val="3"/>
          </w:tcPr>
          <w:p>
            <w:pPr>
              <w:jc w:val="center"/>
              <w:ind w:right="3120"/>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33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w:t>
              </w:r>
            </w:hyperlink>
          </w:p>
        </w:tc>
        <w:tc>
          <w:tcPr>
            <w:tcW w:w="6000" w:type="dxa"/>
            <w:vAlign w:val="bottom"/>
            <w:tcBorders>
              <w:bottom w:val="single" w:sz="8" w:color="CCEEFF"/>
            </w:tcBorders>
            <w:gridSpan w:val="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2"/>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00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13"/>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PART II. OTHER INFORMATION</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2"/>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8440" w:type="dxa"/>
            <w:vAlign w:val="bottom"/>
            <w:tcBorders>
              <w:bottom w:val="single" w:sz="8" w:color="CCEEFF"/>
            </w:tcBorders>
            <w:gridSpan w:val="10"/>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Defaults Upon Senior Securities</w:t>
              </w:r>
            </w:hyperlink>
          </w:p>
        </w:tc>
        <w:tc>
          <w:tcPr>
            <w:tcW w:w="7020" w:type="dxa"/>
            <w:vAlign w:val="bottom"/>
            <w:tcBorders>
              <w:bottom w:val="single" w:sz="8" w:color="CCEEFF"/>
            </w:tcBorders>
            <w:gridSpan w:val="4"/>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1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8040" w:type="dxa"/>
            <w:vAlign w:val="bottom"/>
            <w:tcBorders>
              <w:top w:val="single" w:sz="8" w:color="CCEEFF"/>
            </w:tcBorders>
            <w:gridSpan w:val="9"/>
          </w:tcPr>
          <w:p>
            <w:pPr>
              <w:spacing w:after="0"/>
              <w:rPr>
                <w:sz w:val="15"/>
                <w:szCs w:val="15"/>
                <w:color w:val="auto"/>
              </w:rPr>
            </w:pPr>
          </w:p>
        </w:tc>
        <w:tc>
          <w:tcPr>
            <w:tcW w:w="11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5860" w:type="dxa"/>
            <w:vAlign w:val="bottom"/>
            <w:tcBorders>
              <w:bottom w:val="single" w:sz="8" w:color="auto"/>
            </w:tcBorders>
            <w:gridSpan w:val="10"/>
          </w:tcPr>
          <w:p>
            <w:pPr>
              <w:jc w:val="center"/>
              <w:ind w:left="2450"/>
              <w:spacing w:after="0"/>
              <w:rPr>
                <w:sz w:val="20"/>
                <w:szCs w:val="20"/>
                <w:color w:val="auto"/>
              </w:rPr>
            </w:pPr>
            <w:r>
              <w:rPr>
                <w:rFonts w:ascii="Arial" w:cs="Arial" w:eastAsia="Arial" w:hAnsi="Arial"/>
                <w:sz w:val="18"/>
                <w:szCs w:val="18"/>
                <w:color w:val="auto"/>
                <w:w w:val="79"/>
              </w:rPr>
              <w:t>2</w:t>
            </w:r>
          </w:p>
        </w:tc>
        <w:tc>
          <w:tcPr>
            <w:tcW w:w="2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40" w:type="dxa"/>
            <w:vAlign w:val="bottom"/>
          </w:tcPr>
          <w:p>
            <w:pPr>
              <w:jc w:val="center"/>
              <w:ind w:left="2850"/>
              <w:spacing w:after="0"/>
              <w:rPr>
                <w:sz w:val="20"/>
                <w:szCs w:val="20"/>
                <w:color w:val="auto"/>
              </w:rPr>
            </w:pPr>
            <w:r>
              <w:rPr>
                <w:rFonts w:ascii="Arial" w:cs="Arial" w:eastAsia="Arial" w:hAnsi="Arial"/>
                <w:sz w:val="18"/>
                <w:szCs w:val="18"/>
                <w:b w:val="1"/>
                <w:bCs w:val="1"/>
                <w:color w:val="auto"/>
                <w:w w:val="92"/>
              </w:rPr>
              <w:t>FORM Holdings Corp. and Subsidiaries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7,958</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Assets held for disposal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14,377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14,475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25,821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72,382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11,437</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stock, $0.01 par value per share; 500,000 shares authorized; 6,968 issued and none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Series B Convertible Preferred stock, $0.01 par value per share; 5,000,000 shares authorized; 1,666,667 issued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none outstanding</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0"/>
              </w:rPr>
              <w:t>Series C Junior Preferred stock, $0.01 par value per share; 300,000 shares authorized; none issued and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D Convertible Preferred Stock, $0.01 par value per share; 500,000 shares authorized; 475,208 issued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91"/>
              </w:rPr>
              <w:t>429,948 outstanding with a liquidation value of $20,638 as of June 30, 2017; 491,427 issued and outstanding with 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liquidation value of $23,588 as of December 31, 2016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19,565,531 and 18,304,881 issued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outstanding as of June 30, 2017 and December 31, 2016, 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282,603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(234,303)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Total equity attributable to the Company</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72,382</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Wellness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12,927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23,911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Wellness</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10,401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19,236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Depreciation, amortization and impairment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12,329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4,955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11,539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41,565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Non-operating income (expense), net</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Extinguishment of debt</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(5,358)</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8"/>
              </w:rPr>
              <w:t>Other comprehensive loss from continuing operations: foreign currency</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20" w:type="dxa"/>
            <w:vAlign w:val="bottom"/>
            <w:gridSpan w:val="2"/>
          </w:tcPr>
          <w:p>
            <w:pPr>
              <w:spacing w:after="0"/>
              <w:rPr>
                <w:sz w:val="20"/>
                <w:szCs w:val="20"/>
                <w:color w:val="auto"/>
              </w:rPr>
            </w:pPr>
            <w:r>
              <w:rPr>
                <w:rFonts w:ascii="Arial" w:cs="Arial" w:eastAsia="Arial" w:hAnsi="Arial"/>
                <w:sz w:val="18"/>
                <w:szCs w:val="18"/>
                <w:color w:val="auto"/>
              </w:rPr>
              <w:t>translations</w:t>
            </w:r>
          </w:p>
        </w:tc>
        <w:tc>
          <w:tcPr>
            <w:tcW w:w="1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Other comprehensive loss from discontinued operations: foreign currency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translations</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 from discontinued operations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per share from 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Loss per share from discontinued operations</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basic and diluted net loss per share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during the period:</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19,310,994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14,993,686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19,178,769</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14,576,183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19,310,994</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14,993,686</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19,178,769</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14,576,183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*Includes stock-based compensation expense, as follows: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1,473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04"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Common</w:t>
            </w:r>
          </w:p>
        </w:tc>
        <w:tc>
          <w:tcPr>
            <w:tcW w:w="20" w:type="dxa"/>
            <w:vAlign w:val="bottom"/>
          </w:tcPr>
          <w:p>
            <w:pPr>
              <w:spacing w:after="0"/>
              <w:rPr>
                <w:sz w:val="18"/>
                <w:szCs w:val="18"/>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4"/>
              </w:rPr>
              <w:t>Preferred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paid-</w:t>
            </w:r>
          </w:p>
        </w:tc>
        <w:tc>
          <w:tcPr>
            <w:tcW w:w="20" w:type="dxa"/>
            <w:vAlign w:val="bottom"/>
          </w:tcPr>
          <w:p>
            <w:pPr>
              <w:spacing w:after="0"/>
              <w:rPr>
                <w:sz w:val="18"/>
                <w:szCs w:val="18"/>
                <w:color w:val="auto"/>
              </w:rPr>
            </w:pPr>
          </w:p>
        </w:tc>
        <w:tc>
          <w:tcPr>
            <w:tcW w:w="11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w w:val="99"/>
              </w:rPr>
              <w:t>comprehensive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FORM</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34"/>
        </w:trPr>
        <w:tc>
          <w:tcPr>
            <w:tcW w:w="2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4"/>
              </w:rPr>
              <w:t>stock</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stock</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in capital</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77"/>
              </w:rPr>
              <w:t>loss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equity</w:t>
            </w: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equity</w:t>
            </w:r>
          </w:p>
        </w:tc>
      </w:tr>
      <w:tr>
        <w:trPr>
          <w:trHeight w:val="210"/>
        </w:trPr>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280,221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(220,868)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for services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issued for the acquisition of</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Excalibur</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w:t>
            </w: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Decrease in shares of</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preferred stock issued to</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XpresSpa sellers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preferred</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stock to common stock</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(13,435)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(13,259)</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8"/>
              </w:rPr>
              <w:t>Foreign currency translation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2220" w:type="dxa"/>
            <w:vAlign w:val="bottom"/>
          </w:tcPr>
          <w:p>
            <w:pPr>
              <w:spacing w:after="0"/>
              <w:rPr>
                <w:sz w:val="20"/>
                <w:szCs w:val="20"/>
                <w:color w:val="auto"/>
              </w:rPr>
            </w:pPr>
            <w:r>
              <w:rPr>
                <w:rFonts w:ascii="Arial" w:cs="Arial" w:eastAsia="Arial" w:hAnsi="Arial"/>
                <w:sz w:val="18"/>
                <w:szCs w:val="18"/>
                <w:b w:val="1"/>
                <w:bCs w:val="1"/>
                <w:color w:val="auto"/>
              </w:rPr>
              <w:t>June 30, 2017</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282,603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(234,303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(164</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53,253</w:t>
            </w:r>
          </w:p>
        </w:tc>
        <w:tc>
          <w:tcPr>
            <w:tcW w:w="10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2"/>
              </w:rPr>
              <w:t>Common</w:t>
            </w:r>
          </w:p>
        </w:tc>
        <w:tc>
          <w:tcPr>
            <w:tcW w:w="20" w:type="dxa"/>
            <w:vAlign w:val="bottom"/>
          </w:tcPr>
          <w:p>
            <w:pPr>
              <w:spacing w:after="0"/>
              <w:rPr>
                <w:sz w:val="18"/>
                <w:szCs w:val="18"/>
                <w:color w:val="auto"/>
              </w:rPr>
            </w:pPr>
          </w:p>
        </w:tc>
        <w:tc>
          <w:tcPr>
            <w:tcW w:w="11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4"/>
              </w:rPr>
              <w:t>Preferred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paid-</w:t>
            </w:r>
          </w:p>
        </w:tc>
        <w:tc>
          <w:tcPr>
            <w:tcW w:w="20" w:type="dxa"/>
            <w:vAlign w:val="bottom"/>
          </w:tcPr>
          <w:p>
            <w:pPr>
              <w:spacing w:after="0"/>
              <w:rPr>
                <w:sz w:val="18"/>
                <w:szCs w:val="18"/>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Accumulated</w:t>
            </w:r>
          </w:p>
        </w:tc>
        <w:tc>
          <w:tcPr>
            <w:tcW w:w="1420" w:type="dxa"/>
            <w:vAlign w:val="bottom"/>
            <w:gridSpan w:val="6"/>
          </w:tcPr>
          <w:p>
            <w:pPr>
              <w:ind w:left="60"/>
              <w:spacing w:after="0"/>
              <w:rPr>
                <w:sz w:val="20"/>
                <w:szCs w:val="20"/>
                <w:color w:val="auto"/>
              </w:rPr>
            </w:pPr>
            <w:r>
              <w:rPr>
                <w:rFonts w:ascii="Arial" w:cs="Arial" w:eastAsia="Arial" w:hAnsi="Arial"/>
                <w:sz w:val="18"/>
                <w:szCs w:val="18"/>
                <w:b w:val="1"/>
                <w:bCs w:val="1"/>
                <w:color w:val="auto"/>
              </w:rPr>
              <w:t>comprehensive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FORM</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34"/>
        </w:trPr>
        <w:tc>
          <w:tcPr>
            <w:tcW w:w="2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4"/>
              </w:rPr>
              <w:t>stock</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4"/>
              </w:rPr>
              <w:t>stock</w:t>
            </w:r>
          </w:p>
        </w:tc>
        <w:tc>
          <w:tcPr>
            <w:tcW w:w="20" w:type="dxa"/>
            <w:vAlign w:val="bottom"/>
          </w:tcPr>
          <w:p>
            <w:pPr>
              <w:spacing w:after="0"/>
              <w:rPr>
                <w:sz w:val="20"/>
                <w:szCs w:val="20"/>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in capital</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77"/>
              </w:rPr>
              <w:t>loss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equity</w:t>
            </w: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equity</w:t>
            </w:r>
          </w:p>
        </w:tc>
      </w:tr>
      <w:tr>
        <w:trPr>
          <w:trHeight w:val="210"/>
        </w:trPr>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237,246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(196,862)</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8"/>
              </w:rPr>
              <w:t>for repayment of convertible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debt and related interest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2,978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2,996</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(14,762)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(14,762)</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(14,762)</w:t>
            </w:r>
          </w:p>
        </w:tc>
      </w:tr>
      <w:tr>
        <w:trPr>
          <w:trHeight w:val="223"/>
        </w:trPr>
        <w:tc>
          <w:tcPr>
            <w:tcW w:w="2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2016</w:t>
            </w: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241,186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(211,624</w:t>
            </w:r>
          </w:p>
        </w:tc>
        <w:tc>
          <w:tcPr>
            <w:tcW w:w="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79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Consolidated net loss</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(13,259)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(14,762)</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consolidated net loss to net cash provided by (used in) operating activities: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11,937</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 and debt issuance costs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1,473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Amendment to warrants as part of debt modification</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Extinguishment of debt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 for services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 and conversion feature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Exchange rate loss (gain), net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Changes in current assets and liabilities net of effects of acquisition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receivable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Increase in inventory</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(1,386)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Decrease in other current assets and other assets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Increase (decrease) in accounts payable, accrued expenses and other current liabilities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revenue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Decrease in other liabilities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(246)</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 – continuing operations</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 - discontinued operations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931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acquired as part of acquisition</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software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Decrease in deposits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2,001</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Repayment of line of credit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contributions from noncontrolling interests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6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(9,952)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2,498</w:t>
            </w: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17,910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24,951</w:t>
            </w:r>
          </w:p>
        </w:tc>
      </w:tr>
      <w:tr>
        <w:trPr>
          <w:trHeight w:val="263"/>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7,958</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27,449</w:t>
            </w:r>
          </w:p>
        </w:tc>
        <w:tc>
          <w:tcPr>
            <w:tcW w:w="100" w:type="dxa"/>
            <w:vAlign w:val="bottom"/>
            <w:tcBorders>
              <w:bottom w:val="single" w:sz="8" w:color="CCEEFF"/>
            </w:tcBorders>
          </w:tcPr>
          <w:p>
            <w:pPr>
              <w:spacing w:after="0"/>
              <w:rPr>
                <w:sz w:val="22"/>
                <w:szCs w:val="22"/>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during the period for</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Interest</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7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b w:val="1"/>
          <w:bCs w:val="1"/>
          <w:color w:val="auto"/>
        </w:rPr>
        <w:t>Noncash investing and financing transactions</w:t>
      </w:r>
    </w:p>
    <w:p>
      <w:pPr>
        <w:spacing w:after="0" w:line="9" w:lineRule="exact"/>
        <w:rPr>
          <w:sz w:val="20"/>
          <w:szCs w:val="20"/>
          <w:color w:val="auto"/>
        </w:rPr>
      </w:pPr>
    </w:p>
    <w:p>
      <w:pPr>
        <w:jc w:val="center"/>
        <w:ind w:right="100"/>
        <w:spacing w:after="0" w:line="511" w:lineRule="auto"/>
        <w:rPr>
          <w:sz w:val="20"/>
          <w:szCs w:val="20"/>
          <w:color w:val="auto"/>
        </w:rPr>
      </w:pPr>
      <w:r>
        <w:rPr>
          <w:rFonts w:ascii="Arial" w:cs="Arial" w:eastAsia="Arial" w:hAnsi="Arial"/>
          <w:sz w:val="18"/>
          <w:szCs w:val="18"/>
          <w:color w:val="auto"/>
        </w:rPr>
        <w:t>Issuance of common stock to repay debt and interest                                                                 —            2,996 The accompanying notes form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 (“FORM” or the “Company”) has three operating segments: wellness, technology and intellectual property.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wellness operating segment consists of XpresSpa, which is a leading airport retailer of spa services. XpresSpa is a well-recognized airport spa brand with 52 locations, including 48 domestic and 4 international, as of June 30, 2017. XpresSpa offers travelers premium spa services, including massage, nail and hair as well as spa and travel products. The Company acquired XpresSpa in the fourth quarter of 2016.</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technology operating segment consists of Group Mobile as well as an 11% equity interest in InfoMedia Services Limited (“InfoMedia”). Group Mobile offers rugged hardware and software solutions, including laptops, tablets, and mobile printers, as well as installation and deployment services. The Company acquired Group Mobile in the fourth quarter of 2015 and Excalibur Integrated Systems Inc. (“Excalibur”), which was merged with Group Mobile, in the first quarter of 2017. The Company’s equity interest in InfoMedia increased from 8.25% to 11% in the first quarter of 2017 due to a realignment of ownership interests.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further detailed in Note 10 “Discontinued Operations and Assets and Liabilities Held for Disposal,” during June 2017, the Company concluded that the requirement to report the results of FLI Charge as discontinued operations was triggered.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currently evaluating strategic alternatives with respect to Group Mobile in an attempt to enhance stockholder value. These strategic alternatives may include a possible sale, merger, spin-off or other separation of Group Mobile or other forms of business combinations or strategic transactions. The Company is seeking to enter into one or more strategic transactions involving Group Mobile in the first quarter of 2018.</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intellectual property operating segment is engaged in the monetization of patents related to content and ad delivery, remote monitoring and mobile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generally accepted accounting principles in the United States of America (“U.S. GAAP”) for interim financial information and the instructions to Rule 10-01 of Regulation S-X, and should be read in conjunction with the Company's Annual Report on Form 10-K for the year ended December 31, 2016. All adjustments that, in the opinion of management, are necessary for a fair presentation for the periods presented have been reflected by the Company. Such adjustments are of a normal, recurring nature. The results of operations for the three and six-month periods ended June 30, 2017 are not necessarily indicative of the results that may be expected for the entire fiscal year or for any other interim period. All significant intercompany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accompanying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intangible assets, the useful lives of the Company’s intangible assets, the valuation of the Company’s derivative warrants, the valuation of stock-based compensation,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recognizes revenue for the wellness operating segment from the sale of XpresSpa products and services at the point of sale, net of discounts and applicable sales taxes. Revenues from the XpresSpa wholesale and e-commerce businesses are recorded at the time goods are shipped. The Company excludes all sales taxes assessed to its customers. Sales taxes assessed on revenues are included in accounts payable, accrued expenses and other current liabilities in the condensed consolidated balance sheets until remitted to the state agencies.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revenue from product sales in the technology operating segment when title and risk of loss are passed to the customer, there is persuasive evidence of an arrangement for sale, delivery has occurred, the sales price is fixed or determinable, and collectability is reasonably assured. The Company’s shipping terms typically specify F.O.B. destination, at which time title and risk of loss have passed to the customer. At the time of sale of hardware products, the Company records an estimate for sales returns and allowances based on historical experience. Hardware products sold by the Company are warranted by the vendor.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The Company has drop-shipment arrangements with many of its hardware vendors and suppliers to deliver products directly to customers. Revenue for drop-shipment arrangements is recorded on a gross basis upon delivery to the customer with contract terms that typically specify F.O.B. destination. Revenue is recognized on a gross basis, as the Company is the principal in the transaction, as the primary obligor in the arrangement, assumes the inventory risk if the product is returned by the customer, sets the price of the product to the customer, assumes credit risk for the amounts invoiced, and works closely with the customers to determine their hardware specifications.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Freight billed to customers is recognized as net product revenue and the related freight costs as a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certain occasions, the Company’s technology operating segment will enter into a bill and hold arrangement with a customer. When this occurs,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makes a determination as to when it will be the proper time to recognize revenue. In doing so, the Company takes the following into consideration:</w:t>
      </w:r>
    </w:p>
    <w:p>
      <w:pPr>
        <w:spacing w:after="0" w:line="2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risks of ownership have passed to the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must have made a fixed commitment to purchase the goods;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must request and have a substantial business purpose for ordering on a bill and hold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must be a fixed schedule for delivery that is reasonable and consistent with the customer’s business purpose;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cannot retain any specific performance obligations that would make the earnings process incomplete;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goods must be segregated from remaining inventory (i.e., they cannot be used to fill orders for others);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goods must be complete and ready for shipment.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multiple-element arrangements in the Company’s technology operating segment that include hardware products, services and maintenance, the Company allocates revenue to all deliverables based on their relative selling prices. In such circumstances, the Company uses a hierarchy to determine the selling price to be used for allocating revenue to deliverables: (i) vendor-specific objective evidence of fair value (“VSOE”), (ii) third-party evidence of selling price (“TPE”) and (iii) best estimate of selling price (“ESP”). VSOE generally exists only when the Company sells the deliverable separately and is the price actually charged by the Company for that deliverable. ESPs reflect the Company’s best estimates of what the selling prices of elements would be if they were sold regularly on a stand-alone basis. The Company allocates revenue to all deliverables based on the VSOE of each element, and if VSOE does not exist revenue is recognized when elements lacking VSOE are delivered.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from patent licensing is recognized if collectability is reasonably assured, persuasive evidence of an arrangement exists, the sales price is fixed or determinable and delivery of the service has been rendered. Currently, revenue arrangements related to intellectual property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 Cost of sales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sales for the Company’s wellness operating segment consists of store-level costs. Store-level costs include all costs that are directly attributable to the store operations and include:</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sales for the Company’s technology operating segment includes costs to acquire or manufacture goods for inventory.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for the Company’s intellectual property operating segment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2017-01, Business Combinations (Topic 805): Clarifying the Definition of a Business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January 2017, the FASB issued Accounting Standards Update No. 2017-01 (“ASU 2017-01”) “Business Combinations (Topic 805): Clarifying the Definition of a Business.” ASU 2017-01 provides guidance to evaluate whether transactions should be accounted for as acquisitions (or disposals) of assets or businesses. If substantially all of the fair value of the gross assets acquired (or disposed of) is concentrated in a single asset or a group of similar assets, the assets acquired (or disposed of) are not considered a business. The Company adopted ASU 2017-01 as of January 1, 2017 on a prospective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Recent issued accounting pronouncements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2017-04, Intangibles - Goodwill and Other (Topic 350): Simplifying the Test for Goodwill Impairment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2017, the FASB issued Accounting Standards Update No. 2017-04 (“ASU 2017-04”) “Intangibles - Goodwill and Other (Topic 350): Simplifying the Test for Goodwill Impairment.”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early adoption is permitted. The Company currently anticipates that the adoption of ASU 2017-04 will not have a material impact on its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2017-09, Stock Compensation (Topic 718): Scope of Modification Accounting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2017, the FASB issued Accounting Standards Update No. 2017-09 (“ASU 2017-09”) “Stock Compensation (Topic 718): Scope of Modification Accounting.” ASU 2017-09 provides guidance about which changes to the terms or conditions of a share-based payment award require an entity to apply modification accounting in Topic 718. The current disclosure requirements in Topic 718 apply regardless of whether an entity is required to apply modification accounting under the amendments in this update. ASU 2017-09 is effective for annual periods, and interim periods within those annual periods, beginning after December 15, 2017; early adoption is permitted. The Company is currently in the process of evaluating the potential impact of the adoption on its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Reclassification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balances have been reclassified to conform to presentation requirements, including presentation of discontinued operations and assets and liabilities held for disposal with respect to the Company’s FLI Charge business (refer to Note 10), as well as consistent presentation of cost of sales and general and administrative expenses to align presentation for operating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a net loss in all periods presented, some potentially dilutive securities, including certain warrants and stock options, were not reflected in diluted net loss per share because the impact of such instruments was anti-dilutive.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80" w:gutter="0" w:footer="0" w:header="0"/>
        </w:sectPr>
      </w:pPr>
    </w:p>
    <w:bookmarkStart w:id="9" w:name="page10"/>
    <w:bookmarkEnd w:id="9"/>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computation of basic and diluted net loss per share of common stock: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Net loss from continuing operations attributable to shares of common stock</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(5,458)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(9,809)</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(11,322)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 from discontinued operations attributable to shares of common</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shares of common stock</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denominator:</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shares of common stock outstanding</w:t>
            </w:r>
          </w:p>
        </w:tc>
        <w:tc>
          <w:tcPr>
            <w:tcW w:w="16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19,310,994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14,993,686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19,178,769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14,576,183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 of common stock from continuing operations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loss per share of common stock from discontinued operations</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loss per share of common stock</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numerator: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Net loss from continuing operations attributable to shares of common stock</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(5,458)</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(9,809)</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(11,322)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 from discontinued operations attributable to shares of common</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shares of common stock</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denominator:</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shares of common stock outstanding</w:t>
            </w:r>
          </w:p>
        </w:tc>
        <w:tc>
          <w:tcPr>
            <w:tcW w:w="16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19,310,994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14,993,686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19,178,769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14,576,183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loss per share of common stock from continuing operations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loss per share of common stock from discontinued operations</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loss per share of common stock</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Net loss per share data presented excludes from the calculation of</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5"/>
              </w:rPr>
              <w:t>diluted net loss the following potentially dilutive securities, as they</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had an anti-dilutive impact: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1"/>
              </w:rPr>
              <w:t>Both vested and unvested options to purchase an equal number of shares of</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common stock of the Company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5,135,399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1,492,434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5,135,399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1,492,434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Unvested restricted stock units (“RSUs”) to issue an equal number of</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of common stock of the Company</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400,942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400,942</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5"/>
              </w:rPr>
              <w:t>Warrants to purchase an equal number of shares of common stock of the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Company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3,430,877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1,006,679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3,430,877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on an as converted basis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3,439,587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3,620,626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Conversion feature of senior secured notes</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159,462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number of potentially dilutive instruments, excluded from the</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calculation of net loss per share</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12,406,805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2,506,921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12,587,844</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2,666,383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June 30, 2017, the Company learned new information about legal and other professional costs which existed as of the acquisition date of XpresSpa. As a result, the Company and the sellers of XpresSpa (the “XpresSpa Sellers”) agreed to reduce the total amount of Series D Convertible Preferred Stock (“FORM Preferred Stock”), which was previously issued to the XpresSpa Sellers in conjunction with the acquisition of XpresSpa. The Company reduced the number of the FORM Preferred Stock by 16,219 shares and estimated that the fair value of the reduction of the consideration was $908, which was recorded as a reduction of preferred equity and goodwill.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during the three months ended June 30, 2017, certain XpresSpa Sellers converted 45,260 shares of their FORM Preferred Stock into 362,077 shares of the Company’s common stock, par value $0.01 per share.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these events, the total number of shares of FORM Preferred Stock was reduced from 491,427 as of December 31, 2016 to 429,948 shares as of June 30, 2017 and the face value (and liquidation preference) was reduced from $23,588 to $20,638.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Group Mobile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 2017, the Company acquired Excalibur, which is an end-to-end solutions provider of mobile hardware devices, wireless network security, data networking, telephony and mobile application development and software solutions. Following the acquisition, Excalibur was merged with Group Mobile within the Company’s technology operating segment.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the acquisition, the Company issued 888,573 unregistered shares of the Company’s common stock, par value $0.01 per share, to the former stockholders of Excalibur (the “Excalibur Sellers”). In addition, the Excalibur Sellers will, in the three years following the closing of this transaction, also receive $500 for each $2,000 of gross profit generated by a specified list of Excalibur accounts annually, until such cumulative gross profit reaches $6,000, and an additional $500 when such cumulative profit reaches $10,000, such amounts are payable in either cash or the Company’s common stock, at the election of the Company.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total purchase price is $2,125 and includes a fair value of contingent consideration of $316 and fair value of unregistered shares of common stock issued of $1,809.</w:t>
      </w:r>
    </w:p>
    <w:p>
      <w:pPr>
        <w:sectPr>
          <w:pgSz w:w="11900" w:h="16902" w:orient="portrait"/>
          <w:cols w:equalWidth="0" w:num="1">
            <w:col w:w="11420"/>
          </w:cols>
          <w:pgMar w:left="240" w:top="908" w:right="239" w:bottom="0"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Assets acquired and liabilities assumed were recorded at their fair values as of the acquisition date. The purchase price for the acquisition was allocated to the net tangible and intangible assets based on their fair values as of the acquisition date. The excess of the purchase price over the net tangible assets and intangible assets was recorded as goodwill. The table below presents preliminary allocation of the purchase price:</w:t>
      </w:r>
    </w:p>
    <w:p>
      <w:pPr>
        <w:sectPr>
          <w:pgSz w:w="11900" w:h="16838" w:orient="portrait"/>
          <w:cols w:equalWidth="0" w:num="1">
            <w:col w:w="11420"/>
          </w:cols>
          <w:pgMar w:left="240" w:top="908" w:right="239" w:bottom="1103"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Current assets (including cash of $26)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Accounts payable and accrued expenses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Fair Value</w:t>
      </w:r>
    </w:p>
    <w:p>
      <w:pPr>
        <w:spacing w:after="0" w:line="243" w:lineRule="exact"/>
        <w:rPr>
          <w:sz w:val="20"/>
          <w:szCs w:val="20"/>
          <w:color w:val="auto"/>
        </w:rPr>
      </w:pPr>
    </w:p>
    <w:p>
      <w:pPr>
        <w:ind w:left="980" w:hanging="971"/>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628</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29</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21</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556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2,320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1,214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215</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 w:lineRule="exact"/>
        <w:rPr>
          <w:sz w:val="20"/>
          <w:szCs w:val="20"/>
          <w:color w:val="auto"/>
        </w:rPr>
      </w:pPr>
    </w:p>
    <w:p>
      <w:pPr>
        <w:ind w:left="840" w:hanging="831"/>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2,125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7886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360"/>
          </w:cols>
          <w:pgMar w:left="240" w:top="908" w:right="239" w:bottom="1103" w:gutter="0" w:footer="0" w:header="0"/>
          <w:type w:val="continuous"/>
        </w:sectPr>
      </w:pP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allocation of the purchase price was based upon a preliminary valuation performed using the Company's estimates and assumptions, which are subject to change within the measurement period (up to one year from the acquisition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operating segments are defined as components of an enterprise about which separate financial information is available that is regularly evaluated by the enterprise’s chief operating decision maker (“CODM”) in deciding how to allocate resources and in assessing performance. The Company concluded that it conducts its business through three operating segments, which are also its reportable segments:</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wellness (XpresSpa);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 (Group Mobile);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Segment operating results reflect losses before corporate and unallocated shared expenses, interest expense and income taxes. Corporate and unallocated shared expenses principally consist of costs for corporate functions, rent for office space, stock-based compensation, executive management and certain unallocated administrative support functions.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89"/>
              </w:rPr>
              <w:t>Three months ended 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Wellness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12,927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23,911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8,900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Wellness</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10,401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19,236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loss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Wellness</w:t>
            </w: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(1,992)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(4,363)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(7,577)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 segment operating loss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non-operating expense, net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11</w:t>
            </w: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103"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2017</w:t>
            </w: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2016</w:t>
            </w: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Wellness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53,137</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57,527</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4,602</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8,634</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8"/>
                <w:szCs w:val="18"/>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13,818</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15,706</w:t>
            </w:r>
          </w:p>
        </w:tc>
        <w:tc>
          <w:tcPr>
            <w:tcW w:w="80" w:type="dxa"/>
            <w:vAlign w:val="bottom"/>
            <w:shd w:val="clear" w:color="auto" w:fill="CCEEFF"/>
          </w:tcPr>
          <w:p>
            <w:pPr>
              <w:spacing w:after="0"/>
              <w:rPr>
                <w:sz w:val="19"/>
                <w:szCs w:val="19"/>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72,382</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costs are allocated among the operating segments and non-operating corporate segment. The non-operating corporate segment does not have any revenue, but does incur expenses such as compensation expenses, rent and infrastructure costs. The non-operating corporate segment’s assets are mainly comprised of cash.</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operates in two geographical regions: United States and all other countries. The following table represents the geographical revenue, regional operating loss, and total asset information as of and for the three and six months ended June 30, 2017 and 2016. There were no concentrations of geographical revenue, regional operating loss or total assets related to any single foreign country that were material to the Company’s condensed consolidated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1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15,115</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11,350</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28,574</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16,377</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30,952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12,384</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All other countries</w:t>
            </w:r>
          </w:p>
        </w:tc>
        <w:tc>
          <w:tcPr>
            <w:tcW w:w="8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825</w:t>
            </w:r>
          </w:p>
        </w:tc>
        <w:tc>
          <w:tcPr>
            <w:tcW w:w="3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1,502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13,209</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 (loss)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(5,636)</w:t>
            </w: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(9,713)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(11,309)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(12,541)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Total segment operating income (loss)</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(5,130)</w:t>
            </w: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(12,544)</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non-operating expense, net</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(5,358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June 30, 2017</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70,380</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80,053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 countries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820" w:type="dxa"/>
            <w:vAlign w:val="bottom"/>
            <w:vMerge w:val="restart"/>
          </w:tcPr>
          <w:p>
            <w:pPr>
              <w:jc w:val="right"/>
              <w:ind w:right="24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4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Warrant Liabilities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derivate warrant liabilities measured at fair value on a recurring basis as of June 30, 2017 and December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2017:</w:t>
            </w: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May 2015 Warrants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December 31, 2016:</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2015 Warrants</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its derivative warrant liabilities at fair value. The May 2015 Warrants were classified within Level 3 because they were valued using the Black-Scholes-Merton model, which utilizes significant inputs that are unobservable in the market. These derivative warrant liabilities were initially measured at fair value and are marked to market at each balance sheet 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June 30, 2017 and December 31, 2016 consisted of cash and cash equivalents, receivables, accounts payable and Debt.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derivative warrant liabilities measured at fair value using significant unobservable inputs (Level 3) during the three- and six-month periods ended June 30,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7"/>
              </w:rPr>
              <w:t>May 2015</w:t>
            </w:r>
          </w:p>
        </w:tc>
      </w:tr>
      <w:tr>
        <w:trPr>
          <w:trHeight w:val="234"/>
        </w:trPr>
        <w:tc>
          <w:tcPr>
            <w:tcW w:w="704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9"/>
              </w:rPr>
              <w:t>Warrants</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Decrease in fair value of the derivative warrant liabilities</w:t>
            </w:r>
          </w:p>
        </w:tc>
        <w:tc>
          <w:tcPr>
            <w:tcW w:w="3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2017</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42.12%</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r>
      <w:tr>
        <w:trPr>
          <w:trHeight w:val="216"/>
        </w:trPr>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r>
      <w:tr>
        <w:trPr>
          <w:trHeight w:val="230"/>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524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w:t>
            </w: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16"/>
        </w:trPr>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r>
      <w:tr>
        <w:trPr>
          <w:trHeight w:val="230"/>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inputs to estimate the fair value of the Company’s derivative warrant liabilities were the current market price of the Company’s common stock, the exercise price of the derivative warrant liabilities,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derivative warrant liabilities would each result in a directionally similar change in the estimated fair value of the Company’s derivative warrant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placement in the fair value hierarchy of shares of the contingent consideration assumed by the Company following the acquisition of Excalibur, which is measured at fair value on a recurring basis, and the decrease in shares of FORM Preferred Stock issued to the XpresSpa Sellers, which was measured at fair value on a non-recurring basis as of April 4, 2017 (the “Valuation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Fair value measurement at reporting date using</w:t>
            </w:r>
          </w:p>
        </w:tc>
      </w:tr>
      <w:tr>
        <w:trPr>
          <w:trHeight w:val="191"/>
        </w:trPr>
        <w:tc>
          <w:tcPr>
            <w:tcW w:w="5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30"/>
        </w:trPr>
        <w:tc>
          <w:tcPr>
            <w:tcW w:w="5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5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2017:</w:t>
            </w: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FORM Preferred Stock</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908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value of the contingent consideration assumed by the Company following the acquisition of Excalibur and the fair value of the decrease in shares of FORM Preferred Stock issued to the XpresSpa Sellers were determined using the Monte-Carlo simulation and, as such, were classified as Level 3 of the fair value hierarchy. The fair value measurements are evaluated by management to ensure that changes are consistent with expectations of management based upon the sensitivity and nature of the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 estimate the fair value of the decrease in shares of FORM Preferred Stock, the Monte-Carlo simulation was performed using the following variables: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300" w:type="dxa"/>
            <w:vAlign w:val="bottom"/>
            <w:gridSpan w:val="2"/>
          </w:tcPr>
          <w:p>
            <w:pPr>
              <w:ind w:left="320"/>
              <w:spacing w:after="0"/>
              <w:rPr>
                <w:sz w:val="20"/>
                <w:szCs w:val="20"/>
                <w:color w:val="auto"/>
              </w:rPr>
            </w:pPr>
            <w:r>
              <w:rPr>
                <w:rFonts w:ascii="Arial" w:cs="Arial" w:eastAsia="Arial" w:hAnsi="Arial"/>
                <w:sz w:val="18"/>
                <w:szCs w:val="18"/>
                <w:b w:val="1"/>
                <w:bCs w:val="1"/>
                <w:color w:val="auto"/>
              </w:rPr>
              <w:t>Valuation technique</w:t>
            </w:r>
          </w:p>
        </w:tc>
        <w:tc>
          <w:tcPr>
            <w:tcW w:w="2920" w:type="dxa"/>
            <w:vAlign w:val="bottom"/>
            <w:gridSpan w:val="3"/>
          </w:tcPr>
          <w:p>
            <w:pPr>
              <w:ind w:left="940"/>
              <w:spacing w:after="0"/>
              <w:rPr>
                <w:sz w:val="20"/>
                <w:szCs w:val="20"/>
                <w:color w:val="auto"/>
              </w:rPr>
            </w:pPr>
            <w:r>
              <w:rPr>
                <w:rFonts w:ascii="Arial" w:cs="Arial" w:eastAsia="Arial" w:hAnsi="Arial"/>
                <w:sz w:val="18"/>
                <w:szCs w:val="18"/>
                <w:b w:val="1"/>
                <w:bCs w:val="1"/>
                <w:color w:val="auto"/>
              </w:rPr>
              <w:t>Variables</w:t>
            </w: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Range</w:t>
            </w: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FORM Preferred Stock</w:t>
            </w:r>
          </w:p>
        </w:tc>
        <w:tc>
          <w:tcPr>
            <w:tcW w:w="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Monte-Carlo</w:t>
            </w:r>
          </w:p>
        </w:tc>
        <w:tc>
          <w:tcPr>
            <w:tcW w:w="1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Share price as of the Valuation Date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5"/>
              </w:rPr>
              <w:t>1.95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Volatility</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w w:val="90"/>
              </w:rPr>
              <w:t>46.0%</w:t>
            </w:r>
          </w:p>
        </w:tc>
      </w:tr>
      <w:tr>
        <w:trPr>
          <w:trHeight w:val="216"/>
        </w:trPr>
        <w:tc>
          <w:tcPr>
            <w:tcW w:w="4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0"/>
              </w:rPr>
              <w:t>2.22%</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Monte-Carlo simulation used the value of the underlying equity value issued to XpresSpa Sellers on the date of the XpresSpa acquisition, December 23, 2016, which is comprised of the aggregation of the fair value of the shares of the Company’s common stock, shares of FORM Preferred Stock and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of June 30, 2017, 1,258,603 shares of the Company’s common stock were available for future grants under the Company’s 2012 Employee, Director and Consultant Equity Incentive Plan. Total stock-based compensation expense for the six-month periods ended June 30, 2017 and 2016 was $1,473 and $962, respectively. Total stock-based compensation expense for the three-month periods ended June 30, 2017 and 2016 was $732 and $499,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options granted during the six-month period ended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6"/>
              </w:rPr>
              <w:t>Assumptions used in</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Black-</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No. of</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Scholes option pricing</w:t>
            </w:r>
          </w:p>
        </w:tc>
      </w:tr>
      <w:tr>
        <w:trPr>
          <w:trHeight w:val="234"/>
        </w:trPr>
        <w:tc>
          <w:tcPr>
            <w:tcW w:w="1380" w:type="dxa"/>
            <w:vAlign w:val="bottom"/>
            <w:gridSpan w:val="2"/>
          </w:tcPr>
          <w:p>
            <w:pPr>
              <w:ind w:left="460"/>
              <w:spacing w:after="0"/>
              <w:rPr>
                <w:sz w:val="20"/>
                <w:szCs w:val="20"/>
                <w:color w:val="auto"/>
              </w:rPr>
            </w:pPr>
            <w:r>
              <w:rPr>
                <w:rFonts w:ascii="Arial" w:cs="Arial" w:eastAsia="Arial" w:hAnsi="Arial"/>
                <w:sz w:val="18"/>
                <w:szCs w:val="18"/>
                <w:b w:val="1"/>
                <w:bCs w:val="1"/>
                <w:color w:val="auto"/>
              </w:rPr>
              <w:t>Title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Grant date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options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price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grant date</w:t>
            </w:r>
          </w:p>
        </w:tc>
        <w:tc>
          <w:tcPr>
            <w:tcW w:w="1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Vesting terms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6"/>
              </w:rPr>
              <w:t>model</w:t>
            </w:r>
          </w:p>
        </w:tc>
      </w:tr>
      <w:tr>
        <w:trPr>
          <w:trHeight w:val="195"/>
        </w:trPr>
        <w:tc>
          <w:tcPr>
            <w:tcW w:w="12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Directors,</w:t>
            </w: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January 2017</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1,545,000</w:t>
            </w: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$2.12 – $2.15</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$0.89 – $0.96</w:t>
            </w: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Over 1 year for</w:t>
            </w:r>
          </w:p>
        </w:tc>
        <w:tc>
          <w:tcPr>
            <w:tcW w:w="100" w:type="dxa"/>
            <w:vAlign w:val="bottom"/>
            <w:tcBorders>
              <w:top w:val="single" w:sz="8" w:color="CCEEFF"/>
            </w:tcBorders>
            <w:shd w:val="clear" w:color="auto" w:fill="CCEEFF"/>
          </w:tcPr>
          <w:p>
            <w:pPr>
              <w:spacing w:after="0"/>
              <w:rPr>
                <w:sz w:val="16"/>
                <w:szCs w:val="16"/>
                <w:color w:val="auto"/>
              </w:rPr>
            </w:pPr>
          </w:p>
        </w:tc>
        <w:tc>
          <w:tcPr>
            <w:tcW w:w="3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Volatility: 44.27% – 44.90%</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directors; Over 3</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 1.95% – 2.16%</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employees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years for</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5.29 – 5.79</w:t>
            </w: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management and</w:t>
            </w: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0.00%</w:t>
            </w:r>
          </w:p>
        </w:tc>
      </w:tr>
      <w:tr>
        <w:trPr>
          <w:trHeight w:val="230"/>
        </w:trPr>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employees</w:t>
            </w:r>
          </w:p>
        </w:tc>
        <w:tc>
          <w:tcPr>
            <w:tcW w:w="34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illustrates the RSUs granted during the six-month period June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gridSpan w:val="2"/>
          </w:tcPr>
          <w:p>
            <w:pPr>
              <w:ind w:left="1220"/>
              <w:spacing w:after="0"/>
              <w:rPr>
                <w:sz w:val="20"/>
                <w:szCs w:val="20"/>
                <w:color w:val="auto"/>
              </w:rPr>
            </w:pPr>
            <w:r>
              <w:rPr>
                <w:rFonts w:ascii="Arial" w:cs="Arial" w:eastAsia="Arial" w:hAnsi="Arial"/>
                <w:sz w:val="18"/>
                <w:szCs w:val="18"/>
                <w:b w:val="1"/>
                <w:bCs w:val="1"/>
                <w:color w:val="auto"/>
              </w:rPr>
              <w:t>Title</w:t>
            </w:r>
          </w:p>
        </w:tc>
        <w:tc>
          <w:tcPr>
            <w:tcW w:w="17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Grant date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No. of RSUs</w:t>
            </w:r>
          </w:p>
        </w:tc>
        <w:tc>
          <w:tcPr>
            <w:tcW w:w="120" w:type="dxa"/>
            <w:vAlign w:val="bottom"/>
          </w:tcPr>
          <w:p>
            <w:pPr>
              <w:spacing w:after="0"/>
              <w:rPr>
                <w:sz w:val="20"/>
                <w:szCs w:val="20"/>
                <w:color w:val="auto"/>
              </w:rPr>
            </w:pPr>
          </w:p>
        </w:tc>
        <w:tc>
          <w:tcPr>
            <w:tcW w:w="2700" w:type="dxa"/>
            <w:vAlign w:val="bottom"/>
            <w:gridSpan w:val="9"/>
          </w:tcPr>
          <w:p>
            <w:pPr>
              <w:ind w:left="100"/>
              <w:spacing w:after="0"/>
              <w:rPr>
                <w:sz w:val="20"/>
                <w:szCs w:val="20"/>
                <w:color w:val="auto"/>
              </w:rPr>
            </w:pPr>
            <w:r>
              <w:rPr>
                <w:rFonts w:ascii="Arial" w:cs="Arial" w:eastAsia="Arial" w:hAnsi="Arial"/>
                <w:sz w:val="18"/>
                <w:szCs w:val="18"/>
                <w:b w:val="1"/>
                <w:bCs w:val="1"/>
                <w:color w:val="auto"/>
              </w:rPr>
              <w:t>Fair value at grant date</w:t>
            </w:r>
          </w:p>
        </w:tc>
        <w:tc>
          <w:tcPr>
            <w:tcW w:w="120" w:type="dxa"/>
            <w:vAlign w:val="bottom"/>
          </w:tcPr>
          <w:p>
            <w:pPr>
              <w:spacing w:after="0"/>
              <w:rPr>
                <w:sz w:val="20"/>
                <w:szCs w:val="20"/>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b w:val="1"/>
                <w:bCs w:val="1"/>
                <w:color w:val="auto"/>
              </w:rPr>
              <w:t>Vesting term</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Management and employees</w:t>
            </w:r>
          </w:p>
        </w:tc>
        <w:tc>
          <w:tcPr>
            <w:tcW w:w="12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gridSpan w:val="3"/>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January 2017</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130"/>
              <w:spacing w:after="0" w:line="195" w:lineRule="exact"/>
              <w:rPr>
                <w:sz w:val="20"/>
                <w:szCs w:val="20"/>
                <w:color w:val="auto"/>
              </w:rPr>
            </w:pPr>
            <w:r>
              <w:rPr>
                <w:rFonts w:ascii="Arial" w:cs="Arial" w:eastAsia="Arial" w:hAnsi="Arial"/>
                <w:sz w:val="18"/>
                <w:szCs w:val="18"/>
                <w:color w:val="auto"/>
              </w:rPr>
              <w:t>400,942</w:t>
            </w: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2.12</w:t>
            </w:r>
          </w:p>
        </w:tc>
        <w:tc>
          <w:tcPr>
            <w:tcW w:w="20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gridSpan w:val="9"/>
            <w:shd w:val="clear" w:color="auto" w:fill="CCEEFF"/>
          </w:tcPr>
          <w:p>
            <w:pPr>
              <w:spacing w:after="0" w:line="195" w:lineRule="exact"/>
              <w:rPr>
                <w:sz w:val="20"/>
                <w:szCs w:val="20"/>
                <w:color w:val="auto"/>
              </w:rPr>
            </w:pPr>
            <w:r>
              <w:rPr>
                <w:rFonts w:ascii="Arial" w:cs="Arial" w:eastAsia="Arial" w:hAnsi="Arial"/>
                <w:sz w:val="18"/>
                <w:szCs w:val="18"/>
                <w:color w:val="auto"/>
              </w:rPr>
              <w:t>Over 1 year period, vesting on 1 year</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6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w w:val="92"/>
              </w:rPr>
              <w:t>anniversary of grant date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40" w:type="dxa"/>
            <w:vAlign w:val="bottom"/>
            <w:gridSpan w:val="21"/>
          </w:tcPr>
          <w:p>
            <w:pPr>
              <w:spacing w:after="0"/>
              <w:rPr>
                <w:sz w:val="20"/>
                <w:szCs w:val="20"/>
                <w:color w:val="auto"/>
              </w:rPr>
            </w:pPr>
            <w:r>
              <w:rPr>
                <w:rFonts w:ascii="Arial" w:cs="Arial" w:eastAsia="Arial" w:hAnsi="Arial"/>
                <w:sz w:val="18"/>
                <w:szCs w:val="18"/>
                <w:color w:val="auto"/>
                <w:w w:val="91"/>
              </w:rPr>
              <w:t>The activity related to stock options and RSUs during the six-month period ended June 30, 2017 consisted of the following:</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RSUs</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8"/>
                <w:szCs w:val="18"/>
                <w:b w:val="1"/>
                <w:bCs w:val="1"/>
                <w:color w:val="auto"/>
              </w:rPr>
              <w:t>Options</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4"/>
          </w:tcPr>
          <w:p>
            <w:pPr>
              <w:jc w:val="center"/>
              <w:ind w:right="40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No.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grant date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No.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Exercise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grant date</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RSUs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price</w:t>
            </w: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price range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4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3,679,101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1.55 – 55.00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400,942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400" w:type="dxa"/>
            <w:vAlign w:val="bottom"/>
            <w:gridSpan w:val="4"/>
          </w:tcPr>
          <w:p>
            <w:pPr>
              <w:jc w:val="right"/>
              <w:ind w:right="140"/>
              <w:spacing w:after="0"/>
              <w:rPr>
                <w:sz w:val="20"/>
                <w:szCs w:val="20"/>
                <w:color w:val="auto"/>
              </w:rPr>
            </w:pPr>
            <w:r>
              <w:rPr>
                <w:rFonts w:ascii="Arial" w:cs="Arial" w:eastAsia="Arial" w:hAnsi="Arial"/>
                <w:sz w:val="18"/>
                <w:szCs w:val="18"/>
                <w:color w:val="auto"/>
              </w:rPr>
              <w:t>1,545,000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2.12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2.12 – 2.15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Vested/Exercised</w:t>
            </w:r>
          </w:p>
        </w:tc>
        <w:tc>
          <w:tcPr>
            <w:tcW w:w="4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42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80"/>
              <w:spacing w:after="0"/>
              <w:rPr>
                <w:sz w:val="20"/>
                <w:szCs w:val="20"/>
                <w:color w:val="auto"/>
              </w:rPr>
            </w:pPr>
            <w:r>
              <w:rPr>
                <w:rFonts w:ascii="Arial" w:cs="Arial" w:eastAsia="Arial" w:hAnsi="Arial"/>
                <w:sz w:val="18"/>
                <w:szCs w:val="18"/>
                <w:color w:val="auto"/>
              </w:rPr>
              <w:t>(72,334)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24.80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1.55 – 37.20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4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(16,368)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43.66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9.94 – 55.00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as of June 30, 2017</w:t>
            </w:r>
          </w:p>
        </w:tc>
        <w:tc>
          <w:tcPr>
            <w:tcW w:w="4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400,942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5,135,399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1.55 – 41.00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as of June 30, 2017</w:t>
            </w:r>
          </w:p>
        </w:tc>
        <w:tc>
          <w:tcPr>
            <w:tcW w:w="4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2,459,982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1.55 – 41.00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2"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On January 20, 2017, the Company entered into amended employment agreements with its named executive officers. Under the terms of certain of these agreements, certain of these officers are entitled to a percentage of the amount equal to the total amount of cash and the fair market value of all noncash consideration paid or payable to the Company or its stockholders in connection with an initial public offering or a change of control of certain subsidiaries of the Company. The amended employment agreements also allow for the granting of equity awards to certain officers in connection with an initial public offering of certain subsidiaries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provisions for the six months ended June 30, 2017 reflect an estimated global annual effective tax rate of approximately -3.96% from continuing operations. Discontinued operations for the six months ended June 30, 2017 reflect an annual effective tax rate of 0.58%.</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2017,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for the six months ended June 30, 2017 of approximately $227 was attributable primarily to tax deductions related to goodwill, for which there is no corresponding financial statement amortization expense, partially offset by the reduction in the valuation allowance needed following the acquisition of Excalibur's deferred tax liability. The final annual tax rate cannot be determined until the end of the fiscal year; therefore, the actual tax rate could differ from current estimates. Although the Company has an immaterial amount of uncertain tax positions, the Company does not expect to record any additional material provisions for unrecognized tax benefits with the next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Parties Transactions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22, 2015, XpresSpa entered into a credit agreement and secured promissory note (the “Debt”) with Rockmore Investment Master Fund Ltd. (“Rockmore”) that was amended on August 8, 2016. Rockmore is an investment entity controlled by the Company’s board member, Bruce T. Bernstein. The Debt had an outstanding balance of $6,500 as of both June 30, 2017 and December 31, 2016, which is included in long-term liabilities in the condensed consolidated balance sheets. During the six-month period ended June 30, 2017, XpresSpa paid $430 of interest and recorded $365 of interest expense. During May 2017, per the original agreement and with Rockmore’s consent, the Company elected to extend the maturity date of the Debt from May 1, 2018 to May 1, 2019. No other material terms of the Debt were modified.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paid $212 to Mr. Bernstein in March 2017 for the legal costs incurred in conjunction with the acquisition of XpresSpa and certain legal proceedings related to litigation with Amiral Holdings SAS (“Amiral”) prior to the completion of such acquisition, as Mr. Bernstein was indemnified by XpresSpa and was a defendant in the Amiral legal proceedings. These costs are included in accounts payable, accrued expenses and other current liabilities in the condensed consolidated balance sheet as of December 31, 2016.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Discontinued Operations and Assets and Liabilities Held For Disposal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June 2017, the Company concluded that the requirement to report the results of FLI Charge, a wholly-owned subsidiary included in its technology operating segment, as discontinued operations was triggered. The Company is currently negotiating the terms of an agreement to sell FLI Charge to a third-party investor in exchange for a minority investment in the form of shares of preferred stock in the newly created entity, which will own and operate FLI Charge. The Company will not be providing any continued management or financing support to FLI Charge. The transaction is expected to close in the third quarter of 2017. In connection with this agreement, a non-cash impairment loss of $1,092 relating to FLI Charge’s technology assets and goodwill was recorded as of June 30, 2017. The following table represents the components of operating results from discontinued operations, as presented in the condensed consolidated statements of operations and comprehensive loss: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6"/>
          </w:tcPr>
          <w:p>
            <w:pPr>
              <w:jc w:val="right"/>
              <w:ind w:right="605"/>
              <w:spacing w:after="0"/>
              <w:rPr>
                <w:sz w:val="20"/>
                <w:szCs w:val="20"/>
                <w:color w:val="auto"/>
              </w:rPr>
            </w:pPr>
            <w:r>
              <w:rPr>
                <w:rFonts w:ascii="Arial" w:cs="Arial" w:eastAsia="Arial" w:hAnsi="Arial"/>
                <w:sz w:val="18"/>
                <w:szCs w:val="18"/>
                <w:b w:val="1"/>
                <w:bCs w:val="1"/>
                <w:color w:val="auto"/>
                <w:w w:val="92"/>
              </w:rPr>
              <w:t>Three months ended June 30,</w:t>
            </w:r>
          </w:p>
        </w:tc>
        <w:tc>
          <w:tcPr>
            <w:tcW w:w="26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56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420" w:type="dxa"/>
            <w:vAlign w:val="bottom"/>
            <w:gridSpan w:val="3"/>
          </w:tcPr>
          <w:p>
            <w:pPr>
              <w:jc w:val="right"/>
              <w:ind w:right="3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(1,763)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62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following table presents the carrying amounts of the major classes of assets and liabilities held for sale as of June 30, 2017 and December 31, 2016, as presented in the condensed 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June 30, 2017</w:t>
            </w: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Inventory</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Deferred revenue</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legal proceedings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 liability and the estimated amount of a loss related to such matters.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matters described below, and assessed the probability and likelihood of the occurrence of liability. Based on management’s estimates, the Company recorded $650, which is included in accounts payable, accrued expenses, and other current liabilities in the condensed consolidated balance sheet as of June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related to XpresSpa’s former partnership with Cordial as XpresSpa’s ACDBE partner in several store locations at Hartsfield-Jackson Atlanta International Airport (the “Cordial Litigation”). On March 3, 2017, XpresSpa filed a first amended complaint against Cordial. On April 5, 2017, Cordial filed a motion to dismiss the Cordial Litigation.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4, 2017, XpresSpa filed a lawsuit in the United States District Court for the Southern District of New York against its former attorney, Kevin Ross, and his law firm, alleging malpractice, unjust enrichment, breach of fiduciary duty, fraudulent inducement, fraudulent concealment, tortious interference, and promissory estoppel related to XpresSpa’s former partnership with Cordial, as well as XpresSpa’s engagement of Kevin Ross as its attorney (the “Ross Litigation”). On March 17, 2017, XpresSpa filed a First Amended Complaint against the defendants. On June 2, 2017, the Ross Defendants filed their answer.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Both the Cordial Litigation and Ross Litigation are pending before the respective courts.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16, 2015, four former employees of XpresSpa who worked at locations in John F. Kennedy International Airport and LaGuardia Airport filed a putative class and collective action wage-hour litigation in the United States District Court for the Eastern District of New York, claiming that they and other spa technicians were misclassified, and that overtime was unpaid. On September 23, 2016, the Court conditionally certified the class. The parties held a mediation on February 28, 2017 and reached an agreement on a settlement in principle. The parties are in the process of finalizing a formal settlement agreement, and preparing a motion to the Court for preliminary approval of a classwide settlement.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XpresSpa is involved in various other claims and legal actions that arise in the ordinary course of business. The Company does not believe that the ultimate resolution of these actions will have a material adverse effect on XpresSpa’s financial position, results of operations, liquidity, or capital resources. However, a significant increase in the number of these claims, or one or more successful claims under which the Company incurs greater liabilities than the Company currently anticipates, could materially and adversely affect the Company’s business, financial condition, results of operations and cash flows.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intellectual property operating segment is engaged in litigation, for which no liability is recorded, as the Company does not expect a material negative outcome.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26, 2017, the Company entered into an underwriting agreement (the “Underwriting Agreement”) with Roth Capital Partners, LLC, acting as the representative of the several underwriters named therein (collectively, the “Underwriters”), relating to the issuance and sale (the “Offering”) of 6,900,000 shares of the Company’s common stock, par value $0.01 per share (“FORM Common Stock”) including 900,000 shares subject to the Underwriters’ over-allotment option, which was exercised on August 2, 2017 and closed on August 4, 2017. The price to the public in the Offering was $1.10 per share and the Underwriters agreed to purchase the shares of FORM Common Stock from the Company pursuant to the Underwriting Agreement at a purchase price of $1.023 per share. The net proceeds to the Company from the Offering were approximately $6,700 after deducting underwriting discounts and commissions and other estimated offering expenses.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2016 filed on March 30, 2017 (the “2016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FORM Holdings Corp. (prior to May 5, 2016, known as “Vringo, Inc.”), a Delaware corporation,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 (“FORM” or the “Company”) has three operating segments: wellness, technology and intellectual property.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wellness operating segment consists of XpresSpa, which is a leading airport retailer of spa services. XpresSpa is a well-recognized airport spa brand with 52 locations, including 48 domestic and 4 international, as of June 30, 2017. XpresSpa offers travelers premium spa services, including massage, nail and hair as well as spa and travel products. We acquired XpresSpa in the fourth quarter of 2016.</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technology operating segment consists of Group Mobile as well as an 11% equity interest in InfoMedia Services Limited (“InfoMedia”). Group Mobile offers rugged hardware and software solutions, including laptops, tablets, and mobile printers, as well as installation and deployment services. In the first quarter 2017, we completed the acquisition of Excalibur Integrated Systems, Inc. (“Excalibur”) which is an end-to-end solutions provider of mobile hardware devices, wireless network security, data networking, telephony and mobile application development and software solutions. Following the acquisition, Excalibur was merged with Group Mobile within our technology operating segment. Our equity interest in InfoMedia, which is accounted for under the cost method of investment, increased from 8.25% to 11% in the first quarter of 2017 due to a realignment of ownership interests.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June 30, 2017, our FLI Charge business is reflected as discontinued operations in our condensed consolidated statements of operations and comprehensive loss and assets held for disposal and liabilities held for disposal in our condensed consolidated balance sheets as a result of an offer from a third party to finance its ongoing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evaluating strategic alternatives with respect to Group Mobile in an attempt to enhance stockholder value. These strategic alternatives may include a possible sale, merger, spin-off or other separation of Group Mobile or other forms of business combinations or strategic transactions. We are seeking to enter into one or more strategic transactions involving Group Mobile in the first quarter of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operating segment is engaged in the monetization of patents related to content and ad delivery, remote monitoring and mobile technologies.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June 30, 2017, we completed a public offering of 6,900,000 shares of our common stock, at $1.10 per share, for net proceeds of approximately $6.7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Second Quarter 2017 Highlights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8"/>
                <w:szCs w:val="18"/>
                <w:b w:val="1"/>
                <w:bCs w:val="1"/>
                <w:color w:val="auto"/>
                <w:w w:val="91"/>
              </w:rPr>
              <w:t>Three Months Ended June 30, 2017</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Intellectual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2"/>
              </w:rPr>
              <w:t>Wellness</w:t>
            </w:r>
          </w:p>
        </w:tc>
        <w:tc>
          <w:tcPr>
            <w:tcW w:w="12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5"/>
              </w:rPr>
              <w:t>Technology</w:t>
            </w: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Property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Corporate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16,377,000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Products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1,124,000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2,690,000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1,983,000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1,983,000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costs</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1,511,000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sales</w:t>
            </w:r>
          </w:p>
        </w:tc>
        <w:tc>
          <w:tcPr>
            <w:tcW w:w="6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10,401,000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2,690,000</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13,209,000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Gross profit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2,526,000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(118,000)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3,168,000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 as a % of total revenue</w:t>
            </w: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2,327,000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14,000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2,348,000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592,000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depreciation and amortization</w:t>
            </w:r>
          </w:p>
        </w:tc>
        <w:tc>
          <w:tcPr>
            <w:tcW w:w="6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2,919,000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162,000</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3,094,000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1,599,000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1,340,000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1,531,000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4,472,000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1,599,000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from continuing operations</w:t>
            </w:r>
          </w:p>
        </w:tc>
        <w:tc>
          <w:tcPr>
            <w:tcW w:w="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(2,270,000)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GAAP and non-GAAP measurements to assess the trends in our business. With respect to XpresSpa, we review XpresSpa’s Adjusted EBITDA, a non-GAAP measure, which we define as earnings before interest, tax, depreciation and amortization expense, excluding one-time costs (e.g., merger and acquisition and integration related costs) and stock-based compensation.</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EBITDA has been presented in this Quarterly Report on Form 10-Q and is a supplemental measure of financial performance that is not required by, or presented in accordance with, GAAP. 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relationship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operating loss from continuing operations for our three operating segments and corporate to Adjusted EBITDA income (loss) for the three months ended June 30, 2017:</w:t>
      </w:r>
    </w:p>
    <w:p>
      <w:pPr>
        <w:sectPr>
          <w:pgSz w:w="11900" w:h="16904" w:orient="portrait"/>
          <w:cols w:equalWidth="0" w:num="1">
            <w:col w:w="11420"/>
          </w:cols>
          <w:pgMar w:left="240" w:top="90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422B22"/>
        </w:rPr>
        <w:t>Operating loss from continuing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422B22"/>
        </w:rPr>
        <w:t>Plus: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422B22"/>
        </w:rPr>
        <w:t>Depreciation and amortization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422B22"/>
        </w:rPr>
        <w:t>Stock-based compensation</w:t>
      </w:r>
    </w:p>
    <w:p>
      <w:pPr>
        <w:spacing w:after="0" w:line="9" w:lineRule="exact"/>
        <w:rPr>
          <w:sz w:val="20"/>
          <w:szCs w:val="20"/>
          <w:color w:val="auto"/>
        </w:rPr>
      </w:pPr>
    </w:p>
    <w:p>
      <w:pPr>
        <w:ind w:firstLine="162"/>
        <w:spacing w:after="0" w:line="276" w:lineRule="auto"/>
        <w:rPr>
          <w:sz w:val="20"/>
          <w:szCs w:val="20"/>
          <w:color w:val="auto"/>
        </w:rPr>
      </w:pPr>
      <w:r>
        <w:rPr>
          <w:rFonts w:ascii="Arial" w:cs="Arial" w:eastAsia="Arial" w:hAnsi="Arial"/>
          <w:sz w:val="18"/>
          <w:szCs w:val="18"/>
          <w:color w:val="422B22"/>
        </w:rPr>
        <w:t>Merger and acquisition, integration and one-time costs Adjusted EBITDA income (loss)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422B22"/>
        </w:rPr>
        <w:t>Three Months Ended June 30,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422B22"/>
                <w:w w:val="95"/>
              </w:rPr>
              <w:t>Intellectual</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422B22"/>
              </w:rPr>
              <w:t>Wellness</w:t>
            </w:r>
          </w:p>
        </w:tc>
        <w:tc>
          <w:tcPr>
            <w:tcW w:w="1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422B22"/>
                <w:w w:val="87"/>
              </w:rPr>
              <w:t>Technology</w:t>
            </w:r>
          </w:p>
        </w:tc>
        <w:tc>
          <w:tcPr>
            <w:tcW w:w="14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422B22"/>
              </w:rPr>
              <w:t>Property</w:t>
            </w:r>
          </w:p>
        </w:tc>
        <w:tc>
          <w:tcPr>
            <w:tcW w:w="16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Corporate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422B22"/>
              </w:rPr>
              <w:t>Total</w:t>
            </w:r>
          </w:p>
        </w:tc>
      </w:tr>
      <w:tr>
        <w:trPr>
          <w:trHeight w:val="224"/>
        </w:trPr>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422B22"/>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rPr>
              <w:t>(1,992,000)</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rPr>
              <w:t>(742,000)</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rPr>
              <w:t>(126,000)</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422B22"/>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rPr>
              <w:t>(2,270,000)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422B22"/>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w w:val="97"/>
              </w:rPr>
              <w:t>(5,130,000)</w:t>
            </w:r>
          </w:p>
        </w:tc>
        <w:tc>
          <w:tcPr>
            <w:tcW w:w="60" w:type="dxa"/>
            <w:vAlign w:val="bottom"/>
            <w:gridSpan w:val="2"/>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422B22"/>
              </w:rPr>
              <w:t>2,919,000</w:t>
            </w:r>
          </w:p>
        </w:tc>
        <w:tc>
          <w:tcPr>
            <w:tcW w:w="12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422B22"/>
              </w:rPr>
              <w:t>162,000</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422B22"/>
              </w:rPr>
              <w:t>6,000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422B22"/>
              </w:rPr>
              <w:t>7,000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422B22"/>
              </w:rPr>
              <w:t>3,094,000</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422B22"/>
              </w:rPr>
              <w: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422B22"/>
              </w:rPr>
              <w:t>—</w:t>
            </w: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422B22"/>
              </w:rPr>
              <w:t>—</w:t>
            </w: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422B22"/>
              </w:rPr>
              <w:t>732,000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422B22"/>
              </w:rPr>
              <w:t>732,000</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422B22"/>
              </w:rPr>
              <w:t>200,000</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422B22"/>
              </w:rPr>
              <w:t>—</w:t>
            </w:r>
          </w:p>
        </w:tc>
        <w:tc>
          <w:tcPr>
            <w:tcW w:w="1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422B22"/>
              </w:rPr>
              <w:t>—</w:t>
            </w:r>
          </w:p>
        </w:tc>
        <w:tc>
          <w:tcPr>
            <w:tcW w:w="1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110,000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422B22"/>
              </w:rPr>
              <w:t>310,000</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422B22"/>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22B22"/>
              </w:rPr>
              <w:t>1,127,000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22B22"/>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22B22"/>
              </w:rPr>
              <w:t>(580,000</w:t>
            </w:r>
          </w:p>
        </w:tc>
        <w:tc>
          <w:tcPr>
            <w:tcW w:w="220" w:type="dxa"/>
            <w:vAlign w:val="bottom"/>
          </w:tcPr>
          <w:p>
            <w:pPr>
              <w:jc w:val="right"/>
              <w:ind w:right="80"/>
              <w:spacing w:after="0"/>
              <w:rPr>
                <w:sz w:val="20"/>
                <w:szCs w:val="20"/>
                <w:color w:val="auto"/>
              </w:rPr>
            </w:pPr>
            <w:r>
              <w:rPr>
                <w:rFonts w:ascii="Arial" w:cs="Arial" w:eastAsia="Arial" w:hAnsi="Arial"/>
                <w:sz w:val="16"/>
                <w:szCs w:val="16"/>
                <w:color w:val="422B22"/>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22B22"/>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22B22"/>
              </w:rPr>
              <w:t>(120,000</w:t>
            </w:r>
          </w:p>
        </w:tc>
        <w:tc>
          <w:tcPr>
            <w:tcW w:w="220" w:type="dxa"/>
            <w:vAlign w:val="bottom"/>
          </w:tcPr>
          <w:p>
            <w:pPr>
              <w:jc w:val="right"/>
              <w:ind w:right="80"/>
              <w:spacing w:after="0"/>
              <w:rPr>
                <w:sz w:val="20"/>
                <w:szCs w:val="20"/>
                <w:color w:val="auto"/>
              </w:rPr>
            </w:pPr>
            <w:r>
              <w:rPr>
                <w:rFonts w:ascii="Arial" w:cs="Arial" w:eastAsia="Arial" w:hAnsi="Arial"/>
                <w:sz w:val="16"/>
                <w:szCs w:val="16"/>
                <w:color w:val="422B22"/>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422B22"/>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22B22"/>
              </w:rPr>
              <w:t>(1,421,000</w:t>
            </w:r>
          </w:p>
        </w:tc>
        <w:tc>
          <w:tcPr>
            <w:tcW w:w="220" w:type="dxa"/>
            <w:vAlign w:val="bottom"/>
          </w:tcPr>
          <w:p>
            <w:pPr>
              <w:jc w:val="right"/>
              <w:ind w:right="80"/>
              <w:spacing w:after="0"/>
              <w:rPr>
                <w:sz w:val="20"/>
                <w:szCs w:val="20"/>
                <w:color w:val="auto"/>
              </w:rPr>
            </w:pPr>
            <w:r>
              <w:rPr>
                <w:rFonts w:ascii="Arial" w:cs="Arial" w:eastAsia="Arial" w:hAnsi="Arial"/>
                <w:sz w:val="16"/>
                <w:szCs w:val="16"/>
                <w:color w:val="422B22"/>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422B22"/>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422B22"/>
              </w:rPr>
              <w:t>(994,000</w:t>
            </w:r>
          </w:p>
        </w:tc>
        <w:tc>
          <w:tcPr>
            <w:tcW w:w="40" w:type="dxa"/>
            <w:vAlign w:val="bottom"/>
          </w:tcPr>
          <w:p>
            <w:pPr>
              <w:jc w:val="right"/>
              <w:spacing w:after="0"/>
              <w:rPr>
                <w:sz w:val="20"/>
                <w:szCs w:val="20"/>
                <w:color w:val="auto"/>
              </w:rPr>
            </w:pPr>
            <w:r>
              <w:rPr>
                <w:rFonts w:ascii="Arial" w:cs="Arial" w:eastAsia="Arial" w:hAnsi="Arial"/>
                <w:sz w:val="8"/>
                <w:szCs w:val="8"/>
                <w:color w:val="422B22"/>
                <w:w w:val="73"/>
              </w:rPr>
              <w:t>)</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-882650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-599440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-325120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904" w:orient="portrait"/>
          <w:cols w:equalWidth="0" w:num="2">
            <w:col w:w="4100" w:space="380"/>
            <w:col w:w="6940"/>
          </w:cols>
          <w:pgMar w:left="240" w:top="904" w:right="239" w:bottom="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defined as components of an enterprise about which separate financial information is available that is regularly evaluated by the enterprise’s chief operating decision maker (“CODM”) in deciding how to allocate resources and in assessing performance. We concluded that we conduct our business through three operating segments, which are also our reportable segments: wellness, technology and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Segment operating results reflect losses before corporate and unallocated shared expenses, interest expense, income taxes and noncontrolling interests.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Wellness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wellness operating segment recognized revenue of $12,927,000 during the second quarter of 2017, which was generated by XpresSpa for services provided and health and beauty products sold. We acquired XpresSpa on December 23, 2016 and are actively integrating its corporate functions and optimizing the operating segment’s performance. During the six-month period ended June 30, 2017, we opened three new flagship locations, consisting of one location at John F. Kennedy International Airport’s Terminal 4 and two locations at Phoenix Sky Harbor International Airport. We also closed two small</w:t>
      </w:r>
    </w:p>
    <w:p>
      <w:pPr>
        <w:sectPr>
          <w:pgSz w:w="11900" w:h="16904" w:orient="portrait"/>
          <w:cols w:equalWidth="0" w:num="1">
            <w:col w:w="11420"/>
          </w:cols>
          <w:pgMar w:left="240" w:top="904" w:right="239" w:bottom="0" w:gutter="0" w:footer="0" w:header="0"/>
          <w:type w:val="continuous"/>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temporary kiosks to better align our resources. During the second quarter of 2017, we also started a major renovation to another location in John F. Kennedy International Airport’s Terminal 4; this renovation is expected to be completed in the third quarter of 2017. A number of our stores will be undergoing maintenance or renovations during the third quarter of 2017. Wherever possible, we seek to receive lease extensions or other concessions when we undergo these processes. As of June 30, 2017, we operated a total of 52 XpresSpa locations.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422B22"/>
        </w:rPr>
        <w:t>Store-level costs include all costs that are directly attributable to the store operations and include:</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payroll and related benefits for our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our sourcing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costs include insurance, infrastructure, payroll and benefits, inventory planning, marketing and other costs. Also included in general and administrative costs are expenses related to the integration of XpresSpa as well as office consolidation and moving costs, which amounted to $310,000 during the second quarter of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costs include the depreciation of leasehold improvements and equipment and the amortization of the brand and customer relationship intangible assets, which were recorded at fair value as of the acquisition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technology operating segment predominantly includes revenues and cost of sales generated by Group Mobile and Excalibur. During the second quarter of 2017, Group Mobile’s revenue increased 40.8% from $2,450,000 for the three-month period ended June 30, 2016 to $3,450,000 for the three-month period ended June 30, 2017, respectively. This was mainly due to the increased sales pipeline throughout 2016 and early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intellectual property operating segment includes revenues from one-time patent licenses as well as expenses incurred in connection with our patent licensing and related internal payroll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unallocated shared expenses principally consist of costs for corporate functions, rent for office space, stock-based compensation, executive management and certain unallocated administrative support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June 2017, we concluded that the requirement to report the results of FLI Charge, a wholly-owned subsidiary included in our technology operating segment, as discontinued operations was triggered. We are currently negotiating the terms of an agreement to sell FLI Charge to a third-party investor in exchange for a minority investment in the form of shares of preferred stock in the newly created entity which will own and operate FLI Charge. We will not be providing any continued management or financing support to FLI Charge. The transaction is expected to close in the third quarter of 2017. In connection with this agreement, a non-cash impairment loss of $1,092,000 relating to FLI Charge’s technology assets and goodwill was recorded as of June 30, 2017. The results of operations for FLI Charge are presented on the condensed consolidated statements of operations and comprehensive loss as consolidated net loss from discontinued operations, which totaled $1,552,000 and $2,113,000 for the three- and six-month periods ended June 30, 2017, respectively. In addition, the carrying amounts of assets and liabilities belonging to FLI Charge are presented on the condensed consolidated balance sheets as assets held for disposal and liabilities held for disposal,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Three-month period ended June 30, 2017 compared to the three-month period ended June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16,377,000</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11,350,000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June 30, 2017, we recorded total revenue of $16,377,000, which represents an increase of $5,027,000 (or 44.3%) compared to the three-month period ended June 30, 2016. XpresSpa generated $12,927,000 of revenue in the second quarter of 2017. Our technology operating segment demonstrated 40.8% growth in quarterly revenues from $2,450,000 for the three-month period ended June 30, 2016 to $3,450,000 for the three-month period ended June 30, 2017.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June 30, 2016, our intellectual property operating segment recognized a one-time lump sum payment of $8,900,000 in connection with an executed confidential license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13,209,000</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6,423,000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three-month period ended June 30, 2017, we recorded total cost of sales of $13,209,000, which represents an increase of $6,786,000 (or 105.7%) compared to the three-month period ended June 30, 2016. XpresSpa recorded total cost of sales of $10,401,000, which represent direct costs incurred for store operations. As result, our wellness operating segment’s gross profit for the quarter was 19.6%. Our technology operating segment recorded $2,690,000 of cost of sales, which is driven by the increase in sales during the quarter. As a result, our technology operating segment generated 22.0% gross margin during the quarter.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three-month period ended June 30, 2016, our intellectual property costs were $4,243,000, which include legal and consulting costs related to the confidential license agreement reached during the quarter and royalty expenses to a previous owner of some of our patents. These costs decreased to $118,000 for the three-month period ended June 30,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percentage of total revenue, cost of sales were 80.7% in the second quarter of 2017 compared to 56.6% in the second quarter of 2016, which is driven by the direct cost of sales generated by XpresSpa.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cost of sales will grow over time as our revenues increase. We expect that total cost of sales as a percentage of sales will decline gradually over time as a result of the improvement of store-level performance by our wellness operating segment and as our technology operating segment implements new offerings.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3,094,000</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12,329,000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three-month period ended June 30, 2017, depreciation and amortization expense totaled $3,094,000, which represents a decrease of $9,235,000 (or 74.9%), compared to the amortization and impairment expense recorded during the three-month period ended June 30, 2016. There was no impairment expense for the three-month period ended June 30, 2017 and no depreciation expense recorded for the three-month period ended June 30, 2016. Amortization and impairment expense for the three months ended June 30, 2016 was significantly higher and was primarily attributed to an $11,937,000 impairment charge to our patents asset group.</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overall decrease in depreciation, amortization and impairment expense was partially offset by an increase in depreciation expense resulting from leasehold improvements and equipment of $2,327,000 and the amortization of the brand and customer relationship intangible assets of $592,000, which were acquired as part of our acquisition of XpresSpa within our wellness operating segment in December 2016. The depreciation expense of $2,327,000 is higher than the typical depreciation expense for the quarter due to a formal decision made in April 2017 to perform a complete renovation of our flagship JFK location, at which point useful lives were revised to fully depreciate all remaining assets by the store close date.</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depreciation and amortization expense will increase gradually over time as we open more stores in our wellness operating segment and will remain somewhat constant in our technology operating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5,204,000</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2,316,000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three-month period ended June 30, 2017, general and administrative expenses increased by $2,888,000 (or 124.7%) compared to the three-month period ended June 30, 2016. As a percentage of revenue, total general and administrative expenses were 31.8% and 20.4% during the second quarter of 2017 and 2016,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the three-month period ended June 30, 2017 include incremental general and administrative expenses associated with our recent acquisitions of XpresSpa and Excalibur. The increase for the three-month period ended June 30, 2017 compared to the same period ended June 30, 2016 is primarily attributed to $1,599,000 of general and administrative expenses associated with XpresSpa. We did not recognize any general and administrative expenses generated by Excalibur prior to its acquisition on February 2, 2017 or XpresSpa prior to its acquisition on December 23, 2016. Additionally, there was an increase in stock-based compensation expense of $297,000, which was a result of equity awards granted to our directors, management and employees in January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(228,000</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630" w:gutter="0" w:footer="0" w:header="0"/>
        </w:sectPr>
      </w:pPr>
    </w:p>
    <w:bookmarkStart w:id="24" w:name="page25"/>
    <w:bookmarkEnd w:id="24"/>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During the three-month period ended June 30, 2017, we recorded total net non-operating expense in the amount of $228,000 compared to total net non-operating expense in the amount of $91,000 recorded during the three-month period ended June 30, 2016.</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three-month period ended June 30, 2017, we recorded interest expense of $178,000 mainly related to XpresSpa’s Debt. This was reduced by a gain of $133,000 on the revaluation of the derivative warrant liabilities and additional non-operating expense of $183,000.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three-month period ended June 30, 2016, we recorded interest expense of $272,000 for the amortization of the debt discount and debt issuance costs associated with debt that was repaid during July 2016. The non-operating expenses reported during the three-month period ended June 30, 2016 were reduced by a gain of $99,000 on the revaluation of the derivative warrant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Six-month period ended June 30, 2017 compared to the six-month period ended June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30,952,000</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six-month period ended June 30, 2017, we recorded total revenue of $30,952,000, which represents an increase of $17,575,000 (or 131.4%) as compared to $13,377,000 recorded in the six-month period ended June 30, 2016. The results of the six-month period ended June 30, 2017 include incremental revenues associated with our recent acquisitions of XpresSpa and Excalibur. We did not recognize any revenue generated by Excalibur prior to its acquisition on February 2, 2017 or XpresSpa prior to its acquisition on December 23, 2016. Our technology operating segment demonstrated 86.2% growth in revenue from $3,727,000 for the six-month period ended June 30, 2016 to $6,941,000 for the three-month period ended June 30,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25,071,000</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six-month period ended June 30, 2017, we recorded total cost of sales of $25,071,000, which represents an increase of $16,804,000 (or 203.3%) compared to the six-month period ended June 30, 2016. The results of the six-month period ended June 30, 2017 include incremental cost of sales associated with our recent acquisitions of XpresSpa and Excalibur. We did not recognize any cost of sales generated by Excalibur prior to its acquisition on February 2, 2017 or XpresSpa prior to its acquisition on December 23, 2016. We expect the cost of sales to increase over time as we incur the full results of operations of XpresSpa and Excalibur.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4,955,000</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13,159,000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(8,204,000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six-month period ended June 30, 2017, depreciation and amortization expense totaled $4,955,000, which represents a decrease of $8,204,000 (or 62.3%), compared to the amortization and impairment expense recorded during the six-month period ended June 30, 2016. There was no impairment expense for the six-month period ended June 30, 2017 and no depreciation expense recorded for the six-month period ended June 30, 2016.</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Amortization and impairment expense for the six months ended June 30, 2016 was significantly higher and was primarily attributed to an $11,937,000 impairment charge to our patents asset group. During the six-month period ended June 30, 2016, we determined that there were impairment indicators related to certain of our patents. A significant factor considered when making this determination occurred on May 6, 2016, when we changed the name of our company from “Vringo, Inc.” to “FORM Holdings Corp.” and concurrently announced our repositioning as a holding company of small- and middle-market growth companies. We concluded that this factor was deemed a “triggering” event, which required the related patent assets to be tested for impairment. In performing this impairment test, we determined that the patent portfolios, which together represent an asset group, were subject to impairment testing. In the first step of the impairment test, we utilized our projections of future undiscounted cash flows based on our existing plans for the patents. As a result, it was determined that our projections of future undiscounted cash flows were less than the carrying value of the asset group. Accordingly, we performed the second step of the impairment test to measure the potential impairment by calculating the asset group’s fair value as of May 6, 2016. As a result, following amortization for the month of April, we recorded an impairment charge of $11,937,000, or 88.7% of the carrying value of the patents prior to impairment, which resulted in a new carrying value of $1,526,000 on May 6, 2016. Following the impairment, we reevaluated the remaining useful life and concluded that there were no changes in the estimated useful life. There were no impairment indicators related to any of our other amortizable intangible assets during the six-month period ended June 30, 2017.</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overall decrease in depreciation, amortization and impairment expense, when comparing the six-month period ended June 30, 2017 to the six-month period ended June 30, 2016, was partially offset by an increase in depreciation expense resulting from leasehold improvements and equipment of $3,456,000 and the amortization of the brand and customer relationship intangible assets of $1,177,000, which were acquired as part of our acquisition of XpresSpa within our wellness operating segment in December 2016. The depreciation expense of $3,456,000 is higher than the typical depreciation expense for the six-month period due to a formal decision made in April 2017 to perform a complete renovation of our flagship JFK location which resulted in a revision to the useful lives. This resulted in an additional $1,100,000 of depreciation expense related to the JFK location.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depreciation and amortization expense will increase gradually over time as we open more stores in our wellness operating segment and new locations and will remain somewhat constant in our technology operating segment.</w:t>
      </w:r>
    </w:p>
    <w:p>
      <w:pPr>
        <w:sectPr>
          <w:pgSz w:w="11900" w:h="16838" w:orient="portrait"/>
          <w:cols w:equalWidth="0" w:num="1">
            <w:col w:w="11420"/>
          </w:cols>
          <w:pgMar w:left="240" w:top="908" w:right="239" w:bottom="85" w:gutter="0" w:footer="0" w:header="0"/>
        </w:sectPr>
      </w:pPr>
    </w:p>
    <w:bookmarkStart w:id="26" w:name="page27"/>
    <w:bookmarkEnd w:id="26"/>
    <w:p>
      <w:pPr>
        <w:jc w:val="center"/>
        <w:ind w:right="-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11,539,000</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six-month period ended June 30, 2017, general and administrative expenses increased by $7,044,000 (or 156.7%) compared to the six-month period ended June 30, 2016. As a percentage of revenue, total general and administrative expenses were 37.3% and 33.6% during the six-month periods ended June 30, 2017 and 2016, respectively.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results of the six-month period ended June 30, 2017 include incremental general and administrative expenses associated with our recent acquisitions of XpresSpa and Excalibur. The increase for the six-month period ended June 30, 2017 compared to the same period ended June 30, 2016 is primarily attributed to $4,404,000 of general and administrative expenses associated with XpresSpa, of which $484,000 related to merger and acquisition and integration costs. We did not recognize any general and administrative expenses generated by Excalibur prior to its acquisition on February 2, 2017 or XpresSpa prior to its acquisition on December 23, 2016. Additionally, there was an increase in stock-based compensation expense of $643,000, which was a result of equity awards granted to our directors, management and employees in January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(306,000</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six-month period ended June 30, 2017, we recorded total net non-operating expense in the amount of $306,000 compared to total net non-operating expense in the amount of $440,000 recorded during the six-month period ended June 30,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six-month period ended June 30, 2017, we recorded interest expense of $367,000 mainly related to XpresSpa’s Debt. This was reduced by a gain of $159,000 on the revaluation of the derivative warrant liabilities and additional non-operating expense of $98,000.</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six-month period ended June 30, 2016, we recorded interest expense of $748,000 for the interest recorded related to the monthly interest payments and the amortization of the debt discount and debt issuance costs as well as accrued interest calculated using the effective interest method associated with debt that was repaid during July 2016. In addition, we elected to repay principal installments for this debt for January and February 2016 in shares of our common stock, which were issued at a discount of 15% to market prices, which resulted in a $210,000 loss on the extinguishment of debt.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non-operating expenses reported during the six-month period ended June 30, 2016 were reduced by a gain of $369,000 on the revaluation of the derivative warrant liabilities.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primary liquidity and capital requirements are for new XpresSpa locations for our wellness operating segment, as well as working capital for our technology operating segment. As of June 30, 2017, we had cash and cash equivalents of $7,958,000 that we expect to utilize, along with cash flows from operations, to provide capital to support the growth of our business, primarily through opening new XpresSpa locations, maintaining our existing XpresSpa locations, purchasing inventory for Group Mobile to support the growth in sales and maintaining corporate functions. In addition, we have approximately $7,478,000 of trade receivables, inventory and other current assets to support our working capital needs.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26, 2017, we entered into an underwriting agreement (the “Underwriting Agreement”) with Roth Capital Partners, LLC, acting as the representative of the several underwriters named therein (collectively, the “Underwriters”), relating to the issuance and sale (the “Offering”) of 6,900,000 shares of our common stock, par value $0.01 per share (“FORM Common Stock”) including 900,000 shares subject to the Underwriters’ over-allotment option, which was exercised on August 2, 2017 and closed on August 4, 2017. The price to the public in the Offering was $1.10 per share and the Underwriters agreed to purchase the shares of FORM Common Stock from us pursuant to the Underwriting Agreement at a purchase price of $1.023 per share. Our net proceeds from the Offering were approximately $6,700,000 after deducting underwriting discounts and commissions and other estimated offering expenses.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cash decreased from $17,910,000 as of December 31, 2016 to $7,958,000 as of June 30, 2017. Of the $9,952,000 decrease, approximately $6,697,000 was related either to non-recurring payments, capital expenditures or payments for inventory, the latter of which is reflected as a current asset in the condensed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Key payments and items from December 31, 2016 to June 30, 2017:</w:t>
            </w:r>
          </w:p>
        </w:tc>
        <w:tc>
          <w:tcPr>
            <w:tcW w:w="2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Group Mobile and XpresSpa inventory</w:t>
            </w:r>
          </w:p>
        </w:tc>
        <w:tc>
          <w:tcPr>
            <w:tcW w:w="28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Overdue payables acquired as part of XpresSpa</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Merger and acquisition and integration-related professional fees</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Leases and tax-related matters</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 paid on Debt</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Repayment of line of credit upon Excalibur acquisition</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Severance</w:t>
            </w: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top w:val="single" w:sz="8" w:color="CCEEFF"/>
              <w:bottom w:val="single" w:sz="8" w:color="CCEEFF"/>
            </w:tcBorders>
            <w:shd w:val="clear" w:color="auto" w:fill="CCEEFF"/>
          </w:tcPr>
          <w:p>
            <w:pPr>
              <w:spacing w:after="0"/>
              <w:rPr>
                <w:sz w:val="19"/>
                <w:szCs w:val="19"/>
                <w:color w:val="auto"/>
              </w:rPr>
            </w:pP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our current operating plans, we expect to have sufficient funds for at least the next 12 months of operations. In addition, we may choose to raise additional funds in connection with new store openings and potential acquisitions of operating assets, which will be complementary to our wellness operating segment. There can be no assurance, however, that any such opportunities will materialize.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included in our Annual Report on Form 10-K filed with the SEC on March 30, 2017,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disclosure controls and procedures (as defined in Rule 13a-15(e) promulgated under the Securities Exchange Act of 1934, as amended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2017, we carried out an evaluation, under the supervision and with the participation of our management, including our Chief Executive Officer and Chief Financial Officer, of the effectiveness of the design and operation of our disclosure controls and procedures. Based on the foregoing, our Chief Executive Officer and Chief Financial Officer concluded that our disclosure controls and procedures were effective as of the end of the period covered by this report.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scope of management's assessment of the effectiveness of internal control over financial reporting includes all of our subsidiaries except XpresSpa and Excalibur, which were acquired on December 23, 2016 and February 2, 2017, respectively. Our consolidated revenue for the six-month period ended June 30, 2017 was $30,952,000, of which XpresSpa and Excalibur represented $23,911,000 and $2,086,000, respectively, and our total assets as of June 30, 2017 were $72,382,000, of which XpresSpa and Excalibur represented $53,137,000 and $4,178,000,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legal proceedings, see Note 11 “Commitments and Contingencies” in our notes to the condensed consolidated financial statements included in “Item 1.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Our business, financial condition, results of operations and the trading price of our common stock could be materially adversely affected by any of the following risks as well as the other risks highlighted in our Form 10-K for the year ended December 31, 2016 filed with the SEC on March 30, 2017. Additional risks and uncertainties not presently known to us or that we currently deem immaterial also may materially affect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XpresSpa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is highly dependent on our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growth strategy primarily contemplates expansion through procuring new XpresSpa locations and opening new XpresSpa stores and kiosks. Implementing this strategy depends on our ability to successfully identify new store locations. We will also need to assess and mitigate the risk of any new store locations, to open the stores on favorable terms and to successfully integrate their operations with ours. We may not be able to successfully identify opportunities that meet these criteria, or, if we do, we may not be able to successfully negotiate and open new stores on a timely basis. If we are unable to identify and open new XpresSpa locations in accordance with our operating plan, our revenue growth rate and financial performance may fall short of our expectations.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we provide preliminary financial results or forward 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and in our Form 10-K for the year ended December 31, 2016. If we fail to meet our projections and/or other financial guidance for any reason, our stock price could decline.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920" w:type="dxa"/>
            <w:vAlign w:val="bottom"/>
          </w:tcPr>
          <w:p>
            <w:pPr>
              <w:ind w:left="300"/>
              <w:spacing w:after="0"/>
              <w:rPr>
                <w:sz w:val="20"/>
                <w:szCs w:val="20"/>
                <w:color w:val="auto"/>
              </w:rPr>
            </w:pPr>
            <w:r>
              <w:rPr>
                <w:rFonts w:ascii="Arial" w:cs="Arial" w:eastAsia="Arial" w:hAnsi="Arial"/>
                <w:sz w:val="18"/>
                <w:szCs w:val="18"/>
                <w:b w:val="1"/>
                <w:bCs w:val="1"/>
                <w:color w:val="auto"/>
                <w:w w:val="99"/>
              </w:rPr>
              <w:t>Exhibit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34"/>
        </w:trPr>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Amendment No. 4 to the Employment Agreement dated October 13, 2015, by and between the Company and Clifford Weinstein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from Exhibit 10.1 to our Current Report on Form 8-K filed with the SEC on May 5, 2015).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Certification of Principal Executive Officer pursuant to Exchange Act, Rules 13a - 14(a) and 15d - 14(a), as adopted pursuant to Section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Certification of Principal Financial Officer pursuant to Exchange Act Rules 13a - 14(a) and 15d - 14(a), as adopted pursuant to Section 302</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Certifications of Principal Executive Officer and Principal Financial Officer Pursuant to 18 U.S.C. Section 1350, as adopted pursuant to</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ind w:left="60"/>
              <w:spacing w:after="0"/>
              <w:rPr>
                <w:sz w:val="20"/>
                <w:szCs w:val="20"/>
                <w:color w:val="auto"/>
              </w:rPr>
            </w:pPr>
            <w:r>
              <w:rPr>
                <w:rFonts w:ascii="Arial" w:cs="Arial" w:eastAsia="Arial" w:hAnsi="Arial"/>
                <w:sz w:val="18"/>
                <w:szCs w:val="18"/>
                <w:color w:val="auto"/>
              </w:rPr>
              <w:t>Filed herewith.</w:t>
            </w:r>
          </w:p>
        </w:tc>
      </w:tr>
    </w:tbl>
    <w:p>
      <w:pPr>
        <w:ind w:left="1440" w:hanging="1432"/>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9th day of August 2017.</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jc w:val="right"/>
              <w:ind w:right="21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ANASTASIA NYRKOVSKAYA</w:t>
            </w:r>
          </w:p>
        </w:tc>
      </w:tr>
      <w:tr>
        <w:trPr>
          <w:trHeight w:val="191"/>
        </w:trPr>
        <w:tc>
          <w:tcPr>
            <w:tcW w:w="628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628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62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r>
      <w:tr>
        <w:trPr>
          <w:trHeight w:val="648"/>
        </w:trPr>
        <w:tc>
          <w:tcPr>
            <w:tcW w:w="6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30</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2017</w:t>
      </w:r>
    </w:p>
    <w:p>
      <w:pPr>
        <w:spacing w:after="0" w:line="225" w:lineRule="exact"/>
        <w:rPr>
          <w:sz w:val="20"/>
          <w:szCs w:val="20"/>
          <w:color w:val="auto"/>
        </w:rPr>
      </w:pPr>
    </w:p>
    <w:p>
      <w:pPr>
        <w:ind w:left="4600"/>
        <w:spacing w:after="0"/>
        <w:tabs>
          <w:tab w:leader="none" w:pos="49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2017</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FORM Holdings, Corp., a Delaware corporation (the “Company”), does hereby certify, to such officer’s knowledge, that: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Quarterly Report for the quarter ended June 30, 2017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2019-12-29T04:37:01Z</dcterms:created>
  <dcterms:modified xsi:type="dcterms:W3CDTF">2019-12-29T04:37:01Z</dcterms:modified>
</cp:coreProperties>
</file>