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17,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9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9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Direct Offering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17, 2020, XpresSpa Group, Inc., a Delaware corporation (the “Company”), entered into a Securities Purchase Agreement (the “Purchase Agreement”) with certain purchasers named therein (the “Purchasers”), pursuant to which the Company agreed to issue and sell, in a registered direct offering 7,614,700 shares (the “Shares”) of the Company’s common stock, par value $0.01 per share (the “Common Stock”) at an offering price of $5.253 per share, (the “Registered Offering”). The Company expects to receive gross proceeds of approximately $40.0 million in connection with the Registered Offering, before deducting placement agent fees and related offering expenses.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Agreement contains customary representations and warranties and agreements of the Company and the Purchasers and customary indemnification rights and obligations of the parties. Pursuant to the terms of the Purchase Agreement, the Company has agreed to certain restrictions on the issuance and sale of its Common Stock or Common Stock Equivalents (as defined in the Purchase Agreement) during the 30-day period following the closing of the Registered Offering.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in the Registered Offering are being offered by the Company pursuant to a registration statement on Form S-3 (File No. 333-232764), which was filed with the Securities and Exchange Commission (the “Commission”) on July 22, 2019 and was declared effective by the Commission on July 30, 2019 (the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Concurrent Private Placement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 concurrent private placement (the “Private Placement” and together with the Registered Offering, the “Offerings”), the Company agreed to issue to the Purchasers who participated in the Registered Offering warrants (the “Warrants” and collectively with the Shares, the “Securities”) exercisable for an aggregate of 7,614,700 shares of Common Stock at an exercise price of $5.25 per share. Each Warrant will be immediately exercisable and will expire 21 months from the issuance date. The Warrants and the shares of our Common Stock issuable upon the exercise of the Warrants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holder (together with its affiliates) may not exercise any portion of the Warrant to the extent that the holder would own more than 4.99% (or, at the holder’s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Warrant up to 9.99% of the number of the Company’s Common Stock outstanding immediately after giving effect to the exercise, as such percentage ownership is determined in accordance with the terms of the Warrant.</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terms of the Purchase Agreement, the Company agreed to use best efforts to cause a registration statement on Form S-3 providing for the resale by holders of shares of its Common Stock issuable upon the exercise of the Warrants, to become effective 60 days following the date of the Purchase Agreement and to keep such registration statement effective at all times.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Offerings are expected to close on or about June 19, 2020, subject to customary closing conditions.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a letter agreement, dated March 25, 2020 (the “Engagement Letter”), the Company engaged H.C. Wainwright &amp; Co., LLC (the “Placement Agent”) as placement agent in connection with the Offerings. The Placement Agent agreed to use its reasonable best efforts to arrange for the sale of the Securities. The Company agreed to pay to the Placement Agent a cash fee of 7.5% of the aggregate gross proceeds raised in the Offerings, plus a management fee equal to 1.0% of the gross proceeds raised in the Offerings and reimbursement of certain expenses and legal fees. Pursuant to the Engagement Letter, the Company also issued to designees of the Placement Agent warrants to purchase up to 8% of the aggregate number of shares of Common Stock sold in the transactions, or warrants to purchase up to 609,176 shares of Common Stock (the “Placement Agent Warrants”). The Placement Agent Warrants have substantially the same terms as the Warrants, except that the Placement Agent Warrants have an exercise price equal to 125% of the offering price per share (or $6.566 per share). The Placement Agent Warrants and the shares issuable upon exercise of the Placement Agent Warrants were issued in reliance on the exemption from registration provided by Section 4(a)(2) of the Securities Act as transactions not involving a public offering and in reliance on similar exemptions under applicable state laws. The Company also agreed to pay the Placement Agent $25,000 for non-accountable expenses, to reimburse the Placement Agent’s legal fees in an amount up to $40,000 and to pay $12,900 for the Placement Agent’s clearing fees. Pursuant to the terms of the Engagement Letter, the Placement Agent has the right, for a period of twelve months following the closing of the Offerings, to act (i) as financial advisor in connection with any merger, consolidation or similar business combination by the Company and (ii) as sole book-running manager, sole underwriter or sole placement agent in connection with certain debt and equity financing transactions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The foregoing summaries of the Purchase Agreement, the Warrants and the Placement Agent Warrants do not purport to be complete and are subject to, and qualified in their entirety by, such documents attached as Exhibits 10.1, 4.1 and 4.2, respectively, to this Current Report on Form 8-K, which are incorporated herein by reference.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17, 2020, the Company issued a press release in connection with the Offerings, which is attached as Exhibit 99.1 hereto and incorporated by reference 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copy of the opinion of Mintz, Levin, Cohn, Ferris, Glovsky &amp; Popeo, P.C. relating to the legality of the issuance and sale of the Shares in the Registered Offering is attached as Exhibit 5.1 hereto.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prospectus supplement to the Registration Statement to be filed with the Commission, the Company intends to include the following disclosure under the heading “Risk Factors” regarding certain additional risk factors that could affect its business, financial condition, operating results and cash flows, which should be read in connection with the existing disclosure on risk factors made in the Company’s most recently filed Annual Report on Form 10-K, Quarterly Report on Form 10-Q and other filings made with the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operating history in the diagnostic testing industry.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Despite our management’s extensive experience in health and wellness services, we have no specific operating history in the diagnostic testing industry, including providing management services to a professional practice offering diagnostic testing services. We will face substantial risks and uncertainties to which our new diagnostic testing line of business will be subject. To address these risks and uncertainties, we must, among other things, successfully execute our business strategy, respond to competitive developments and attract and retain qualified personnel. We cannot assure you that we will operate profitably or that our business strategy will be successful. As a result, our diagnostic testing line of business may not succeed.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 formal contracts or relationships with any professional practice for the ordering of and collection of samples for, or with any laboratories for the performance of, COVID-19 testing.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are exploring the possibility of offering COVID-19 testing in airport locations, there is currently no formal contractual relationship with any professional practice for the ordering of and collection of samples for, or with any clinical laboratory for the performance, of COVID-19 testing. We may never formalize any arrangement with a professional practice or clinical laboratory for these purposes and may never commence diagnostic testing operations. As a result, there can be no assurances that we will be able execute our current plans or generate any revenue associated with our current COVID-19 testing plans.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assurances that we will be able to successfully secure new locations or transition our existing spa facilities into locations at which COVID-19 testing will be ordered or performed.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assurances that we will be able to obtain new locations or make available or renovate our existing spa facilities for the purpose of operating a location at which COVID-19 testing will be ordered and/or performed by a professional practice. If we are unable to successfully transition such facilities to locations at which COVID-19 testing will be ordered and/or performed due to issues with lease agreements, permits, licenses or other delays, we will not be able to move forward with our planned short-term business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b w:val="1"/>
          <w:bCs w:val="1"/>
          <w:i w:val="1"/>
          <w:iCs w:val="1"/>
          <w:color w:val="auto"/>
        </w:rPr>
        <w:t>We may rely on a limited number of professional practices and suppliers and, in some cases, a single professional practice or supplier, for the COVID-19 test and certain of the laboratory substances, equipment and other materials used for COVID-19 tests, and any delays or difficulties securing these materials could disrupt our operations and materially harm our business.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plan to contract with a limited number of professional practices, and potentially only a single professional practice, for the ordering of and collection of samples for COVID-19 testing. If our professional practice partner begins performing point of care COVID-19 testing at our locations in the future, we may rely on a limited number of suppliers for the COVID-19 test kits, collection supplies, reagents, and various other equipment and materials we intend to use in performing COVID-19 testing. We currently do not have formal agreements with any potential professional practice or supplier, and, as a result, if such services or supplies are obtained, the professional practice or supplier could cease supplying these services or tests, materials and equipment to us at any time due to our inability to reach agreement on terms, disruptions in the professional practice’s or supplier’s operations, a determination to pursue other activities or lines of business, or for other reasons, or the professional practice or supplier could fail to provide us with sufficient quantities of services or materials that meet our specifications. Transitioning to a new professional practice or supplier or locating a temporary substitute, if any are available, would be time-consuming and expensive, could result in interruptions in or otherwise affect the performance specifications of our intended operations, or could require that we revalidate the tests we use. In addition, the use of services, equipment or materials provided by a replacement professional practice or supplier could require us to alter our future operations and procedures. Moreover, we believe there are currently only a limited number of manufacturers that are capable of supplying and servicing some of the equipment and other materials necessary for our intended operations.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administering tests, our operations could be materially disrupted and our business, financial condition, results of operations, and reputation could be adversely affected. We also may experience services or supply issues as we increase test volume.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professional practice partner begins performing point of care COVID-19 testing at our locations in the future, the COVID-19 testing technology we ultimately choose may not perform as expected, as a result of human error or otherwise. No assurance can be given that the COVID-19 testing technology we use will aid in the testing of this virus.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professional practice partner begins performing point of care COVID-19 testing at our locations in the future, our success will depend on the COVID-19 testing technology we choose to use to provide a reliable, high-quality diagnostic result. There is no guarantee that the COVID-19 test technology we ultimately choose will be accurate. We believe that customers will be particularly sensitive to test defects and errors. As a result, the failure of the chosen tests to perform as expected could significantly impair our reputation and the public image of the tests we use. There can be no assurance that the COVID-19 test technology will be broadly adopted for use. Many companies are developing tests for COVID-19 and the COVID-19 test technology we plan to use may not be effective. As a result, the failure or perceived failure of the chosen tests to perform as expected could have a material adverse effect on our business, financial condition, results of operation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is little or no demand for the COVID-19 test, our business could be materially harmed.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can be no assurance that demand for our planned COVID-19 testing services will exist in the future because of the success of containment efforts, the emergence of a vaccine or due to other events. If there is no demand for our planned COVID-19 testing services, our business will be materially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COVID-19 testing capabilities may never achieve significant market acceptance.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expend substantial funds and management effort on the development and marketing of our professional practice partner’s COVID-19 testing capabilities with no assurance that we will be successful in implementing our planned diagnostic testing business. Our ability to successfully offer COVID-19 tests will depend significantly on the perception that the tests used by our professional practice partner can reduce transmission risk and are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use potentially hazardous materials, chemicals and patient samples in our business and any disputes relating to improper handling, storage or disposal of these materials could be time consuming and costly.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professional practice partner’s diagnostic testing activities will involve the controlled use of hazardous laboratory materials and chemicals, including small quantities of acid and alcohol, and patient samples. They will be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 or restrict operations.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coverage may not be adequate to fully cover potential liability claims.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12529"/>
        </w:rPr>
        <w:t>Our diagnostic testing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we expect to be subject to regulation under state law. State laws may require that laboratories and/or laboratory personnel meet certain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U.S. Food and Drug Administration (FDA) regulation of diagnostic products could result in increased costs and the imposition of fines or penalties, and could have a material adverse effect upon our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w:t>
      </w:r>
      <w:r>
        <w:rPr>
          <w:rFonts w:ascii="Arial" w:cs="Arial" w:eastAsia="Arial" w:hAnsi="Arial"/>
          <w:sz w:val="18"/>
          <w:szCs w:val="18"/>
          <w:color w:val="000000"/>
        </w:rPr>
        <w:t>on our business, financial condition, results of operation and cash flows.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complex federal, state, local and foreign laws and regulations that apply to our business, we could suffer severe consequences that could materially and adversely affect our operating results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We expect our planned operations to be subject to extensive federal, state, local and foreign laws and regulations, all of which are subject to change. These laws and regulations currently include, among other things:</w:t>
      </w:r>
    </w:p>
    <w:p>
      <w:pPr>
        <w:spacing w:after="0" w:line="170" w:lineRule="exact"/>
        <w:rPr>
          <w:sz w:val="20"/>
          <w:szCs w:val="20"/>
          <w:color w:val="auto"/>
        </w:rPr>
      </w:pPr>
    </w:p>
    <w:p>
      <w:pPr>
        <w:ind w:left="1580" w:hanging="77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CLIA, which requires that laboratories obtain certification from the federal government, and state licensure laws;</w:t>
      </w:r>
    </w:p>
    <w:p>
      <w:pPr>
        <w:spacing w:after="0" w:line="23" w:lineRule="exact"/>
        <w:rPr>
          <w:rFonts w:ascii="Arial" w:cs="Arial" w:eastAsia="Arial" w:hAnsi="Arial"/>
          <w:sz w:val="18"/>
          <w:szCs w:val="18"/>
          <w:color w:val="auto"/>
        </w:rPr>
      </w:pPr>
    </w:p>
    <w:p>
      <w:pPr>
        <w:ind w:left="1580" w:hanging="77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FDA laws and regulations;</w:t>
      </w:r>
    </w:p>
    <w:p>
      <w:pPr>
        <w:spacing w:after="0" w:line="9" w:lineRule="exact"/>
        <w:rPr>
          <w:rFonts w:ascii="Arial" w:cs="Arial" w:eastAsia="Arial" w:hAnsi="Arial"/>
          <w:sz w:val="18"/>
          <w:szCs w:val="18"/>
          <w:color w:val="auto"/>
        </w:rPr>
      </w:pPr>
    </w:p>
    <w:p>
      <w:pPr>
        <w:jc w:val="both"/>
        <w:ind w:left="1580" w:hanging="776"/>
        <w:spacing w:after="0" w:line="250"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HIPAA, which imposes comprehensive federal standards with respect to the privacy and security of protected health information and requirements for the use of certain standardized electronic transactions, and amendments to HIPAA under HITECH, which strengthen and expand HIPAA privacy and security compliance requirements, increase penalties for violators, extend enforcement authority to state attorneys general and impose requirements for breach notification;</w:t>
      </w:r>
    </w:p>
    <w:p>
      <w:pPr>
        <w:spacing w:after="0" w:line="1" w:lineRule="exact"/>
        <w:rPr>
          <w:rFonts w:ascii="Arial" w:cs="Arial" w:eastAsia="Arial" w:hAnsi="Arial"/>
          <w:sz w:val="18"/>
          <w:szCs w:val="18"/>
          <w:color w:val="auto"/>
        </w:rPr>
      </w:pPr>
    </w:p>
    <w:p>
      <w:pPr>
        <w:ind w:left="1580" w:right="20" w:hanging="776"/>
        <w:spacing w:after="0" w:line="281" w:lineRule="auto"/>
        <w:tabs>
          <w:tab w:leader="none" w:pos="1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1" w:lineRule="exact"/>
        <w:rPr>
          <w:rFonts w:ascii="Arial" w:cs="Arial" w:eastAsia="Arial" w:hAnsi="Arial"/>
          <w:sz w:val="16"/>
          <w:szCs w:val="16"/>
          <w:color w:val="auto"/>
        </w:rPr>
      </w:pPr>
    </w:p>
    <w:p>
      <w:pPr>
        <w:jc w:val="both"/>
        <w:ind w:left="1580" w:hanging="776"/>
        <w:spacing w:after="0" w:line="250"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 w:lineRule="exact"/>
        <w:rPr>
          <w:rFonts w:ascii="Arial" w:cs="Arial" w:eastAsia="Arial" w:hAnsi="Arial"/>
          <w:sz w:val="18"/>
          <w:szCs w:val="18"/>
          <w:color w:val="auto"/>
        </w:rPr>
      </w:pPr>
    </w:p>
    <w:p>
      <w:pPr>
        <w:ind w:left="1580" w:hanging="776"/>
        <w:spacing w:after="0" w:line="250"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and false claims acts, which may extend to services reimbursable by any third-party payor, including private insurers;</w:t>
      </w:r>
    </w:p>
    <w:p>
      <w:pPr>
        <w:jc w:val="both"/>
        <w:ind w:left="1580" w:hanging="776"/>
        <w:spacing w:after="0" w:line="250"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p>
      <w:pPr>
        <w:spacing w:after="0" w:line="1" w:lineRule="exact"/>
        <w:rPr>
          <w:rFonts w:ascii="Arial" w:cs="Arial" w:eastAsia="Arial" w:hAnsi="Arial"/>
          <w:sz w:val="18"/>
          <w:szCs w:val="18"/>
          <w:color w:val="auto"/>
        </w:rPr>
      </w:pPr>
    </w:p>
    <w:p>
      <w:pPr>
        <w:ind w:left="1580" w:hanging="776"/>
        <w:spacing w:after="0" w:line="265" w:lineRule="auto"/>
        <w:tabs>
          <w:tab w:leader="none" w:pos="1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Section 216 of the federal Protecting Access to Medicare Act of 2014, which requires applicable laboratories to report private payor data in a timely and accurate manner beginning in 2017 and every three years thereafter (and in some cases annually);</w:t>
      </w:r>
    </w:p>
    <w:p>
      <w:pPr>
        <w:ind w:left="1580" w:hanging="77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 laws that impose reporting and other compliance-related requirements;</w:t>
      </w:r>
    </w:p>
    <w:p>
      <w:pPr>
        <w:spacing w:after="0" w:line="9" w:lineRule="exact"/>
        <w:rPr>
          <w:rFonts w:ascii="Arial" w:cs="Arial" w:eastAsia="Arial" w:hAnsi="Arial"/>
          <w:sz w:val="18"/>
          <w:szCs w:val="18"/>
          <w:color w:val="auto"/>
        </w:rPr>
      </w:pPr>
    </w:p>
    <w:p>
      <w:pPr>
        <w:jc w:val="both"/>
        <w:ind w:left="1580" w:hanging="776"/>
        <w:spacing w:after="0" w:line="250"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 billing laws, including regulations on “pass through billing” which may limit our ability to submit claims for payment and/or mark up the cost of services in excess of the price paid for such services, and “direct-bill” laws which may limit our ability to purchase services from a laboratory and bill for the services ordered;</w:t>
      </w:r>
    </w:p>
    <w:p>
      <w:pPr>
        <w:spacing w:after="0" w:line="1" w:lineRule="exact"/>
        <w:rPr>
          <w:rFonts w:ascii="Arial" w:cs="Arial" w:eastAsia="Arial" w:hAnsi="Arial"/>
          <w:sz w:val="18"/>
          <w:szCs w:val="18"/>
          <w:color w:val="auto"/>
        </w:rPr>
      </w:pPr>
    </w:p>
    <w:p>
      <w:pPr>
        <w:ind w:left="1580" w:hanging="77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way that the FDA regulates COVID-19 tests could result in the delay or additional expense in offering tests.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the U.S. Food and Drug Administration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delay or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 xml:space="preserve">If our professional practice partner begins performing point of care COVID-19 testing at our locations in the future, </w:t>
      </w:r>
      <w:r>
        <w:rPr>
          <w:rFonts w:ascii="Arial" w:cs="Arial" w:eastAsia="Arial" w:hAnsi="Arial"/>
          <w:sz w:val="15"/>
          <w:szCs w:val="15"/>
          <w:b w:val="1"/>
          <w:bCs w:val="1"/>
          <w:i w:val="1"/>
          <w:iCs w:val="1"/>
          <w:color w:val="212529"/>
        </w:rPr>
        <w:t>failure to accurately bill for</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529"/>
        </w:rPr>
        <w:t>testing services, or to comply with applicable laws relating to government health care programs, could have a material adverse effect on our business.</w:t>
      </w:r>
    </w:p>
    <w:p>
      <w:pPr>
        <w:spacing w:after="0" w:line="1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12529"/>
        </w:rPr>
        <w:t xml:space="preserve">Billing for diagnostic testing services is complex and subject to extensive and non-uniform rules and administrative requirements. Depending on the billing arrangement and applicable law, we expect to bill various payers, such as patients, insurance companies, Medicare, Medicaid, clinicians, hospitals and employer groups if </w:t>
      </w:r>
      <w:r>
        <w:rPr>
          <w:rFonts w:ascii="Arial" w:cs="Arial" w:eastAsia="Arial" w:hAnsi="Arial"/>
          <w:sz w:val="16"/>
          <w:szCs w:val="16"/>
          <w:color w:val="000000"/>
        </w:rPr>
        <w:t>we begin performing point of care COVID-19 testing at our locations in the future</w:t>
      </w:r>
      <w:r>
        <w:rPr>
          <w:rFonts w:ascii="Arial" w:cs="Arial" w:eastAsia="Arial" w:hAnsi="Arial"/>
          <w:sz w:val="16"/>
          <w:szCs w:val="16"/>
          <w:color w:val="212529"/>
        </w:rPr>
        <w:t xml:space="preserve">. We expect that the majority of our billing and related operations will be provided by a third party. Failure to accurately bill for our services could have a material adverse effect on our business. In addition, failure to comply with applicable laws relating to billing government health care programs may result in various consequences, including the return of overpayments, civil and criminal fines and penalties, exclusion from participation in government health care programs and the loss of various licenses, certificates and authorizations necessary to operate our business, as well as incur additional liabilities from third-party claims, all of which could have a material adverse effect on our business. Certain violations of these laws may also provide the basis for a civil remedy under the federal False Claims Act, including fines and damages of up to three times the amount claimed. The </w:t>
      </w:r>
      <w:r>
        <w:rPr>
          <w:rFonts w:ascii="Arial" w:cs="Arial" w:eastAsia="Arial" w:hAnsi="Arial"/>
          <w:sz w:val="16"/>
          <w:szCs w:val="16"/>
          <w:i w:val="1"/>
          <w:iCs w:val="1"/>
          <w:color w:val="212529"/>
        </w:rPr>
        <w:t>qui tam</w:t>
      </w:r>
      <w:r>
        <w:rPr>
          <w:rFonts w:ascii="Arial" w:cs="Arial" w:eastAsia="Arial" w:hAnsi="Arial"/>
          <w:sz w:val="16"/>
          <w:szCs w:val="16"/>
          <w:color w:val="212529"/>
        </w:rPr>
        <w:t xml:space="preserve"> provisions of the federal False Claims Act and similar provisions in certain state false claims acts allow private individuals to bring lawsuits against health care companies on behalf of the government.</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Although we expect to be in compliance, in all material respects, with applicable laws and regulations, there can be no assurance that a regulatory agency or tribunal would not reach a different conclusion. The federal and state governments have substantial leverage in negotiating settlements since the amount of potential damages and fines far exceeds the rates at which services will be reimbursed, and the government has the remedy of excluding a non-compliant provider from participation in the Medicare and Medicaid programs. We expect that federal and state governments continue aggressive enforcement efforts against perceived health care fraud. Legislative provisions relating to health care fraud and abuse provide government enforcement personnel with substantial funding, powers, penalties and remedies to pursue suspected cases of fraud and abuse.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We will depend on third parties to provide services critical to our diagnostic testing business, and we will depend on them to comply with applicable laws and regulations. Additionally, any breaches of the information technology systems of third parties could have a material adverse effect on our operations.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We will depend on third parties to provide services critical to our diagnostic testing business, including supplies, ground and air transport of clinical and diagnostic testing supplies and specimens, research products, and people, among other services. Third parties that will provide services to us will be subject to similar risks related to security of customer-related information and compliance with U.S., state, local, or international environmental, health and safety, and privacy and security laws and regulations as we will be.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212529"/>
        </w:rPr>
        <w:t>Our business operations and reputation may be materially impaired if we do not comply with privacy laws or information security policies.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We will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We will be subject to laws and regulations regarding protecting the security and privacy of certain healthcare and personal information, including: (a) the federal Health Insurance Portability and Accountability Act and the regulations thereunder, 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IT systems will be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complex and overlapping laws protecting the privacy and security of health information and personal data.</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are a number of state, federal and international laws protecting the privacy and security of health information and personal data. Under the administrative simplification provisions of HIPAA, HHS has issued regulations which establish uniform standards governing the conduct of certain electronic health care transactions and protecting the privacy and security of PHI used or disclosed by health care providers and other covered entities.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privacy regulations regulate the use and disclosure of PHI by health care providers engaging in certain electronic transactions or “standard transactions.” They also set forth certain rights that an individual has with respect to his or her PHI maintained by a covered health 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 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security laws.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91" w:lineRule="auto"/>
        <w:rPr>
          <w:sz w:val="20"/>
          <w:szCs w:val="20"/>
          <w:color w:val="auto"/>
        </w:rPr>
      </w:pPr>
      <w:r>
        <w:rPr>
          <w:rFonts w:ascii="Arial" w:cs="Arial" w:eastAsia="Arial" w:hAnsi="Arial"/>
          <w:sz w:val="16"/>
          <w:szCs w:val="16"/>
          <w:color w:val="auto"/>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planned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the HIPAA, HITECH and state privacy restrictions may have a negative impact on our operations. Noncompliance could subject us to criminal penalties, civil sanctions and significant monetary penalties as well as reputational damage.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will be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capital expenditures may not generate a positive return and we will incur significant additional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capital expenditures may not generate a positive return. Significant capital expenditures will be required to construct new locations or renovate our existing spa facilities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the ability of our professional practice partner to order or perform COVID-19 testing could be limited, and our competitive position could be harmed.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color w:val="212529"/>
        </w:rPr>
        <w:t>we expect to incur significant additional costs as we implement the ability of our professional practice partner to perform on-site COVID-19</w:t>
      </w:r>
      <w:r>
        <w:rPr>
          <w:rFonts w:ascii="Arial" w:cs="Arial" w:eastAsia="Arial" w:hAnsi="Arial"/>
          <w:sz w:val="18"/>
          <w:szCs w:val="18"/>
          <w:color w:val="auto"/>
        </w:rPr>
        <w:t xml:space="preserve"> </w:t>
      </w:r>
      <w:r>
        <w:rPr>
          <w:rFonts w:ascii="Arial" w:cs="Arial" w:eastAsia="Arial" w:hAnsi="Arial"/>
          <w:sz w:val="18"/>
          <w:szCs w:val="18"/>
          <w:color w:val="212529"/>
        </w:rPr>
        <w:t>testing. The COVID-19 outbreak could disrupt our future supply chain, including by impacting our ability to secure COVID-19 testing supplies and to provide personal protective equipment for our employees in our testing locations. For similar reasons, the COVID-19 pandemic has also adversely impacted, and may continue to adversely impact, third parties that will be critical to our business, including vendors, suppliers, and business partners. These developments, and others that are difficult or impossible to predict, could materially impact our business, financial results, cash flows,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hyperlink w:anchor="page12">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12">
        <w:r>
          <w:rPr>
            <w:rFonts w:ascii="Arial" w:cs="Arial" w:eastAsia="Arial" w:hAnsi="Arial"/>
            <w:sz w:val="16"/>
            <w:szCs w:val="16"/>
            <w:u w:val="single" w:color="auto"/>
            <w:color w:val="0000EE"/>
          </w:rPr>
          <w:t>Form of Warrant.</w:t>
        </w:r>
      </w:hyperlink>
    </w:p>
    <w:p>
      <w:pPr>
        <w:spacing w:after="0" w:line="225"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hyperlink w:anchor="page30">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30">
        <w:r>
          <w:rPr>
            <w:rFonts w:ascii="Arial" w:cs="Arial" w:eastAsia="Arial" w:hAnsi="Arial"/>
            <w:sz w:val="16"/>
            <w:szCs w:val="16"/>
            <w:u w:val="single" w:color="auto"/>
            <w:color w:val="0000EE"/>
          </w:rPr>
          <w:t>Form of Placement Agent Warrant.</w:t>
        </w:r>
      </w:hyperlink>
    </w:p>
    <w:p>
      <w:pPr>
        <w:spacing w:after="0" w:line="225"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hyperlink w:anchor="page49">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49">
        <w:r>
          <w:rPr>
            <w:rFonts w:ascii="Arial" w:cs="Arial" w:eastAsia="Arial" w:hAnsi="Arial"/>
            <w:sz w:val="16"/>
            <w:szCs w:val="16"/>
            <w:u w:val="single" w:color="auto"/>
            <w:color w:val="0000EE"/>
          </w:rPr>
          <w:t>Opinion of Mintz, Levin, Cohn, Ferris, Glovsky &amp; Popeo, P.C.</w:t>
        </w:r>
      </w:hyperlink>
    </w:p>
    <w:p>
      <w:pPr>
        <w:spacing w:after="0" w:line="225"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hyperlink w:anchor="page50">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0">
        <w:r>
          <w:rPr>
            <w:rFonts w:ascii="Arial" w:cs="Arial" w:eastAsia="Arial" w:hAnsi="Arial"/>
            <w:sz w:val="16"/>
            <w:szCs w:val="16"/>
            <w:u w:val="single" w:color="auto"/>
            <w:color w:val="0000EE"/>
          </w:rPr>
          <w:t>Form of Securities Purchase Agreement.</w:t>
        </w:r>
      </w:hyperlink>
    </w:p>
    <w:p>
      <w:pPr>
        <w:spacing w:after="0" w:line="225"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hyperlink w:anchor="page49">
        <w:r>
          <w:rPr>
            <w:rFonts w:ascii="Arial" w:cs="Arial" w:eastAsia="Arial" w:hAnsi="Arial"/>
            <w:sz w:val="18"/>
            <w:szCs w:val="18"/>
            <w:u w:val="single" w:color="auto"/>
            <w:color w:val="0000EE"/>
          </w:rPr>
          <w:t>23.1</w:t>
        </w:r>
      </w:hyperlink>
      <w:r>
        <w:rPr>
          <w:rFonts w:ascii="Arial" w:cs="Arial" w:eastAsia="Arial" w:hAnsi="Arial"/>
          <w:sz w:val="18"/>
          <w:szCs w:val="18"/>
          <w:color w:val="0000EE"/>
        </w:rPr>
        <w:tab/>
      </w:r>
      <w:hyperlink w:anchor="page49">
        <w:r>
          <w:rPr>
            <w:rFonts w:ascii="Arial" w:cs="Arial" w:eastAsia="Arial" w:hAnsi="Arial"/>
            <w:sz w:val="16"/>
            <w:szCs w:val="16"/>
            <w:u w:val="single" w:color="auto"/>
            <w:color w:val="0000EE"/>
          </w:rPr>
          <w:t>Consent of Mintz, Levin, Cohn, Ferris, Glovsky &amp; Popeo, P.C. (included in Exhibit 5.1)</w:t>
        </w:r>
        <w:r>
          <w:rPr>
            <w:rFonts w:ascii="Arial" w:cs="Arial" w:eastAsia="Arial" w:hAnsi="Arial"/>
            <w:sz w:val="16"/>
            <w:szCs w:val="16"/>
            <w:color w:val="0000EE"/>
          </w:rPr>
          <w:t>.</w:t>
        </w:r>
      </w:hyperlink>
    </w:p>
    <w:p>
      <w:pPr>
        <w:spacing w:after="0" w:line="225" w:lineRule="exact"/>
        <w:rPr>
          <w:sz w:val="20"/>
          <w:szCs w:val="20"/>
          <w:color w:val="auto"/>
        </w:rPr>
      </w:pPr>
    </w:p>
    <w:p>
      <w:pPr>
        <w:spacing w:after="0"/>
        <w:tabs>
          <w:tab w:leader="none" w:pos="560" w:val="left"/>
        </w:tabs>
        <w:rPr>
          <w:rFonts w:ascii="Arial" w:cs="Arial" w:eastAsia="Arial" w:hAnsi="Arial"/>
          <w:sz w:val="15"/>
          <w:szCs w:val="15"/>
          <w:u w:val="single" w:color="auto"/>
          <w:color w:val="0000EE"/>
        </w:rPr>
      </w:pPr>
      <w:hyperlink w:anchor="page91">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91">
        <w:r>
          <w:rPr>
            <w:rFonts w:ascii="Arial" w:cs="Arial" w:eastAsia="Arial" w:hAnsi="Arial"/>
            <w:sz w:val="15"/>
            <w:szCs w:val="15"/>
            <w:u w:val="single" w:color="auto"/>
            <w:color w:val="0000EE"/>
          </w:rPr>
          <w:t>Press Release regarding the Offerings, dated June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21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June 17, 2020</w:t>
            </w:r>
          </w:p>
        </w:tc>
        <w:tc>
          <w:tcPr>
            <w:tcW w:w="7540" w:type="dxa"/>
            <w:vAlign w:val="bottom"/>
            <w:gridSpan w:val="2"/>
          </w:tcPr>
          <w:p>
            <w:pPr>
              <w:ind w:left="2160"/>
              <w:spacing w:after="0"/>
              <w:rPr>
                <w:sz w:val="20"/>
                <w:szCs w:val="20"/>
                <w:color w:val="auto"/>
              </w:rPr>
            </w:pPr>
            <w:r>
              <w:rPr>
                <w:rFonts w:ascii="Arial" w:cs="Arial" w:eastAsia="Arial" w:hAnsi="Arial"/>
                <w:sz w:val="18"/>
                <w:szCs w:val="18"/>
                <w:color w:val="auto"/>
              </w:rPr>
              <w:t>By:  /s/ Douglas Satzman</w:t>
            </w:r>
          </w:p>
        </w:tc>
      </w:tr>
      <w:tr>
        <w:trPr>
          <w:trHeight w:val="195"/>
        </w:trPr>
        <w:tc>
          <w:tcPr>
            <w:tcW w:w="37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ind w:left="1040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_______, 2020</w:t>
      </w:r>
    </w:p>
    <w:p>
      <w:pPr>
        <w:spacing w:after="0" w:line="200"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_____________ or its assigns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is entitled, upon the terms and subject to the limitations on exercise and the conditions hereinafter set forth, at any time on or after</w:t>
      </w:r>
    </w:p>
    <w:p>
      <w:pPr>
        <w:spacing w:after="0" w:line="214" w:lineRule="auto"/>
        <w:rPr>
          <w:sz w:val="20"/>
          <w:szCs w:val="20"/>
          <w:color w:val="auto"/>
        </w:rPr>
      </w:pPr>
      <w:r>
        <w:rPr>
          <w:rFonts w:ascii="Arial" w:cs="Arial" w:eastAsia="Arial" w:hAnsi="Arial"/>
          <w:sz w:val="16"/>
          <w:szCs w:val="16"/>
          <w:color w:val="auto"/>
        </w:rPr>
        <w:t>____________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________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subscribe for and purchase from XpresSpa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of Common Stock (the shares of</w:t>
      </w:r>
    </w:p>
    <w:p>
      <w:pPr>
        <w:spacing w:after="0" w:line="3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Common Stock issuable upon exercise hereof being referred to as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The purchase price of one share of Common Stock under this Warrant shall be equal to the Exercise Price, as defined in Section 2(b).</w:t>
      </w:r>
    </w:p>
    <w:p>
      <w:pPr>
        <w:spacing w:after="0" w:line="18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June 17, 2020, among the Company and the purchasers signatory thereto.</w:t>
      </w:r>
    </w:p>
    <w:p>
      <w:pPr>
        <w:spacing w:after="0" w:line="14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5" w:lineRule="auto"/>
        <w:tabs>
          <w:tab w:leader="none" w:pos="1911"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w:t>
      </w:r>
      <w:r>
        <w:rPr>
          <w:rFonts w:ascii="Arial" w:cs="Arial" w:eastAsia="Arial" w:hAnsi="Arial"/>
          <w:sz w:val="16"/>
          <w:szCs w:val="16"/>
          <w:color w:val="auto"/>
        </w:rPr>
        <w:t xml:space="preserve"> </w:t>
      </w:r>
      <w:r>
        <w:rPr>
          <w:rFonts w:ascii="Arial" w:cs="Arial" w:eastAsia="Arial" w:hAnsi="Arial"/>
          <w:sz w:val="16"/>
          <w:szCs w:val="16"/>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7" w:lineRule="exact"/>
        <w:rPr>
          <w:sz w:val="20"/>
          <w:szCs w:val="20"/>
          <w:color w:val="auto"/>
        </w:rPr>
      </w:pPr>
    </w:p>
    <w:p>
      <w:pPr>
        <w:ind w:right="220" w:firstLine="8"/>
        <w:spacing w:after="0" w:line="207" w:lineRule="auto"/>
        <w:tabs>
          <w:tab w:leader="none" w:pos="112"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Insert the date that is the 21-month year anniversary of the Initial Exercise Date, provided that, if such date is not a Trading Day, insert the immediately following Trading Day.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ind w:left="-460" w:firstLine="644"/>
        <w:spacing w:after="0" w:line="277" w:lineRule="auto"/>
        <w:tabs>
          <w:tab w:leader="none" w:pos="78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Common Stock under this Warrant shall be $5.25,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60" w:firstLine="644"/>
        <w:spacing w:after="0" w:line="342" w:lineRule="auto"/>
        <w:tabs>
          <w:tab w:leader="none" w:pos="88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24" w:lineRule="exact"/>
        <w:rPr>
          <w:sz w:val="20"/>
          <w:szCs w:val="20"/>
          <w:color w:val="auto"/>
        </w:rPr>
      </w:pPr>
    </w:p>
    <w:p>
      <w:pPr>
        <w:ind w:left="680" w:hanging="496"/>
        <w:spacing w:after="0" w:line="269" w:lineRule="auto"/>
        <w:tabs>
          <w:tab w:leader="none" w:pos="491" w:val="left"/>
        </w:tabs>
        <w:numPr>
          <w:ilvl w:val="0"/>
          <w:numId w:val="7"/>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1" w:lineRule="exact"/>
        <w:rPr>
          <w:rFonts w:ascii="Arial" w:cs="Arial" w:eastAsia="Arial" w:hAnsi="Arial"/>
          <w:sz w:val="17"/>
          <w:szCs w:val="17"/>
          <w:color w:val="auto"/>
        </w:rPr>
      </w:pPr>
    </w:p>
    <w:p>
      <w:pPr>
        <w:ind w:left="460" w:hanging="276"/>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760" w:hanging="576"/>
        <w:spacing w:after="0" w:line="277" w:lineRule="auto"/>
        <w:tabs>
          <w:tab w:leader="none" w:pos="493" w:val="left"/>
        </w:tabs>
        <w:numPr>
          <w:ilvl w:val="0"/>
          <w:numId w:val="8"/>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ind w:left="4" w:firstLine="648"/>
        <w:spacing w:after="0" w:line="311" w:lineRule="auto"/>
        <w:rPr>
          <w:sz w:val="20"/>
          <w:szCs w:val="20"/>
          <w:color w:val="auto"/>
        </w:rPr>
      </w:pPr>
      <w:r>
        <w:rPr>
          <w:rFonts w:ascii="Arial" w:cs="Arial" w:eastAsia="Arial" w:hAnsi="Arial"/>
          <w:sz w:val="16"/>
          <w:szCs w:val="16"/>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49"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jc w:val="both"/>
        <w:ind w:left="4" w:hanging="4"/>
        <w:spacing w:after="0" w:line="255" w:lineRule="auto"/>
        <w:tabs>
          <w:tab w:leader="none" w:pos="26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0"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 w:name="page15"/>
    <w:bookmarkEnd w:id="14"/>
    <w:p>
      <w:pPr>
        <w:ind w:left="740" w:hanging="55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84" w:lineRule="auto"/>
        <w:tabs>
          <w:tab w:leader="none" w:pos="2136"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 w:name="page16"/>
    <w:bookmarkEnd w:id="15"/>
    <w:p>
      <w:pPr>
        <w:jc w:val="both"/>
        <w:ind w:left="840" w:firstLine="640"/>
        <w:spacing w:after="0" w:line="279" w:lineRule="auto"/>
        <w:tabs>
          <w:tab w:leader="none" w:pos="229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jc w:val="both"/>
        <w:ind w:left="840" w:firstLine="640"/>
        <w:spacing w:after="0" w:line="263" w:lineRule="auto"/>
        <w:tabs>
          <w:tab w:leader="none" w:pos="228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83" w:lineRule="exact"/>
        <w:rPr>
          <w:rFonts w:ascii="Arial" w:cs="Arial" w:eastAsia="Arial" w:hAnsi="Arial"/>
          <w:sz w:val="18"/>
          <w:szCs w:val="18"/>
          <w:color w:val="auto"/>
        </w:rPr>
      </w:pPr>
    </w:p>
    <w:p>
      <w:pPr>
        <w:jc w:val="both"/>
        <w:ind w:left="840" w:firstLine="640"/>
        <w:spacing w:after="0" w:line="284" w:lineRule="auto"/>
        <w:tabs>
          <w:tab w:leader="none" w:pos="211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3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jc w:val="both"/>
        <w:ind w:left="840" w:firstLine="640"/>
        <w:spacing w:after="0" w:line="279" w:lineRule="auto"/>
        <w:tabs>
          <w:tab w:leader="none" w:pos="2164"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Arial" w:cs="Arial" w:eastAsia="Arial" w:hAnsi="Arial"/>
          <w:sz w:val="17"/>
          <w:szCs w:val="17"/>
          <w:color w:val="auto"/>
        </w:rPr>
      </w:pPr>
    </w:p>
    <w:p>
      <w:pPr>
        <w:jc w:val="both"/>
        <w:ind w:left="840" w:firstLine="640"/>
        <w:spacing w:after="0" w:line="289" w:lineRule="auto"/>
        <w:tabs>
          <w:tab w:leader="none" w:pos="219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840" w:firstLine="640"/>
        <w:spacing w:after="0" w:line="277" w:lineRule="auto"/>
        <w:tabs>
          <w:tab w:leader="none" w:pos="217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jc w:val="both"/>
        <w:ind w:left="4" w:firstLine="644"/>
        <w:spacing w:after="0" w:line="284" w:lineRule="auto"/>
        <w:tabs>
          <w:tab w:leader="none" w:pos="129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w:t>
      </w:r>
    </w:p>
    <w:p>
      <w:pPr>
        <w:spacing w:after="0" w:line="2" w:lineRule="exact"/>
        <w:rPr>
          <w:rFonts w:ascii="Arial" w:cs="Arial" w:eastAsia="Arial" w:hAnsi="Arial"/>
          <w:sz w:val="16"/>
          <w:szCs w:val="16"/>
          <w:color w:val="auto"/>
        </w:rPr>
      </w:pPr>
    </w:p>
    <w:p>
      <w:pPr>
        <w:jc w:val="both"/>
        <w:ind w:left="4" w:hanging="4"/>
        <w:spacing w:after="0" w:line="281" w:lineRule="auto"/>
        <w:tabs>
          <w:tab w:leader="none" w:pos="2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w:t>
      </w:r>
    </w:p>
    <w:p>
      <w:pPr>
        <w:spacing w:after="0" w:line="15" w:lineRule="exact"/>
        <w:rPr>
          <w:sz w:val="20"/>
          <w:szCs w:val="20"/>
          <w:color w:val="auto"/>
        </w:rPr>
      </w:pPr>
    </w:p>
    <w:p>
      <w:pPr>
        <w:jc w:val="both"/>
        <w:ind w:left="4"/>
        <w:spacing w:after="0" w:line="231" w:lineRule="auto"/>
        <w:rPr>
          <w:sz w:val="20"/>
          <w:szCs w:val="20"/>
          <w:color w:val="auto"/>
        </w:rPr>
      </w:pPr>
      <w:r>
        <w:rPr>
          <w:rFonts w:ascii="Arial" w:cs="Arial" w:eastAsia="Arial" w:hAnsi="Arial"/>
          <w:sz w:val="18"/>
          <w:szCs w:val="18"/>
          <w:color w:val="auto"/>
        </w:rPr>
        <w:t>Limitation will not be effective until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2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8" w:name="page19"/>
    <w:bookmarkEnd w:id="18"/>
    <w:p>
      <w:pPr>
        <w:spacing w:after="0"/>
        <w:tabs>
          <w:tab w:leader="none" w:pos="124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9" w:lineRule="auto"/>
        <w:tabs>
          <w:tab w:leader="none" w:pos="125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jc w:val="both"/>
        <w:ind w:firstLine="644"/>
        <w:spacing w:after="0" w:line="269" w:lineRule="auto"/>
        <w:tabs>
          <w:tab w:leader="none" w:pos="130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8" w:lineRule="exact"/>
        <w:rPr>
          <w:rFonts w:ascii="Arial" w:cs="Arial" w:eastAsia="Arial" w:hAnsi="Arial"/>
          <w:sz w:val="17"/>
          <w:szCs w:val="17"/>
          <w:color w:val="auto"/>
        </w:rPr>
      </w:pPr>
    </w:p>
    <w:p>
      <w:pPr>
        <w:jc w:val="both"/>
        <w:ind w:firstLine="644"/>
        <w:spacing w:after="0" w:line="268" w:lineRule="auto"/>
        <w:tabs>
          <w:tab w:leader="none" w:pos="138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 w:name="page20"/>
    <w:bookmarkEnd w:id="19"/>
    <w:p>
      <w:pPr>
        <w:jc w:val="both"/>
        <w:ind w:left="4" w:firstLine="644"/>
        <w:spacing w:after="0" w:line="283" w:lineRule="auto"/>
        <w:tabs>
          <w:tab w:leader="none" w:pos="1251"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the later of (i) five Business Days of the Holder’s election and</w:t>
      </w:r>
    </w:p>
    <w:p>
      <w:pPr>
        <w:spacing w:after="0" w:line="185" w:lineRule="exact"/>
        <w:rPr>
          <w:rFonts w:ascii="Arial" w:cs="Arial" w:eastAsia="Arial" w:hAnsi="Arial"/>
          <w:sz w:val="16"/>
          <w:szCs w:val="16"/>
          <w:color w:val="auto"/>
        </w:rPr>
      </w:pPr>
    </w:p>
    <w:p>
      <w:pPr>
        <w:jc w:val="both"/>
        <w:ind w:left="4" w:hanging="4"/>
        <w:spacing w:after="0" w:line="284" w:lineRule="auto"/>
        <w:tabs>
          <w:tab w:leader="none" w:pos="28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39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902" w:gutter="0" w:footer="0" w:header="0"/>
        </w:sectPr>
      </w:pPr>
    </w:p>
    <w:bookmarkStart w:id="20" w:name="page21"/>
    <w:bookmarkEnd w:id="20"/>
    <w:p>
      <w:pPr>
        <w:jc w:val="both"/>
        <w:ind w:left="-460" w:firstLine="644"/>
        <w:spacing w:after="0" w:line="286" w:lineRule="auto"/>
        <w:tabs>
          <w:tab w:leader="none" w:pos="81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760" w:hanging="57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235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840" w:firstLine="640"/>
        <w:spacing w:after="0" w:line="284" w:lineRule="auto"/>
        <w:tabs>
          <w:tab w:leader="none" w:pos="2186"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1" w:name="page22"/>
    <w:bookmarkEnd w:id="21"/>
    <w:p>
      <w:pPr>
        <w:spacing w:after="0"/>
        <w:tabs>
          <w:tab w:leader="none" w:pos="12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9" w:lineRule="auto"/>
        <w:tabs>
          <w:tab w:leader="none" w:pos="127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8" w:lineRule="exact"/>
        <w:rPr>
          <w:rFonts w:ascii="Arial" w:cs="Arial" w:eastAsia="Arial" w:hAnsi="Arial"/>
          <w:sz w:val="17"/>
          <w:szCs w:val="17"/>
          <w:color w:val="auto"/>
        </w:rPr>
      </w:pPr>
    </w:p>
    <w:p>
      <w:pPr>
        <w:jc w:val="both"/>
        <w:ind w:firstLine="644"/>
        <w:spacing w:after="0" w:line="273" w:lineRule="auto"/>
        <w:tabs>
          <w:tab w:leader="none" w:pos="1271"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New Warrants.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177" w:lineRule="exact"/>
        <w:rPr>
          <w:rFonts w:ascii="Arial" w:cs="Arial" w:eastAsia="Arial" w:hAnsi="Arial"/>
          <w:sz w:val="17"/>
          <w:szCs w:val="17"/>
          <w:color w:val="auto"/>
        </w:rPr>
      </w:pPr>
    </w:p>
    <w:p>
      <w:pPr>
        <w:jc w:val="both"/>
        <w:ind w:firstLine="644"/>
        <w:spacing w:after="0" w:line="259" w:lineRule="auto"/>
        <w:tabs>
          <w:tab w:leader="none" w:pos="126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2" w:name="page23"/>
    <w:bookmarkEnd w:id="22"/>
    <w:p>
      <w:pPr>
        <w:jc w:val="both"/>
        <w:ind w:firstLine="644"/>
        <w:spacing w:after="0" w:line="275" w:lineRule="auto"/>
        <w:tabs>
          <w:tab w:leader="none" w:pos="128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76" w:lineRule="exact"/>
        <w:rPr>
          <w:rFonts w:ascii="Arial" w:cs="Arial" w:eastAsia="Arial" w:hAnsi="Arial"/>
          <w:sz w:val="17"/>
          <w:szCs w:val="17"/>
          <w:color w:val="auto"/>
        </w:rPr>
      </w:pPr>
    </w:p>
    <w:p>
      <w:pPr>
        <w:jc w:val="both"/>
        <w:ind w:firstLine="644"/>
        <w:spacing w:after="0" w:line="259" w:lineRule="auto"/>
        <w:tabs>
          <w:tab w:leader="none" w:pos="125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Miscellaneous.</w:t>
      </w:r>
    </w:p>
    <w:p>
      <w:pPr>
        <w:spacing w:after="0" w:line="225" w:lineRule="exact"/>
        <w:rPr>
          <w:sz w:val="20"/>
          <w:szCs w:val="20"/>
          <w:color w:val="auto"/>
        </w:rPr>
      </w:pPr>
    </w:p>
    <w:p>
      <w:pPr>
        <w:jc w:val="both"/>
        <w:ind w:firstLine="644"/>
        <w:spacing w:after="0" w:line="257" w:lineRule="auto"/>
        <w:tabs>
          <w:tab w:leader="none" w:pos="130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7" w:lineRule="exact"/>
        <w:rPr>
          <w:rFonts w:ascii="Arial" w:cs="Arial" w:eastAsia="Arial" w:hAnsi="Arial"/>
          <w:sz w:val="18"/>
          <w:szCs w:val="18"/>
          <w:color w:val="auto"/>
        </w:rPr>
      </w:pPr>
    </w:p>
    <w:p>
      <w:pPr>
        <w:jc w:val="both"/>
        <w:ind w:firstLine="644"/>
        <w:spacing w:after="0" w:line="296" w:lineRule="auto"/>
        <w:tabs>
          <w:tab w:leader="none" w:pos="143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jc w:val="both"/>
        <w:ind w:firstLine="644"/>
        <w:spacing w:after="0" w:line="342" w:lineRule="auto"/>
        <w:tabs>
          <w:tab w:leader="none" w:pos="126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1240" w:hanging="596"/>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 w:name="page24"/>
    <w:bookmarkEnd w:id="23"/>
    <w:p>
      <w:pPr>
        <w:jc w:val="both"/>
        <w:ind w:left="180" w:firstLine="1296"/>
        <w:spacing w:after="0" w:line="269"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2" w:lineRule="exact"/>
        <w:rPr>
          <w:sz w:val="20"/>
          <w:szCs w:val="20"/>
          <w:color w:val="auto"/>
        </w:rPr>
      </w:pPr>
    </w:p>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60" w:firstLine="644"/>
        <w:spacing w:after="0" w:line="277" w:lineRule="auto"/>
        <w:tabs>
          <w:tab w:leader="none" w:pos="108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 w:name="page25"/>
    <w:bookmarkEnd w:id="24"/>
    <w:p>
      <w:pPr>
        <w:ind w:left="-460" w:firstLine="644"/>
        <w:spacing w:after="0" w:line="308" w:lineRule="auto"/>
        <w:tabs>
          <w:tab w:leader="none" w:pos="81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left="-460" w:firstLine="644"/>
        <w:spacing w:after="0" w:line="273" w:lineRule="auto"/>
        <w:tabs>
          <w:tab w:leader="none" w:pos="80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7" w:lineRule="exact"/>
        <w:rPr>
          <w:rFonts w:ascii="Arial" w:cs="Arial" w:eastAsia="Arial" w:hAnsi="Arial"/>
          <w:sz w:val="17"/>
          <w:szCs w:val="17"/>
          <w:color w:val="auto"/>
        </w:rPr>
      </w:pPr>
    </w:p>
    <w:p>
      <w:pPr>
        <w:ind w:left="-460" w:firstLine="644"/>
        <w:spacing w:after="0" w:line="277" w:lineRule="auto"/>
        <w:tabs>
          <w:tab w:leader="none" w:pos="90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88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460" w:right="20" w:firstLine="644"/>
        <w:spacing w:after="0" w:line="277" w:lineRule="auto"/>
        <w:tabs>
          <w:tab w:leader="none" w:pos="104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jc w:val="both"/>
        <w:ind w:left="-460" w:firstLine="644"/>
        <w:spacing w:after="0" w:line="311" w:lineRule="auto"/>
        <w:tabs>
          <w:tab w:leader="none" w:pos="89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ind w:left="-460" w:firstLine="644"/>
        <w:spacing w:after="0" w:line="277" w:lineRule="auto"/>
        <w:tabs>
          <w:tab w:leader="none" w:pos="80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38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XPRESSPA GROUP, INC.</w:t>
      </w:r>
    </w:p>
    <w:p>
      <w:pPr>
        <w:spacing w:after="0" w:line="225" w:lineRule="exact"/>
        <w:rPr>
          <w:sz w:val="20"/>
          <w:szCs w:val="20"/>
          <w:color w:val="auto"/>
        </w:rPr>
      </w:pPr>
    </w:p>
    <w:p>
      <w:pPr>
        <w:ind w:right="20" w:firstLine="1304"/>
        <w:spacing w:after="0" w:line="308" w:lineRule="auto"/>
        <w:tabs>
          <w:tab w:leader="none" w:pos="16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640" w:hanging="336"/>
        <w:spacing w:after="0"/>
        <w:tabs>
          <w:tab w:leader="none" w:pos="1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263"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sz w:val="20"/>
          <w:szCs w:val="20"/>
          <w:color w:val="auto"/>
        </w:rPr>
      </w:pPr>
    </w:p>
    <w:p>
      <w:pPr>
        <w:ind w:left="1640" w:hanging="336"/>
        <w:spacing w:after="0"/>
        <w:tabs>
          <w:tab w:leader="none" w:pos="1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640" w:hanging="336"/>
        <w:spacing w:after="0"/>
        <w:tabs>
          <w:tab w:leader="none" w:pos="164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1030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192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Name:</w:t>
            </w:r>
          </w:p>
        </w:tc>
        <w:tc>
          <w:tcPr>
            <w:tcW w:w="6920" w:type="dxa"/>
            <w:vAlign w:val="bottom"/>
          </w:tcPr>
          <w:p>
            <w:pPr>
              <w:ind w:left="1400"/>
              <w:spacing w:after="0"/>
              <w:rPr>
                <w:sz w:val="20"/>
                <w:szCs w:val="20"/>
                <w:color w:val="auto"/>
              </w:rPr>
            </w:pPr>
            <w:r>
              <w:rPr>
                <w:rFonts w:ascii="Arial" w:cs="Arial" w:eastAsia="Arial" w:hAnsi="Arial"/>
                <w:sz w:val="18"/>
                <w:szCs w:val="18"/>
                <w:color w:val="auto"/>
              </w:rPr>
              <w:t>______________________________________</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Arial" w:cs="Arial" w:eastAsia="Arial" w:hAnsi="Arial"/>
                <w:sz w:val="18"/>
                <w:szCs w:val="18"/>
                <w:color w:val="auto"/>
              </w:rPr>
              <w:t>(Please Print)</w:t>
            </w: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Address:</w:t>
            </w:r>
          </w:p>
        </w:tc>
        <w:tc>
          <w:tcPr>
            <w:tcW w:w="6920" w:type="dxa"/>
            <w:vAlign w:val="bottom"/>
          </w:tcPr>
          <w:p>
            <w:pPr>
              <w:ind w:left="140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4320" w:type="dxa"/>
            <w:vAlign w:val="bottom"/>
          </w:tcPr>
          <w:p>
            <w:pPr>
              <w:spacing w:after="0"/>
              <w:rPr>
                <w:sz w:val="20"/>
                <w:szCs w:val="20"/>
                <w:color w:val="auto"/>
              </w:rPr>
            </w:pPr>
          </w:p>
        </w:tc>
        <w:tc>
          <w:tcPr>
            <w:tcW w:w="6920" w:type="dxa"/>
            <w:vAlign w:val="bottom"/>
          </w:tcPr>
          <w:p>
            <w:pPr>
              <w:ind w:left="1400"/>
              <w:spacing w:after="0"/>
              <w:rPr>
                <w:sz w:val="20"/>
                <w:szCs w:val="20"/>
                <w:color w:val="auto"/>
              </w:rPr>
            </w:pPr>
            <w:r>
              <w:rPr>
                <w:rFonts w:ascii="Arial" w:cs="Arial" w:eastAsia="Arial" w:hAnsi="Arial"/>
                <w:sz w:val="18"/>
                <w:szCs w:val="18"/>
                <w:color w:val="auto"/>
              </w:rPr>
              <w:t>(Please Print)</w:t>
            </w:r>
          </w:p>
        </w:tc>
      </w:tr>
      <w:tr>
        <w:trPr>
          <w:trHeight w:val="432"/>
        </w:trPr>
        <w:tc>
          <w:tcPr>
            <w:tcW w:w="4320" w:type="dxa"/>
            <w:vAlign w:val="bottom"/>
          </w:tcPr>
          <w:p>
            <w:pPr>
              <w:ind w:left="100"/>
              <w:spacing w:after="0"/>
              <w:rPr>
                <w:sz w:val="20"/>
                <w:szCs w:val="20"/>
                <w:color w:val="auto"/>
              </w:rPr>
            </w:pPr>
            <w:r>
              <w:rPr>
                <w:rFonts w:ascii="Arial" w:cs="Arial" w:eastAsia="Arial" w:hAnsi="Arial"/>
                <w:sz w:val="18"/>
                <w:szCs w:val="18"/>
                <w:color w:val="auto"/>
              </w:rPr>
              <w:t>Phone Number:</w:t>
            </w:r>
          </w:p>
        </w:tc>
        <w:tc>
          <w:tcPr>
            <w:tcW w:w="6920" w:type="dxa"/>
            <w:vAlign w:val="bottom"/>
          </w:tcPr>
          <w:p>
            <w:pPr>
              <w:ind w:left="1400"/>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4320" w:type="dxa"/>
            <w:vAlign w:val="bottom"/>
          </w:tcPr>
          <w:p>
            <w:pPr>
              <w:ind w:left="100"/>
              <w:spacing w:after="0"/>
              <w:rPr>
                <w:sz w:val="20"/>
                <w:szCs w:val="20"/>
                <w:color w:val="auto"/>
              </w:rPr>
            </w:pPr>
            <w:r>
              <w:rPr>
                <w:rFonts w:ascii="Arial" w:cs="Arial" w:eastAsia="Arial" w:hAnsi="Arial"/>
                <w:sz w:val="18"/>
                <w:szCs w:val="18"/>
                <w:color w:val="auto"/>
              </w:rPr>
              <w:t>Email Address:</w:t>
            </w:r>
          </w:p>
        </w:tc>
        <w:tc>
          <w:tcPr>
            <w:tcW w:w="6920" w:type="dxa"/>
            <w:vAlign w:val="bottom"/>
          </w:tcPr>
          <w:p>
            <w:pPr>
              <w:ind w:left="1400"/>
              <w:spacing w:after="0"/>
              <w:rPr>
                <w:sz w:val="20"/>
                <w:szCs w:val="20"/>
                <w:color w:val="auto"/>
              </w:rPr>
            </w:pPr>
            <w:r>
              <w:rPr>
                <w:rFonts w:ascii="Arial" w:cs="Arial" w:eastAsia="Arial" w:hAnsi="Arial"/>
                <w:sz w:val="18"/>
                <w:szCs w:val="18"/>
                <w:color w:val="auto"/>
              </w:rPr>
              <w:t>______________________________________</w:t>
            </w:r>
          </w:p>
        </w:tc>
      </w:tr>
      <w:tr>
        <w:trPr>
          <w:trHeight w:val="648"/>
        </w:trPr>
        <w:tc>
          <w:tcPr>
            <w:tcW w:w="4320" w:type="dxa"/>
            <w:vAlign w:val="bottom"/>
          </w:tcPr>
          <w:p>
            <w:pPr>
              <w:ind w:left="100"/>
              <w:spacing w:after="0"/>
              <w:rPr>
                <w:sz w:val="20"/>
                <w:szCs w:val="20"/>
                <w:color w:val="auto"/>
              </w:rPr>
            </w:pPr>
            <w:r>
              <w:rPr>
                <w:rFonts w:ascii="Arial" w:cs="Arial" w:eastAsia="Arial" w:hAnsi="Arial"/>
                <w:sz w:val="18"/>
                <w:szCs w:val="18"/>
                <w:color w:val="auto"/>
              </w:rPr>
              <w:t>Dated: _______________ __, ______</w:t>
            </w:r>
          </w:p>
        </w:tc>
        <w:tc>
          <w:tcPr>
            <w:tcW w:w="6920" w:type="dxa"/>
            <w:vAlign w:val="bottom"/>
          </w:tcPr>
          <w:p>
            <w:pPr>
              <w:spacing w:after="0"/>
              <w:rPr>
                <w:sz w:val="24"/>
                <w:szCs w:val="24"/>
                <w:color w:val="auto"/>
              </w:rPr>
            </w:pPr>
          </w:p>
        </w:tc>
      </w:tr>
      <w:tr>
        <w:trPr>
          <w:trHeight w:val="432"/>
        </w:trPr>
        <w:tc>
          <w:tcPr>
            <w:tcW w:w="4320" w:type="dxa"/>
            <w:vAlign w:val="bottom"/>
          </w:tcPr>
          <w:p>
            <w:pPr>
              <w:ind w:left="100"/>
              <w:spacing w:after="0"/>
              <w:rPr>
                <w:sz w:val="20"/>
                <w:szCs w:val="20"/>
                <w:color w:val="auto"/>
              </w:rPr>
            </w:pPr>
            <w:r>
              <w:rPr>
                <w:rFonts w:ascii="Arial" w:cs="Arial" w:eastAsia="Arial" w:hAnsi="Arial"/>
                <w:sz w:val="18"/>
                <w:szCs w:val="18"/>
                <w:color w:val="auto"/>
              </w:rPr>
              <w:t>Holder’s Signature: _______________</w:t>
            </w:r>
          </w:p>
        </w:tc>
        <w:tc>
          <w:tcPr>
            <w:tcW w:w="6920" w:type="dxa"/>
            <w:vAlign w:val="bottom"/>
          </w:tcPr>
          <w:p>
            <w:pPr>
              <w:spacing w:after="0"/>
              <w:rPr>
                <w:sz w:val="24"/>
                <w:szCs w:val="24"/>
                <w:color w:val="auto"/>
              </w:rPr>
            </w:pPr>
          </w:p>
        </w:tc>
      </w:tr>
      <w:tr>
        <w:trPr>
          <w:trHeight w:val="432"/>
        </w:trPr>
        <w:tc>
          <w:tcPr>
            <w:tcW w:w="4320" w:type="dxa"/>
            <w:vAlign w:val="bottom"/>
          </w:tcPr>
          <w:p>
            <w:pPr>
              <w:ind w:left="100"/>
              <w:spacing w:after="0"/>
              <w:rPr>
                <w:sz w:val="20"/>
                <w:szCs w:val="20"/>
                <w:color w:val="auto"/>
              </w:rPr>
            </w:pPr>
            <w:r>
              <w:rPr>
                <w:rFonts w:ascii="Arial" w:cs="Arial" w:eastAsia="Arial" w:hAnsi="Arial"/>
                <w:sz w:val="18"/>
                <w:szCs w:val="18"/>
                <w:color w:val="auto"/>
              </w:rPr>
              <w:t>Holder’s Address: _______________</w:t>
            </w:r>
          </w:p>
        </w:tc>
        <w:tc>
          <w:tcPr>
            <w:tcW w:w="6920" w:type="dxa"/>
            <w:vAlign w:val="bottom"/>
          </w:tcPr>
          <w:p>
            <w:pPr>
              <w:spacing w:after="0"/>
              <w:rPr>
                <w:sz w:val="24"/>
                <w:szCs w:val="24"/>
                <w:color w:val="auto"/>
              </w:rPr>
            </w:pPr>
          </w:p>
        </w:tc>
      </w:tr>
      <w:tr>
        <w:trPr>
          <w:trHeight w:val="675"/>
        </w:trPr>
        <w:tc>
          <w:tcPr>
            <w:tcW w:w="43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_______, 2020</w:t>
      </w:r>
    </w:p>
    <w:p>
      <w:pPr>
        <w:spacing w:after="0" w:line="200"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PLACEMENT AGENT COMMON STOCK PURCHASE WARRANT (the “</w:t>
      </w:r>
      <w:r>
        <w:rPr>
          <w:rFonts w:ascii="Arial" w:cs="Arial" w:eastAsia="Arial" w:hAnsi="Arial"/>
          <w:sz w:val="18"/>
          <w:szCs w:val="18"/>
          <w:u w:val="single" w:color="auto"/>
          <w:color w:val="auto"/>
        </w:rPr>
        <w:t>Warrant</w:t>
      </w:r>
      <w:r>
        <w:rPr>
          <w:rFonts w:ascii="Arial" w:cs="Arial" w:eastAsia="Arial" w:hAnsi="Arial"/>
          <w:sz w:val="18"/>
          <w:szCs w:val="18"/>
          <w:color w:val="auto"/>
        </w:rPr>
        <w:t>”) certifies that, for value received,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w:t>
      </w:r>
    </w:p>
    <w:p>
      <w:pPr>
        <w:spacing w:after="0" w:line="232" w:lineRule="auto"/>
        <w:rPr>
          <w:sz w:val="20"/>
          <w:szCs w:val="20"/>
          <w:color w:val="auto"/>
        </w:rPr>
      </w:pPr>
      <w:r>
        <w:rPr>
          <w:rFonts w:ascii="Arial" w:cs="Arial" w:eastAsia="Arial" w:hAnsi="Arial"/>
          <w:sz w:val="16"/>
          <w:szCs w:val="16"/>
          <w:color w:val="auto"/>
        </w:rPr>
        <w:t>any time on or after ____________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________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but not thereafter, to subscribe for and purchase from XpresSpa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of Common</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(the shares of Common Stock issuable upon exercise hereof being referred to as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The purchase price of one share of Common Stock under this Warrant shall be equal to the Exercise Price, as defined in Section 2(b). This Warrant is issued pursuant to that certain Engagement Agreement, by and between the Company and H.C. Wainwright &amp; Co., LLC, dated as of March 25, 2020.</w:t>
      </w:r>
    </w:p>
    <w:p>
      <w:pPr>
        <w:spacing w:after="0" w:line="19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June 17, 2020, among the Company and the purchasers signatory thereto.</w:t>
      </w:r>
    </w:p>
    <w:p>
      <w:pPr>
        <w:spacing w:after="0" w:line="14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5" w:lineRule="auto"/>
        <w:tabs>
          <w:tab w:leader="none" w:pos="204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w:t>
      </w:r>
      <w:r>
        <w:rPr>
          <w:rFonts w:ascii="Arial" w:cs="Arial" w:eastAsia="Arial" w:hAnsi="Arial"/>
          <w:sz w:val="16"/>
          <w:szCs w:val="16"/>
          <w:color w:val="auto"/>
        </w:rPr>
        <w:t xml:space="preserve"> </w:t>
      </w:r>
      <w:r>
        <w:rPr>
          <w:rFonts w:ascii="Arial" w:cs="Arial" w:eastAsia="Arial" w:hAnsi="Arial"/>
          <w:sz w:val="16"/>
          <w:szCs w:val="16"/>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7" w:lineRule="exact"/>
        <w:rPr>
          <w:sz w:val="20"/>
          <w:szCs w:val="20"/>
          <w:color w:val="auto"/>
        </w:rPr>
      </w:pPr>
    </w:p>
    <w:p>
      <w:pPr>
        <w:ind w:right="580" w:firstLine="8"/>
        <w:spacing w:after="0" w:line="207" w:lineRule="auto"/>
        <w:tabs>
          <w:tab w:leader="none" w:pos="112" w:val="left"/>
        </w:tabs>
        <w:numPr>
          <w:ilvl w:val="0"/>
          <w:numId w:val="29"/>
        </w:numPr>
        <w:rPr>
          <w:rFonts w:ascii="Arial" w:cs="Arial" w:eastAsia="Arial" w:hAnsi="Arial"/>
          <w:sz w:val="28"/>
          <w:szCs w:val="28"/>
          <w:color w:val="auto"/>
          <w:vertAlign w:val="superscript"/>
        </w:rPr>
      </w:pPr>
      <w:r>
        <w:rPr>
          <w:rFonts w:ascii="Arial" w:cs="Arial" w:eastAsia="Arial" w:hAnsi="Arial"/>
          <w:sz w:val="17"/>
          <w:szCs w:val="17"/>
          <w:color w:val="auto"/>
        </w:rPr>
        <w:t>Insert the date that is the 21-month anniversary of the Initial Exercise Date, provided that, if such date is not a Trading Day, insert the immediately following Trading Day.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ind w:left="-460" w:firstLine="644"/>
        <w:spacing w:after="0" w:line="282"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$6.56625</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460" w:firstLine="644"/>
        <w:spacing w:after="0" w:line="342" w:lineRule="auto"/>
        <w:tabs>
          <w:tab w:leader="none" w:pos="94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24" w:lineRule="exact"/>
        <w:rPr>
          <w:sz w:val="20"/>
          <w:szCs w:val="20"/>
          <w:color w:val="auto"/>
        </w:rPr>
      </w:pPr>
    </w:p>
    <w:p>
      <w:pPr>
        <w:ind w:left="680" w:hanging="496"/>
        <w:spacing w:after="0" w:line="269" w:lineRule="auto"/>
        <w:tabs>
          <w:tab w:leader="none" w:pos="491" w:val="left"/>
        </w:tabs>
        <w:numPr>
          <w:ilvl w:val="0"/>
          <w:numId w:val="31"/>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1" w:lineRule="exact"/>
        <w:rPr>
          <w:rFonts w:ascii="Arial" w:cs="Arial" w:eastAsia="Arial" w:hAnsi="Arial"/>
          <w:sz w:val="17"/>
          <w:szCs w:val="17"/>
          <w:color w:val="auto"/>
        </w:rPr>
      </w:pPr>
    </w:p>
    <w:p>
      <w:pPr>
        <w:ind w:left="460" w:hanging="276"/>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760" w:hanging="576"/>
        <w:spacing w:after="0" w:line="277" w:lineRule="auto"/>
        <w:tabs>
          <w:tab w:leader="none" w:pos="4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 w:name="page32"/>
    <w:bookmarkEnd w:id="31"/>
    <w:p>
      <w:pPr>
        <w:jc w:val="both"/>
        <w:ind w:left="4" w:firstLine="648"/>
        <w:spacing w:after="0" w:line="311" w:lineRule="auto"/>
        <w:rPr>
          <w:sz w:val="20"/>
          <w:szCs w:val="20"/>
          <w:color w:val="auto"/>
        </w:rPr>
      </w:pPr>
      <w:r>
        <w:rPr>
          <w:rFonts w:ascii="Arial" w:cs="Arial" w:eastAsia="Arial" w:hAnsi="Arial"/>
          <w:sz w:val="16"/>
          <w:szCs w:val="16"/>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49"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jc w:val="both"/>
        <w:ind w:left="4" w:hanging="4"/>
        <w:spacing w:after="0" w:line="255" w:lineRule="auto"/>
        <w:tabs>
          <w:tab w:leader="none" w:pos="2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0"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2" w:name="page33"/>
    <w:bookmarkEnd w:id="32"/>
    <w:p>
      <w:pPr>
        <w:ind w:left="880" w:hanging="696"/>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84" w:lineRule="auto"/>
        <w:tabs>
          <w:tab w:leader="none" w:pos="2136"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jc w:val="both"/>
        <w:ind w:left="840" w:firstLine="640"/>
        <w:spacing w:after="0" w:line="279" w:lineRule="auto"/>
        <w:tabs>
          <w:tab w:leader="none" w:pos="229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jc w:val="both"/>
        <w:ind w:left="840" w:firstLine="640"/>
        <w:spacing w:after="0" w:line="263" w:lineRule="auto"/>
        <w:tabs>
          <w:tab w:leader="none" w:pos="228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83" w:lineRule="exact"/>
        <w:rPr>
          <w:rFonts w:ascii="Arial" w:cs="Arial" w:eastAsia="Arial" w:hAnsi="Arial"/>
          <w:sz w:val="18"/>
          <w:szCs w:val="18"/>
          <w:color w:val="auto"/>
        </w:rPr>
      </w:pPr>
    </w:p>
    <w:p>
      <w:pPr>
        <w:jc w:val="both"/>
        <w:ind w:left="840" w:firstLine="640"/>
        <w:spacing w:after="0" w:line="284" w:lineRule="auto"/>
        <w:tabs>
          <w:tab w:leader="none" w:pos="211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3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 w:name="page35"/>
    <w:bookmarkEnd w:id="34"/>
    <w:p>
      <w:pPr>
        <w:jc w:val="both"/>
        <w:ind w:left="840" w:firstLine="640"/>
        <w:spacing w:after="0" w:line="279" w:lineRule="auto"/>
        <w:tabs>
          <w:tab w:leader="none" w:pos="213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Arial" w:cs="Arial" w:eastAsia="Arial" w:hAnsi="Arial"/>
          <w:sz w:val="17"/>
          <w:szCs w:val="17"/>
          <w:color w:val="auto"/>
        </w:rPr>
      </w:pPr>
    </w:p>
    <w:p>
      <w:pPr>
        <w:jc w:val="both"/>
        <w:ind w:left="840" w:firstLine="640"/>
        <w:spacing w:after="0" w:line="289" w:lineRule="auto"/>
        <w:tabs>
          <w:tab w:leader="none" w:pos="216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840" w:firstLine="640"/>
        <w:spacing w:after="0" w:line="277" w:lineRule="auto"/>
        <w:tabs>
          <w:tab w:leader="none" w:pos="217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5" w:name="page36"/>
    <w:bookmarkEnd w:id="35"/>
    <w:p>
      <w:pPr>
        <w:jc w:val="both"/>
        <w:ind w:left="4" w:firstLine="644"/>
        <w:spacing w:after="0" w:line="284"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w:t>
      </w:r>
    </w:p>
    <w:p>
      <w:pPr>
        <w:spacing w:after="0" w:line="2" w:lineRule="exact"/>
        <w:rPr>
          <w:rFonts w:ascii="Arial" w:cs="Arial" w:eastAsia="Arial" w:hAnsi="Arial"/>
          <w:sz w:val="16"/>
          <w:szCs w:val="16"/>
          <w:color w:val="auto"/>
        </w:rPr>
      </w:pPr>
    </w:p>
    <w:p>
      <w:pPr>
        <w:jc w:val="both"/>
        <w:ind w:left="4" w:hanging="4"/>
        <w:spacing w:after="0" w:line="281" w:lineRule="auto"/>
        <w:tabs>
          <w:tab w:leader="none" w:pos="2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w:t>
      </w:r>
    </w:p>
    <w:p>
      <w:pPr>
        <w:spacing w:after="0" w:line="15" w:lineRule="exact"/>
        <w:rPr>
          <w:sz w:val="20"/>
          <w:szCs w:val="20"/>
          <w:color w:val="auto"/>
        </w:rPr>
      </w:pPr>
    </w:p>
    <w:p>
      <w:pPr>
        <w:jc w:val="both"/>
        <w:ind w:left="4"/>
        <w:spacing w:after="0" w:line="231" w:lineRule="auto"/>
        <w:rPr>
          <w:sz w:val="20"/>
          <w:szCs w:val="20"/>
          <w:color w:val="auto"/>
        </w:rPr>
      </w:pPr>
      <w:r>
        <w:rPr>
          <w:rFonts w:ascii="Arial" w:cs="Arial" w:eastAsia="Arial" w:hAnsi="Arial"/>
          <w:sz w:val="18"/>
          <w:szCs w:val="18"/>
          <w:color w:val="auto"/>
        </w:rPr>
        <w:t>Limitation will not be effective until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2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6" w:name="page37"/>
    <w:bookmarkEnd w:id="36"/>
    <w:p>
      <w:pPr>
        <w:spacing w:after="0"/>
        <w:tabs>
          <w:tab w:leader="none" w:pos="124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9" w:lineRule="auto"/>
        <w:tabs>
          <w:tab w:leader="none" w:pos="125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jc w:val="both"/>
        <w:ind w:firstLine="644"/>
        <w:spacing w:after="0" w:line="269" w:lineRule="auto"/>
        <w:tabs>
          <w:tab w:leader="none" w:pos="130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7" w:name="page38"/>
    <w:bookmarkEnd w:id="37"/>
    <w:p>
      <w:pPr>
        <w:jc w:val="both"/>
        <w:ind w:left="-460" w:firstLine="644"/>
        <w:spacing w:after="0" w:line="268" w:lineRule="auto"/>
        <w:tabs>
          <w:tab w:leader="none" w:pos="92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 w:name="page39"/>
    <w:bookmarkEnd w:id="38"/>
    <w:p>
      <w:pPr>
        <w:jc w:val="both"/>
        <w:ind w:left="4" w:firstLine="644"/>
        <w:spacing w:after="0" w:line="283" w:lineRule="auto"/>
        <w:tabs>
          <w:tab w:leader="none" w:pos="1652"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the later of (i) five Business Days of the Holder’s election and</w:t>
      </w:r>
    </w:p>
    <w:p>
      <w:pPr>
        <w:spacing w:after="0" w:line="185" w:lineRule="exact"/>
        <w:rPr>
          <w:rFonts w:ascii="Arial" w:cs="Arial" w:eastAsia="Arial" w:hAnsi="Arial"/>
          <w:sz w:val="16"/>
          <w:szCs w:val="16"/>
          <w:color w:val="auto"/>
        </w:rPr>
      </w:pPr>
    </w:p>
    <w:p>
      <w:pPr>
        <w:jc w:val="both"/>
        <w:ind w:left="4" w:hanging="4"/>
        <w:spacing w:after="0" w:line="284" w:lineRule="auto"/>
        <w:tabs>
          <w:tab w:leader="none" w:pos="28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902" w:gutter="0" w:footer="0" w:header="0"/>
        </w:sectPr>
      </w:pPr>
    </w:p>
    <w:bookmarkStart w:id="39" w:name="page40"/>
    <w:bookmarkEnd w:id="39"/>
    <w:p>
      <w:pPr>
        <w:jc w:val="both"/>
        <w:ind w:left="-460" w:firstLine="644"/>
        <w:spacing w:after="0" w:line="286" w:lineRule="auto"/>
        <w:tabs>
          <w:tab w:leader="none" w:pos="81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760" w:hanging="576"/>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235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840" w:firstLine="640"/>
        <w:spacing w:after="0" w:line="284" w:lineRule="auto"/>
        <w:tabs>
          <w:tab w:leader="none" w:pos="2168"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0" w:name="page41"/>
    <w:bookmarkEnd w:id="40"/>
    <w:p>
      <w:pPr>
        <w:spacing w:after="0"/>
        <w:tabs>
          <w:tab w:leader="none" w:pos="12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7" w:lineRule="auto"/>
        <w:tabs>
          <w:tab w:leader="none" w:pos="134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Pursuant to FINRA Rule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188" w:lineRule="exact"/>
        <w:rPr>
          <w:sz w:val="20"/>
          <w:szCs w:val="20"/>
          <w:color w:val="auto"/>
        </w:rPr>
      </w:pPr>
    </w:p>
    <w:p>
      <w:pPr>
        <w:ind w:left="1300" w:hanging="656"/>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25"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and partners thereof, if all securities so transferred remain subject to the lock-up restriction in this Section 4(a) for the remainder of the time period;</w:t>
      </w:r>
    </w:p>
    <w:p>
      <w:pPr>
        <w:spacing w:after="0" w:line="170"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the Holder or related person do not exceed 1% of the securities being offered;</w:t>
      </w:r>
    </w:p>
    <w:p>
      <w:pPr>
        <w:spacing w:after="0" w:line="170"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83"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in this Section 4(a) for the remainder of the time period.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Subject to compliance with the foregoing restriction,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3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1" w:name="page42"/>
    <w:bookmarkEnd w:id="41"/>
    <w:p>
      <w:pPr>
        <w:jc w:val="both"/>
        <w:ind w:firstLine="644"/>
        <w:spacing w:after="0" w:line="273" w:lineRule="auto"/>
        <w:tabs>
          <w:tab w:leader="none" w:pos="1261"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177" w:lineRule="exact"/>
        <w:rPr>
          <w:rFonts w:ascii="Arial" w:cs="Arial" w:eastAsia="Arial" w:hAnsi="Arial"/>
          <w:sz w:val="17"/>
          <w:szCs w:val="17"/>
          <w:color w:val="auto"/>
        </w:rPr>
      </w:pPr>
    </w:p>
    <w:p>
      <w:pPr>
        <w:jc w:val="both"/>
        <w:ind w:firstLine="644"/>
        <w:spacing w:after="0" w:line="259" w:lineRule="auto"/>
        <w:tabs>
          <w:tab w:leader="none" w:pos="126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rFonts w:ascii="Arial" w:cs="Arial" w:eastAsia="Arial" w:hAnsi="Arial"/>
          <w:sz w:val="18"/>
          <w:szCs w:val="18"/>
          <w:color w:val="auto"/>
        </w:rPr>
      </w:pPr>
    </w:p>
    <w:p>
      <w:pPr>
        <w:jc w:val="both"/>
        <w:ind w:firstLine="644"/>
        <w:spacing w:after="0" w:line="275" w:lineRule="auto"/>
        <w:tabs>
          <w:tab w:leader="none" w:pos="128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76" w:lineRule="exact"/>
        <w:rPr>
          <w:rFonts w:ascii="Arial" w:cs="Arial" w:eastAsia="Arial" w:hAnsi="Arial"/>
          <w:sz w:val="17"/>
          <w:szCs w:val="17"/>
          <w:color w:val="auto"/>
        </w:rPr>
      </w:pPr>
    </w:p>
    <w:p>
      <w:pPr>
        <w:jc w:val="both"/>
        <w:ind w:firstLine="644"/>
        <w:spacing w:after="0" w:line="259" w:lineRule="auto"/>
        <w:tabs>
          <w:tab w:leader="none" w:pos="125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7" w:lineRule="auto"/>
        <w:tabs>
          <w:tab w:leader="none" w:pos="13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2" w:name="page43"/>
    <w:bookmarkEnd w:id="42"/>
    <w:p>
      <w:pPr>
        <w:jc w:val="both"/>
        <w:ind w:left="-460" w:firstLine="644"/>
        <w:spacing w:after="0" w:line="296" w:lineRule="auto"/>
        <w:tabs>
          <w:tab w:leader="none" w:pos="97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jc w:val="both"/>
        <w:ind w:left="-460" w:firstLine="644"/>
        <w:spacing w:after="0" w:line="342" w:lineRule="auto"/>
        <w:tabs>
          <w:tab w:leader="none" w:pos="804"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780" w:hanging="59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269"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2" w:lineRule="exact"/>
        <w:rPr>
          <w:sz w:val="20"/>
          <w:szCs w:val="20"/>
          <w:color w:val="auto"/>
        </w:rPr>
      </w:pPr>
    </w:p>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3" w:name="page44"/>
    <w:bookmarkEnd w:id="43"/>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60" w:firstLine="644"/>
        <w:spacing w:after="0" w:line="277" w:lineRule="auto"/>
        <w:tabs>
          <w:tab w:leader="none" w:pos="108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170" w:lineRule="exact"/>
        <w:rPr>
          <w:rFonts w:ascii="Arial" w:cs="Arial" w:eastAsia="Arial" w:hAnsi="Arial"/>
          <w:sz w:val="18"/>
          <w:szCs w:val="18"/>
          <w:color w:val="auto"/>
        </w:rPr>
      </w:pPr>
    </w:p>
    <w:p>
      <w:pPr>
        <w:ind w:left="-460" w:firstLine="644"/>
        <w:spacing w:after="0" w:line="308" w:lineRule="auto"/>
        <w:tabs>
          <w:tab w:leader="none" w:pos="812"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left="-460" w:firstLine="644"/>
        <w:spacing w:after="0" w:line="273" w:lineRule="auto"/>
        <w:tabs>
          <w:tab w:leader="none" w:pos="80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7" w:lineRule="exact"/>
        <w:rPr>
          <w:rFonts w:ascii="Arial" w:cs="Arial" w:eastAsia="Arial" w:hAnsi="Arial"/>
          <w:sz w:val="17"/>
          <w:szCs w:val="17"/>
          <w:color w:val="auto"/>
        </w:rPr>
      </w:pPr>
    </w:p>
    <w:p>
      <w:pPr>
        <w:ind w:left="-460" w:firstLine="644"/>
        <w:spacing w:after="0" w:line="277" w:lineRule="auto"/>
        <w:tabs>
          <w:tab w:leader="none" w:pos="90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88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4" w:name="page45"/>
    <w:bookmarkEnd w:id="44"/>
    <w:p>
      <w:pPr>
        <w:jc w:val="both"/>
        <w:ind w:left="-460" w:firstLine="644"/>
        <w:spacing w:after="0" w:line="259" w:lineRule="auto"/>
        <w:tabs>
          <w:tab w:leader="none" w:pos="83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81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460" w:right="20" w:firstLine="644"/>
        <w:spacing w:after="0" w:line="277" w:lineRule="auto"/>
        <w:tabs>
          <w:tab w:leader="none" w:pos="104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jc w:val="both"/>
        <w:ind w:left="-460" w:firstLine="644"/>
        <w:spacing w:after="0" w:line="311" w:lineRule="auto"/>
        <w:tabs>
          <w:tab w:leader="none" w:pos="89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left="-460" w:firstLine="644"/>
        <w:spacing w:after="0" w:line="277" w:lineRule="auto"/>
        <w:tabs>
          <w:tab w:leader="none" w:pos="80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38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5" w:name="page46"/>
    <w:bookmarkEnd w:id="45"/>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ind w:left="1030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XPRESSPA GROUP, INC.</w:t>
      </w:r>
    </w:p>
    <w:p>
      <w:pPr>
        <w:spacing w:after="0" w:line="225" w:lineRule="exact"/>
        <w:rPr>
          <w:sz w:val="20"/>
          <w:szCs w:val="20"/>
          <w:color w:val="auto"/>
        </w:rPr>
      </w:pPr>
    </w:p>
    <w:p>
      <w:pPr>
        <w:ind w:firstLine="1304"/>
        <w:spacing w:after="0" w:line="308" w:lineRule="auto"/>
        <w:tabs>
          <w:tab w:leader="none" w:pos="165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640" w:hanging="336"/>
        <w:spacing w:after="0"/>
        <w:tabs>
          <w:tab w:leader="none" w:pos="1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263"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sz w:val="20"/>
          <w:szCs w:val="20"/>
          <w:color w:val="auto"/>
        </w:rPr>
      </w:pPr>
    </w:p>
    <w:p>
      <w:pPr>
        <w:ind w:left="1640" w:hanging="336"/>
        <w:spacing w:after="0"/>
        <w:tabs>
          <w:tab w:leader="none" w:pos="1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640" w:hanging="336"/>
        <w:spacing w:after="0"/>
        <w:tabs>
          <w:tab w:leader="none" w:pos="164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1030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192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Name:</w:t>
            </w:r>
          </w:p>
        </w:tc>
        <w:tc>
          <w:tcPr>
            <w:tcW w:w="6920" w:type="dxa"/>
            <w:vAlign w:val="bottom"/>
          </w:tcPr>
          <w:p>
            <w:pPr>
              <w:ind w:left="1400"/>
              <w:spacing w:after="0"/>
              <w:rPr>
                <w:sz w:val="20"/>
                <w:szCs w:val="20"/>
                <w:color w:val="auto"/>
              </w:rPr>
            </w:pPr>
            <w:r>
              <w:rPr>
                <w:rFonts w:ascii="Arial" w:cs="Arial" w:eastAsia="Arial" w:hAnsi="Arial"/>
                <w:sz w:val="18"/>
                <w:szCs w:val="18"/>
                <w:color w:val="auto"/>
              </w:rPr>
              <w:t>______________________________________</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Arial" w:cs="Arial" w:eastAsia="Arial" w:hAnsi="Arial"/>
                <w:sz w:val="18"/>
                <w:szCs w:val="18"/>
                <w:color w:val="auto"/>
              </w:rPr>
              <w:t>(Please Print)</w:t>
            </w: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Address:</w:t>
            </w:r>
          </w:p>
        </w:tc>
        <w:tc>
          <w:tcPr>
            <w:tcW w:w="6920" w:type="dxa"/>
            <w:vAlign w:val="bottom"/>
          </w:tcPr>
          <w:p>
            <w:pPr>
              <w:ind w:left="140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4320" w:type="dxa"/>
            <w:vAlign w:val="bottom"/>
          </w:tcPr>
          <w:p>
            <w:pPr>
              <w:spacing w:after="0"/>
              <w:rPr>
                <w:sz w:val="20"/>
                <w:szCs w:val="20"/>
                <w:color w:val="auto"/>
              </w:rPr>
            </w:pPr>
          </w:p>
        </w:tc>
        <w:tc>
          <w:tcPr>
            <w:tcW w:w="6920" w:type="dxa"/>
            <w:vAlign w:val="bottom"/>
          </w:tcPr>
          <w:p>
            <w:pPr>
              <w:ind w:left="1400"/>
              <w:spacing w:after="0"/>
              <w:rPr>
                <w:sz w:val="20"/>
                <w:szCs w:val="20"/>
                <w:color w:val="auto"/>
              </w:rPr>
            </w:pPr>
            <w:r>
              <w:rPr>
                <w:rFonts w:ascii="Arial" w:cs="Arial" w:eastAsia="Arial" w:hAnsi="Arial"/>
                <w:sz w:val="18"/>
                <w:szCs w:val="18"/>
                <w:color w:val="auto"/>
              </w:rPr>
              <w:t>(Please Print)</w:t>
            </w:r>
          </w:p>
        </w:tc>
      </w:tr>
      <w:tr>
        <w:trPr>
          <w:trHeight w:val="432"/>
        </w:trPr>
        <w:tc>
          <w:tcPr>
            <w:tcW w:w="4320" w:type="dxa"/>
            <w:vAlign w:val="bottom"/>
          </w:tcPr>
          <w:p>
            <w:pPr>
              <w:ind w:left="100"/>
              <w:spacing w:after="0"/>
              <w:rPr>
                <w:sz w:val="20"/>
                <w:szCs w:val="20"/>
                <w:color w:val="auto"/>
              </w:rPr>
            </w:pPr>
            <w:r>
              <w:rPr>
                <w:rFonts w:ascii="Arial" w:cs="Arial" w:eastAsia="Arial" w:hAnsi="Arial"/>
                <w:sz w:val="18"/>
                <w:szCs w:val="18"/>
                <w:color w:val="auto"/>
              </w:rPr>
              <w:t>Phone Number:</w:t>
            </w:r>
          </w:p>
        </w:tc>
        <w:tc>
          <w:tcPr>
            <w:tcW w:w="6920" w:type="dxa"/>
            <w:vAlign w:val="bottom"/>
          </w:tcPr>
          <w:p>
            <w:pPr>
              <w:ind w:left="1400"/>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4320" w:type="dxa"/>
            <w:vAlign w:val="bottom"/>
          </w:tcPr>
          <w:p>
            <w:pPr>
              <w:ind w:left="100"/>
              <w:spacing w:after="0"/>
              <w:rPr>
                <w:sz w:val="20"/>
                <w:szCs w:val="20"/>
                <w:color w:val="auto"/>
              </w:rPr>
            </w:pPr>
            <w:r>
              <w:rPr>
                <w:rFonts w:ascii="Arial" w:cs="Arial" w:eastAsia="Arial" w:hAnsi="Arial"/>
                <w:sz w:val="18"/>
                <w:szCs w:val="18"/>
                <w:color w:val="auto"/>
              </w:rPr>
              <w:t>Email Address:</w:t>
            </w:r>
          </w:p>
        </w:tc>
        <w:tc>
          <w:tcPr>
            <w:tcW w:w="6920" w:type="dxa"/>
            <w:vAlign w:val="bottom"/>
          </w:tcPr>
          <w:p>
            <w:pPr>
              <w:ind w:left="1400"/>
              <w:spacing w:after="0"/>
              <w:rPr>
                <w:sz w:val="20"/>
                <w:szCs w:val="20"/>
                <w:color w:val="auto"/>
              </w:rPr>
            </w:pPr>
            <w:r>
              <w:rPr>
                <w:rFonts w:ascii="Arial" w:cs="Arial" w:eastAsia="Arial" w:hAnsi="Arial"/>
                <w:sz w:val="18"/>
                <w:szCs w:val="18"/>
                <w:color w:val="auto"/>
              </w:rPr>
              <w:t>______________________________________</w:t>
            </w:r>
          </w:p>
        </w:tc>
      </w:tr>
      <w:tr>
        <w:trPr>
          <w:trHeight w:val="648"/>
        </w:trPr>
        <w:tc>
          <w:tcPr>
            <w:tcW w:w="4320" w:type="dxa"/>
            <w:vAlign w:val="bottom"/>
          </w:tcPr>
          <w:p>
            <w:pPr>
              <w:ind w:left="100"/>
              <w:spacing w:after="0"/>
              <w:rPr>
                <w:sz w:val="20"/>
                <w:szCs w:val="20"/>
                <w:color w:val="auto"/>
              </w:rPr>
            </w:pPr>
            <w:r>
              <w:rPr>
                <w:rFonts w:ascii="Arial" w:cs="Arial" w:eastAsia="Arial" w:hAnsi="Arial"/>
                <w:sz w:val="18"/>
                <w:szCs w:val="18"/>
                <w:color w:val="auto"/>
              </w:rPr>
              <w:t>Dated: _______________ __, ______</w:t>
            </w:r>
          </w:p>
        </w:tc>
        <w:tc>
          <w:tcPr>
            <w:tcW w:w="6920" w:type="dxa"/>
            <w:vAlign w:val="bottom"/>
          </w:tcPr>
          <w:p>
            <w:pPr>
              <w:spacing w:after="0"/>
              <w:rPr>
                <w:sz w:val="24"/>
                <w:szCs w:val="24"/>
                <w:color w:val="auto"/>
              </w:rPr>
            </w:pPr>
          </w:p>
        </w:tc>
      </w:tr>
      <w:tr>
        <w:trPr>
          <w:trHeight w:val="432"/>
        </w:trPr>
        <w:tc>
          <w:tcPr>
            <w:tcW w:w="4320" w:type="dxa"/>
            <w:vAlign w:val="bottom"/>
          </w:tcPr>
          <w:p>
            <w:pPr>
              <w:ind w:left="100"/>
              <w:spacing w:after="0"/>
              <w:rPr>
                <w:sz w:val="20"/>
                <w:szCs w:val="20"/>
                <w:color w:val="auto"/>
              </w:rPr>
            </w:pPr>
            <w:r>
              <w:rPr>
                <w:rFonts w:ascii="Arial" w:cs="Arial" w:eastAsia="Arial" w:hAnsi="Arial"/>
                <w:sz w:val="18"/>
                <w:szCs w:val="18"/>
                <w:color w:val="auto"/>
              </w:rPr>
              <w:t>Holder’s Signature: _______________</w:t>
            </w:r>
          </w:p>
        </w:tc>
        <w:tc>
          <w:tcPr>
            <w:tcW w:w="6920" w:type="dxa"/>
            <w:vAlign w:val="bottom"/>
          </w:tcPr>
          <w:p>
            <w:pPr>
              <w:spacing w:after="0"/>
              <w:rPr>
                <w:sz w:val="24"/>
                <w:szCs w:val="24"/>
                <w:color w:val="auto"/>
              </w:rPr>
            </w:pPr>
          </w:p>
        </w:tc>
      </w:tr>
      <w:tr>
        <w:trPr>
          <w:trHeight w:val="432"/>
        </w:trPr>
        <w:tc>
          <w:tcPr>
            <w:tcW w:w="4320" w:type="dxa"/>
            <w:vAlign w:val="bottom"/>
          </w:tcPr>
          <w:p>
            <w:pPr>
              <w:ind w:left="100"/>
              <w:spacing w:after="0"/>
              <w:rPr>
                <w:sz w:val="20"/>
                <w:szCs w:val="20"/>
                <w:color w:val="auto"/>
              </w:rPr>
            </w:pPr>
            <w:r>
              <w:rPr>
                <w:rFonts w:ascii="Arial" w:cs="Arial" w:eastAsia="Arial" w:hAnsi="Arial"/>
                <w:sz w:val="18"/>
                <w:szCs w:val="18"/>
                <w:color w:val="auto"/>
              </w:rPr>
              <w:t>Holder’s Address: _______________</w:t>
            </w:r>
          </w:p>
        </w:tc>
        <w:tc>
          <w:tcPr>
            <w:tcW w:w="6920" w:type="dxa"/>
            <w:vAlign w:val="bottom"/>
          </w:tcPr>
          <w:p>
            <w:pPr>
              <w:spacing w:after="0"/>
              <w:rPr>
                <w:sz w:val="24"/>
                <w:szCs w:val="24"/>
                <w:color w:val="auto"/>
              </w:rPr>
            </w:pPr>
          </w:p>
        </w:tc>
      </w:tr>
      <w:tr>
        <w:trPr>
          <w:trHeight w:val="675"/>
        </w:trPr>
        <w:tc>
          <w:tcPr>
            <w:tcW w:w="43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-121920</wp:posOffset>
            </wp:positionV>
            <wp:extent cx="694055" cy="891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055" cy="8915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June 17,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15 West 38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acted as counsel to XpresSpa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a Prospectus Supplement, dated June 17, 2020, to a Prospectus, dated July 30, 2019 (the “</w:t>
      </w:r>
      <w:r>
        <w:rPr>
          <w:rFonts w:ascii="Arial" w:cs="Arial" w:eastAsia="Arial" w:hAnsi="Arial"/>
          <w:sz w:val="16"/>
          <w:szCs w:val="16"/>
          <w:u w:val="single" w:color="auto"/>
          <w:color w:val="auto"/>
        </w:rPr>
        <w:t>Prospectus and Prospectus Supplement</w:t>
      </w:r>
      <w:r>
        <w:rPr>
          <w:rFonts w:ascii="Arial" w:cs="Arial" w:eastAsia="Arial" w:hAnsi="Arial"/>
          <w:sz w:val="16"/>
          <w:szCs w:val="16"/>
          <w:color w:val="auto"/>
        </w:rPr>
        <w:t>”), filed pursuant to a Registration Statement on Form S-3, Registration No. 333-232764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and filed by the Company with the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Prospectus Supplement relates to the sale of an aggregate of 7,614,700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pursuant to a Securities Purchase Agreement, dated June 17, 2020, between the Company and the purchasers named therein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this opinion, we have (i) examined and relied upon: (A) the Registration Statement, the Prospectus and the Prospectus Supplement, (B) the Company’s Amended and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Shares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Registration Statement, the Prospectus and the Prospectus Supplement, will be validly issued, fully paid and nonassessable.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hereby consent to the filing of this opinion as an exhibit to a Current Report on Form 8-K in accordance with the requirements of Item 601(b)</w:t>
      </w:r>
    </w:p>
    <w:p>
      <w:pPr>
        <w:spacing w:after="0" w:line="46" w:lineRule="exact"/>
        <w:rPr>
          <w:sz w:val="20"/>
          <w:szCs w:val="20"/>
          <w:color w:val="auto"/>
        </w:rPr>
      </w:pPr>
    </w:p>
    <w:p>
      <w:pPr>
        <w:jc w:val="both"/>
        <w:ind w:firstLine="8"/>
        <w:spacing w:after="0" w:line="255" w:lineRule="auto"/>
        <w:tabs>
          <w:tab w:leader="none" w:pos="2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Mintz, Levin, Cohn, Ferris, Glovsky and Popeo,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June 17, 2020, between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WHEREAS, subject to the terms and conditions set forth in this Agreement and pursuant to an effective registration statement under the Securities Act (as defined below) as to the Shares and (ii) an exemption from the registration requirements of Section 5 of the Securities Act contained in Section 4(a)</w:t>
      </w:r>
    </w:p>
    <w:p>
      <w:pPr>
        <w:ind w:firstLine="8"/>
        <w:spacing w:after="0" w:line="290" w:lineRule="auto"/>
        <w:tabs>
          <w:tab w:leader="none" w:pos="263"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thereof and/or Regulation D thereunder as to the Warrants, the Company desires to issue and sell to each Purchaser, and each Purchaser, severally and not jointly, desires to purchase from the Company, securities of the Company as more fully described in this Agreement.</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jc w:val="both"/>
        <w:spacing w:after="0" w:line="209" w:lineRule="auto"/>
        <w:rPr>
          <w:sz w:val="20"/>
          <w:szCs w:val="20"/>
          <w:color w:val="auto"/>
        </w:rPr>
      </w:pPr>
      <w:r>
        <w:rPr>
          <w:rFonts w:ascii="Arial" w:cs="Arial" w:eastAsia="Arial" w:hAnsi="Arial"/>
          <w:sz w:val="18"/>
          <w:szCs w:val="18"/>
          <w:color w:val="auto"/>
        </w:rPr>
        <w:t>to deliver the Securities, in each case, have been satisfied or waived, but in no event later than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hereof.</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closing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closing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Mintz, Levin, Cohn, Ferris, Glovsky and Popeo, P.C., Chrysler Center, 666 3rd Avenue, New York, NY 10017, Attn: Kenneth R. Koch, Esq., email: krkoch@mintz.com.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1" w:name="page52"/>
    <w:bookmarkEnd w:id="51"/>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EGS</w:t>
      </w:r>
      <w:r>
        <w:rPr>
          <w:rFonts w:ascii="Arial" w:cs="Arial" w:eastAsia="Arial" w:hAnsi="Arial"/>
          <w:sz w:val="17"/>
          <w:szCs w:val="17"/>
          <w:color w:val="auto"/>
        </w:rPr>
        <w:t>” means Ellenoff Grossman &amp; Schole LLP, with offices located at 1345 Avenue of the Americas, New York, New York 10105-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0302.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and options to officers, directors, or employees of the Company after the Closing Date pursuant to plans approved by the shareholders of the Company and which issuances are approved by a majority of the independent members of a committee of the board of directors, (b)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issue price, exercise price, exchange price or conversion price of such securities and which securities and the principal terms thereof are set forth on Schedule 3.1(g), and described in the SEC Reports,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(d) up to 25,000 shares of Common Stock, (e) securities as payment for investment banking services provided to the Company, (f) securities issued to third party vendors as payment for goods or services, (g) securities issued to the Company’s Airport Concession Disadvantaged Business Enterprise partners, (h) securities issued or issuable to the Purchaser and its assigns pursuant to this Agreement or the Warrants and other Transaction Documents or upon exercise, conversion or exchange of any such securities, (i) securities issued as payment of interest pursuant to that certain unsecured convertible note dated as July 8, 2019 by and between the Company and Calm.com, Inc, and (j) shares of Common Stock and options to consultants of the Company after the Closing Date pursuant to plans approved by the shareholders of the Company and which issuances are approved by a majority of the independent members of a committee of the board of directors. Any securities issued pursuant to the foregoing clauses (c) – (j) shall be issued as “restricted securities” (as defined in Rule 144) and carry no registration rights that require or permit the filing of any registration statement in connection therewith from the date hereof until thirty (30) days after the Closing Date.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2" w:name="page53"/>
    <w:bookmarkEnd w:id="52"/>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Company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(d)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(e)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(f) Liens securing the performance of bids, trade contracts, leases, statutory obligations, surety and appeal bonds, performance bonds, and other obligations of like nature, in each case in the ordinary course of business, (g) any interest or title of a lessor of real property secured by a lessor’s interest in such real property under any lease, (h)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3" w:name="page54"/>
    <w:bookmarkEnd w:id="5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$5.253,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effective registration statement with Commission file No. 333-232764 which registers the sale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4" w:name="page55"/>
    <w:bookmarkEnd w:id="5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(accompanying Warrants) purchased hereunder as specified below such Purchaser’s name on the signature page of this Agreement and next to the heading “Subscription Amount,” in United States dollars and in immediately available funds.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located at 6201 15th Avenue, Brooklyn, NY 11219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collectively, the Common Stock purchase warrants delivered to the Purchasers at the Closing in accordance with Section 2.2(a) hereof, which Warrants shall be exercisable immediately and have a term of exercise equal to twenty-one months, in the form of Exhibit A-1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Common Stock issuable upon exercise of the Warrants.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an aggregate of up to $40,000,020 of Shares and Warrants. Each Purchaser’s Subscription Amount as set forth on the signature page hereto executed by such Purchaser shall be made available for “Delivery Versus Payment” (“DVP”) settlement with the Company or its designee. The Company shall deliver to each Purchaser its respective Shares and a Warrant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as the parties shall mutually agree.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such Placement Agent (or its clearing firm) by wire transfer to the Company). Notwithstanding anything to the contrary herein and a Purchaser’s Subscription Amount set forth on the signature pages attached hereto, the number of Shares purchased by a Purchaser (and its Affiliates) hereunder shall not, when aggregated with all other shares of Common Stock owned by such Purchaser (and its Affiliates) at such time, result in such Purchaser beneficially owning (as determined in accordance with Section 13(d) of the Exchange Act) in excess of 9.9% of the then issued and outstanding Common Stock outstanding at the Closing (the “Beneficial Ownership Maximum”), and such Purchaser’s Subscription Amount, to the extent it would otherwise exceed the Beneficial Ownership Maximum immediately prior to the Closing, shall be conditioned upon the issuance of Shares at the Closing to the other Purchasers signatory hereto. To the extent that a Purchaser’s beneficial ownership of the Shares would otherwise be deemed to exceed the Beneficial Ownership Maximum, such Purchaser’s Subscription Amount shall automatically be reduced as necessary in order to comply with this paragraph.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1340" w:hanging="696"/>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2000" w:hanging="708"/>
        <w:spacing w:after="0"/>
        <w:tabs>
          <w:tab w:leader="none" w:pos="2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2000" w:hanging="708"/>
        <w:spacing w:after="0"/>
        <w:tabs>
          <w:tab w:leader="none" w:pos="2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legal opinion of Company Counsel, reasonably satisfactory to the Purchasers;</w:t>
      </w:r>
    </w:p>
    <w:p>
      <w:pPr>
        <w:spacing w:after="0" w:line="225" w:lineRule="exact"/>
        <w:rPr>
          <w:rFonts w:ascii="Arial" w:cs="Arial" w:eastAsia="Arial" w:hAnsi="Arial"/>
          <w:sz w:val="18"/>
          <w:szCs w:val="18"/>
          <w:color w:val="auto"/>
        </w:rPr>
      </w:pPr>
    </w:p>
    <w:p>
      <w:pPr>
        <w:ind w:left="640" w:firstLine="652"/>
        <w:spacing w:after="0" w:line="277" w:lineRule="auto"/>
        <w:tabs>
          <w:tab w:leader="none" w:pos="20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170" w:lineRule="exact"/>
        <w:rPr>
          <w:rFonts w:ascii="Arial" w:cs="Arial" w:eastAsia="Arial" w:hAnsi="Arial"/>
          <w:sz w:val="18"/>
          <w:szCs w:val="18"/>
          <w:color w:val="auto"/>
        </w:rPr>
      </w:pPr>
    </w:p>
    <w:p>
      <w:pPr>
        <w:jc w:val="both"/>
        <w:ind w:left="640" w:firstLine="652"/>
        <w:spacing w:after="0" w:line="259" w:lineRule="auto"/>
        <w:tabs>
          <w:tab w:leader="none" w:pos="2058"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8"/>
          <w:szCs w:val="18"/>
          <w:u w:val="single" w:color="auto"/>
          <w:color w:val="auto"/>
        </w:rPr>
        <w:t>DWAC</w:t>
      </w:r>
      <w:r>
        <w:rPr>
          <w:rFonts w:ascii="Arial" w:cs="Arial" w:eastAsia="Arial" w:hAnsi="Arial"/>
          <w:sz w:val="18"/>
          <w:szCs w:val="18"/>
          <w:color w:val="auto"/>
        </w:rPr>
        <w:t>”) Shares equal to such Purchaser’s Subscription Amount divided by the Per Share Purchase Price, registered in the name of such Purchaser;</w:t>
      </w:r>
    </w:p>
    <w:p>
      <w:pPr>
        <w:spacing w:after="0" w:line="186" w:lineRule="exact"/>
        <w:rPr>
          <w:rFonts w:ascii="Arial" w:cs="Arial" w:eastAsia="Arial" w:hAnsi="Arial"/>
          <w:sz w:val="18"/>
          <w:szCs w:val="18"/>
          <w:color w:val="auto"/>
        </w:rPr>
      </w:pPr>
    </w:p>
    <w:p>
      <w:pPr>
        <w:ind w:left="640" w:firstLine="652"/>
        <w:spacing w:after="0" w:line="342" w:lineRule="auto"/>
        <w:tabs>
          <w:tab w:leader="none" w:pos="2074" w:val="left"/>
        </w:tabs>
        <w:numPr>
          <w:ilvl w:val="1"/>
          <w:numId w:val="56"/>
        </w:numPr>
        <w:rPr>
          <w:rFonts w:ascii="Arial" w:cs="Arial" w:eastAsia="Arial" w:hAnsi="Arial"/>
          <w:sz w:val="16"/>
          <w:szCs w:val="16"/>
          <w:color w:val="auto"/>
        </w:rPr>
      </w:pPr>
      <w:r>
        <w:rPr>
          <w:rFonts w:ascii="Arial" w:cs="Arial" w:eastAsia="Arial" w:hAnsi="Arial"/>
          <w:sz w:val="16"/>
          <w:szCs w:val="16"/>
          <w:color w:val="auto"/>
        </w:rPr>
        <w:t>a Warrant registered in the name of such Purchaser to purchase up to a number of shares of Common Stock equal to 100% of such Purchaser’s Shares, with an exercise price equal to $5.25 per Warrant Share, subject to adjustment therein; and</w:t>
      </w:r>
    </w:p>
    <w:p>
      <w:pPr>
        <w:spacing w:after="0" w:line="123" w:lineRule="exact"/>
        <w:rPr>
          <w:rFonts w:ascii="Arial" w:cs="Arial" w:eastAsia="Arial" w:hAnsi="Arial"/>
          <w:sz w:val="16"/>
          <w:szCs w:val="16"/>
          <w:color w:val="auto"/>
        </w:rPr>
      </w:pPr>
    </w:p>
    <w:p>
      <w:pPr>
        <w:ind w:left="2040" w:hanging="748"/>
        <w:spacing w:after="0"/>
        <w:tabs>
          <w:tab w:leader="none" w:pos="20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340" w:hanging="696"/>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2000" w:hanging="708"/>
        <w:spacing w:after="0"/>
        <w:tabs>
          <w:tab w:leader="none" w:pos="2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640" w:firstLine="652"/>
        <w:spacing w:after="0" w:line="277" w:lineRule="auto"/>
        <w:tabs>
          <w:tab w:leader="none" w:pos="2102"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Purchaser’s Subscription Amount with regard to the Shares purchased by such Purchaser, which shall be made available for “Delivery Versus Payment” settlement with the Company or its designee.</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340" w:hanging="696"/>
        <w:spacing w:after="0"/>
        <w:tabs>
          <w:tab w:leader="none" w:pos="1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86" w:lineRule="auto"/>
        <w:tabs>
          <w:tab w:leader="none" w:pos="2187"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firstLine="652"/>
        <w:spacing w:after="0" w:line="277" w:lineRule="auto"/>
        <w:tabs>
          <w:tab w:leader="none" w:pos="231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under the Transaction Documents required to be performed at or prior to the Closing Date shall have been performed; and</w:t>
      </w:r>
    </w:p>
    <w:p>
      <w:pPr>
        <w:spacing w:after="0" w:line="170" w:lineRule="exact"/>
        <w:rPr>
          <w:rFonts w:ascii="Arial" w:cs="Arial" w:eastAsia="Arial" w:hAnsi="Arial"/>
          <w:sz w:val="18"/>
          <w:szCs w:val="18"/>
          <w:color w:val="auto"/>
        </w:rPr>
      </w:pPr>
    </w:p>
    <w:p>
      <w:pPr>
        <w:ind w:left="2020" w:hanging="728"/>
        <w:spacing w:after="0"/>
        <w:tabs>
          <w:tab w:leader="none" w:pos="20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420" w:hanging="776"/>
        <w:spacing w:after="0"/>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jc w:val="both"/>
        <w:ind w:left="640" w:firstLine="652"/>
        <w:spacing w:after="0" w:line="286" w:lineRule="auto"/>
        <w:tabs>
          <w:tab w:leader="none" w:pos="2188"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firstLine="652"/>
        <w:spacing w:after="0" w:line="277" w:lineRule="auto"/>
        <w:tabs>
          <w:tab w:leader="none" w:pos="201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under the Transaction Documents required to be performed at or prior to the Closing Date shall have been performed;</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7" w:name="page58"/>
    <w:bookmarkEnd w:id="57"/>
    <w:p>
      <w:pPr>
        <w:ind w:left="2680" w:hanging="728"/>
        <w:spacing w:after="0"/>
        <w:tabs>
          <w:tab w:leader="none" w:pos="2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9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10000" w:type="dxa"/>
            <w:vAlign w:val="bottom"/>
          </w:tcPr>
          <w:p>
            <w:pPr>
              <w:jc w:val="center"/>
              <w:ind w:right="1110"/>
              <w:spacing w:after="0"/>
              <w:rPr>
                <w:sz w:val="20"/>
                <w:szCs w:val="20"/>
                <w:color w:val="auto"/>
              </w:rPr>
            </w:pPr>
            <w:r>
              <w:rPr>
                <w:rFonts w:ascii="Arial" w:cs="Arial" w:eastAsia="Arial" w:hAnsi="Arial"/>
                <w:sz w:val="18"/>
                <w:szCs w:val="18"/>
                <w:b w:val="1"/>
                <w:bCs w:val="1"/>
                <w:color w:val="auto"/>
              </w:rPr>
              <w:t>ARTICLE III.</w:t>
            </w:r>
          </w:p>
        </w:tc>
      </w:tr>
      <w:tr>
        <w:trPr>
          <w:trHeight w:val="230"/>
        </w:trPr>
        <w:tc>
          <w:tcPr>
            <w:tcW w:w="560" w:type="dxa"/>
            <w:vAlign w:val="bottom"/>
          </w:tcPr>
          <w:p>
            <w:pPr>
              <w:spacing w:after="0"/>
              <w:rPr>
                <w:sz w:val="20"/>
                <w:szCs w:val="20"/>
                <w:color w:val="auto"/>
              </w:rPr>
            </w:pPr>
          </w:p>
        </w:tc>
        <w:tc>
          <w:tcPr>
            <w:tcW w:w="10000" w:type="dxa"/>
            <w:vAlign w:val="bottom"/>
          </w:tcPr>
          <w:p>
            <w:pPr>
              <w:jc w:val="center"/>
              <w:ind w:right="1110"/>
              <w:spacing w:after="0"/>
              <w:rPr>
                <w:sz w:val="20"/>
                <w:szCs w:val="20"/>
                <w:color w:val="auto"/>
              </w:rPr>
            </w:pPr>
            <w:r>
              <w:rPr>
                <w:rFonts w:ascii="Arial" w:cs="Arial" w:eastAsia="Arial" w:hAnsi="Arial"/>
                <w:sz w:val="18"/>
                <w:szCs w:val="18"/>
                <w:color w:val="auto"/>
                <w:w w:val="95"/>
              </w:rPr>
              <w:t>REPRESENTATIONS AND WARRANTIES</w:t>
            </w:r>
          </w:p>
        </w:tc>
      </w:tr>
      <w:tr>
        <w:trPr>
          <w:trHeight w:val="432"/>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3.1</w:t>
            </w:r>
          </w:p>
        </w:tc>
        <w:tc>
          <w:tcPr>
            <w:tcW w:w="10000" w:type="dxa"/>
            <w:vAlign w:val="bottom"/>
          </w:tcPr>
          <w:p>
            <w:pPr>
              <w:ind w:left="340"/>
              <w:spacing w:after="0"/>
              <w:rPr>
                <w:sz w:val="20"/>
                <w:szCs w:val="20"/>
                <w:color w:val="auto"/>
              </w:rPr>
            </w:pPr>
            <w:r>
              <w:rPr>
                <w:rFonts w:ascii="Arial" w:cs="Arial" w:eastAsia="Arial" w:hAnsi="Arial"/>
                <w:sz w:val="18"/>
                <w:szCs w:val="18"/>
                <w:u w:val="single" w:color="auto"/>
                <w:color w:val="auto"/>
                <w:w w:val="91"/>
              </w:rPr>
              <w:t>Representations and Warranties of the Company</w:t>
            </w:r>
            <w:r>
              <w:rPr>
                <w:rFonts w:ascii="Arial" w:cs="Arial" w:eastAsia="Arial" w:hAnsi="Arial"/>
                <w:sz w:val="18"/>
                <w:szCs w:val="18"/>
                <w:color w:val="auto"/>
                <w:w w:val="91"/>
              </w:rPr>
              <w:t>. Except as set forth in the SEC Reports (other than with respect to Sections 3.1(b),</w:t>
            </w:r>
          </w:p>
        </w:tc>
      </w:tr>
    </w:tbl>
    <w:p>
      <w:pPr>
        <w:jc w:val="both"/>
        <w:spacing w:after="0" w:line="255" w:lineRule="auto"/>
        <w:rPr>
          <w:sz w:val="20"/>
          <w:szCs w:val="20"/>
          <w:color w:val="auto"/>
        </w:rPr>
      </w:pPr>
      <w:r>
        <w:rPr>
          <w:rFonts w:ascii="Arial" w:cs="Arial" w:eastAsia="Arial" w:hAnsi="Arial"/>
          <w:sz w:val="18"/>
          <w:szCs w:val="18"/>
          <w:color w:val="auto"/>
        </w:rPr>
        <w:t>3.1(c), 3.1(d), 3.1(e) and 3.1(g))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90" w:lineRule="exact"/>
        <w:rPr>
          <w:sz w:val="20"/>
          <w:szCs w:val="20"/>
          <w:color w:val="auto"/>
        </w:rPr>
      </w:pPr>
    </w:p>
    <w:p>
      <w:pPr>
        <w:jc w:val="both"/>
        <w:ind w:left="660" w:firstLine="644"/>
        <w:spacing w:after="0" w:line="259" w:lineRule="auto"/>
        <w:tabs>
          <w:tab w:leader="none" w:pos="211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07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each of the Subsidiaries is an entity duly incorporated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left="-460" w:firstLine="644"/>
        <w:spacing w:after="0" w:line="287" w:lineRule="auto"/>
        <w:tabs>
          <w:tab w:leader="none" w:pos="927"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jc w:val="both"/>
        <w:ind w:left="-460" w:firstLine="644"/>
        <w:spacing w:after="0" w:line="268" w:lineRule="auto"/>
        <w:tabs>
          <w:tab w:leader="none" w:pos="126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except as set forth on </w:t>
      </w:r>
      <w:r>
        <w:rPr>
          <w:rFonts w:ascii="Arial" w:cs="Arial" w:eastAsia="Arial" w:hAnsi="Arial"/>
          <w:sz w:val="17"/>
          <w:szCs w:val="17"/>
          <w:u w:val="single" w:color="auto"/>
          <w:color w:val="auto"/>
        </w:rPr>
        <w:t>Schedule 3.1(d)</w:t>
      </w:r>
      <w:r>
        <w:rPr>
          <w:rFonts w:ascii="Arial" w:cs="Arial" w:eastAsia="Arial" w:hAnsi="Arial"/>
          <w:sz w:val="17"/>
          <w:szCs w:val="17"/>
          <w:color w:val="auto"/>
        </w:rPr>
        <w:t>,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a material adverse effect on the legality, validity or enforceability of any Transaction Document, B) a material adverse effect on the results of operations, assets, business, prospects or condition (financial or otherwise) of the Company and the Subsidiaries, taken as a whole, or (C) a material adverse effect on the Company’s ability to perform in any material respect on a timely basis its obligations under any Transaction Document (any of (A), (B) or (C),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9" w:name="page60"/>
    <w:bookmarkEnd w:id="59"/>
    <w:p>
      <w:pPr>
        <w:jc w:val="both"/>
        <w:ind w:left="-460" w:firstLine="644"/>
        <w:spacing w:after="0" w:line="254" w:lineRule="auto"/>
        <w:tabs>
          <w:tab w:leader="none" w:pos="102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Arial" w:cs="Arial" w:eastAsia="Arial" w:hAnsi="Arial"/>
          <w:sz w:val="18"/>
          <w:szCs w:val="18"/>
          <w:u w:val="single" w:color="auto"/>
          <w:color w:val="auto"/>
        </w:rPr>
        <w:t>Required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460" w:firstLine="644"/>
        <w:spacing w:after="0" w:line="284" w:lineRule="auto"/>
        <w:tabs>
          <w:tab w:leader="none" w:pos="989"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Warrants are duly authorized and, when issued and paid for in accordance with the applicable Transaction Documents, will be duly and validly issued,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July 30,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in General Instruction I.B.1 of Form S-3.</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0" w:name="page61"/>
    <w:bookmarkEnd w:id="60"/>
    <w:p>
      <w:pPr>
        <w:jc w:val="both"/>
        <w:ind w:left="-460" w:firstLine="644"/>
        <w:spacing w:after="0" w:line="284" w:lineRule="auto"/>
        <w:tabs>
          <w:tab w:leader="none" w:pos="1099"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as of the date hereof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3.1(g)</w:t>
      </w:r>
      <w:r>
        <w:rPr>
          <w:rFonts w:ascii="Arial" w:cs="Arial" w:eastAsia="Arial" w:hAnsi="Arial"/>
          <w:sz w:val="16"/>
          <w:szCs w:val="16"/>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(i) pursuant to the exercise of employee stock options under the Company’s stock option plans, (ii) the issuance of shares of Common Stock to employees pursuant to the Company’s employee stock purchase plans, (iii) pursuant to the conversion and/or exercise of Common Stock Equivalents outstanding as of the date of the most recently filed periodic report under the Exchange Act and (iv) as the payment of interest with respect to outstanding indebtedness.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on Schedule 3.1(g),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Except as contemplated by Section 3.1(e),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94" w:lineRule="exact"/>
        <w:rPr>
          <w:rFonts w:ascii="Arial" w:cs="Arial" w:eastAsia="Arial" w:hAnsi="Arial"/>
          <w:sz w:val="16"/>
          <w:szCs w:val="16"/>
          <w:color w:val="auto"/>
        </w:rPr>
      </w:pPr>
    </w:p>
    <w:p>
      <w:pPr>
        <w:jc w:val="both"/>
        <w:ind w:left="-460" w:firstLine="644"/>
        <w:spacing w:after="0" w:line="285" w:lineRule="auto"/>
        <w:tabs>
          <w:tab w:leader="none" w:pos="111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1" w:name="page62"/>
    <w:bookmarkEnd w:id="61"/>
    <w:p>
      <w:pPr>
        <w:jc w:val="both"/>
        <w:ind w:left="4" w:firstLine="644"/>
        <w:spacing w:after="0" w:line="285" w:lineRule="auto"/>
        <w:tabs>
          <w:tab w:leader="none" w:pos="1515"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except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1" w:lineRule="exact"/>
        <w:rPr>
          <w:rFonts w:ascii="Arial" w:cs="Arial" w:eastAsia="Arial" w:hAnsi="Arial"/>
          <w:sz w:val="16"/>
          <w:szCs w:val="16"/>
          <w:color w:val="auto"/>
        </w:rPr>
      </w:pPr>
    </w:p>
    <w:p>
      <w:pPr>
        <w:jc w:val="both"/>
        <w:ind w:left="4" w:hanging="4"/>
        <w:spacing w:after="0" w:line="251" w:lineRule="auto"/>
        <w:tabs>
          <w:tab w:leader="none" w:pos="3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8"/>
          <w:szCs w:val="18"/>
          <w:u w:val="single" w:color="auto"/>
          <w:color w:val="auto"/>
        </w:rPr>
        <w:t>Schedule 3.1(i)</w:t>
      </w:r>
      <w:r>
        <w:rPr>
          <w:rFonts w:ascii="Arial" w:cs="Arial" w:eastAsia="Arial" w:hAnsi="Arial"/>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Arial" w:cs="Arial" w:eastAsia="Arial" w:hAnsi="Arial"/>
          <w:sz w:val="18"/>
          <w:szCs w:val="18"/>
          <w:color w:val="auto"/>
        </w:rPr>
      </w:pPr>
    </w:p>
    <w:p>
      <w:pPr>
        <w:jc w:val="both"/>
        <w:ind w:left="4" w:firstLine="644"/>
        <w:spacing w:after="0" w:line="288" w:lineRule="auto"/>
        <w:tabs>
          <w:tab w:leader="none" w:pos="1434"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which (i) adversely affects or challenges the legality, validity or enforceability of any of the Transaction Documents or the Securities or (ii) except as set forth in </w:t>
      </w:r>
      <w:r>
        <w:rPr>
          <w:rFonts w:ascii="Arial" w:cs="Arial" w:eastAsia="Arial" w:hAnsi="Arial"/>
          <w:sz w:val="16"/>
          <w:szCs w:val="16"/>
          <w:u w:val="single" w:color="auto"/>
          <w:color w:val="auto"/>
        </w:rPr>
        <w:t>Schedule 3.1(j)</w:t>
      </w:r>
      <w:r>
        <w:rPr>
          <w:rFonts w:ascii="Arial" w:cs="Arial" w:eastAsia="Arial" w:hAnsi="Arial"/>
          <w:sz w:val="16"/>
          <w:szCs w:val="16"/>
          <w:color w:val="auto"/>
        </w:rPr>
        <w:t>,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3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2" w:name="page63"/>
    <w:bookmarkEnd w:id="62"/>
    <w:p>
      <w:pPr>
        <w:jc w:val="both"/>
        <w:ind w:left="4" w:firstLine="644"/>
        <w:spacing w:after="0" w:line="287" w:lineRule="auto"/>
        <w:tabs>
          <w:tab w:leader="none" w:pos="168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xml:space="preserve">. No labor dispute exists or, to the knowledge of the Company, is imminent with respect to any of the employees of the Company, which could reasonably be expected to result in a Material Adverse Effect. Except as disclosed on </w:t>
      </w:r>
      <w:r>
        <w:rPr>
          <w:rFonts w:ascii="Arial" w:cs="Arial" w:eastAsia="Arial" w:hAnsi="Arial"/>
          <w:sz w:val="16"/>
          <w:szCs w:val="16"/>
          <w:u w:val="single" w:color="auto"/>
          <w:color w:val="auto"/>
        </w:rPr>
        <w:t>Section 3.1(k)</w:t>
      </w:r>
      <w:r>
        <w:rPr>
          <w:rFonts w:ascii="Arial" w:cs="Arial" w:eastAsia="Arial" w:hAnsi="Arial"/>
          <w:sz w:val="16"/>
          <w:szCs w:val="16"/>
          <w:color w:val="auto"/>
        </w:rPr>
        <w:t xml:space="preserve"> of the Disclosure Schedules,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1" w:lineRule="exact"/>
        <w:rPr>
          <w:rFonts w:ascii="Arial" w:cs="Arial" w:eastAsia="Arial" w:hAnsi="Arial"/>
          <w:sz w:val="16"/>
          <w:szCs w:val="16"/>
          <w:color w:val="auto"/>
        </w:rPr>
      </w:pPr>
    </w:p>
    <w:p>
      <w:pPr>
        <w:ind w:left="1424" w:hanging="776"/>
        <w:spacing w:after="0"/>
        <w:tabs>
          <w:tab w:leader="none" w:pos="142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xml:space="preserve">. To the Company’s knowledge, neither the Company nor any Subsidiary: (i) except as set forth on </w:t>
      </w:r>
      <w:r>
        <w:rPr>
          <w:rFonts w:ascii="Arial" w:cs="Arial" w:eastAsia="Arial" w:hAnsi="Arial"/>
          <w:sz w:val="16"/>
          <w:szCs w:val="16"/>
          <w:u w:val="single" w:color="auto"/>
          <w:color w:val="auto"/>
        </w:rPr>
        <w:t>Schedule 3.1(l)</w:t>
      </w:r>
    </w:p>
    <w:p>
      <w:pPr>
        <w:spacing w:after="0" w:line="46" w:lineRule="exact"/>
        <w:rPr>
          <w:rFonts w:ascii="Arial" w:cs="Arial" w:eastAsia="Arial" w:hAnsi="Arial"/>
          <w:sz w:val="16"/>
          <w:szCs w:val="16"/>
          <w:color w:val="auto"/>
        </w:rPr>
      </w:pPr>
    </w:p>
    <w:p>
      <w:pPr>
        <w:jc w:val="both"/>
        <w:ind w:left="4" w:hanging="4"/>
        <w:spacing w:after="0" w:line="268" w:lineRule="auto"/>
        <w:tabs>
          <w:tab w:leader="none" w:pos="222" w:val="left"/>
        </w:tabs>
        <w:numPr>
          <w:ilvl w:val="0"/>
          <w:numId w:val="66"/>
        </w:numPr>
        <w:rPr>
          <w:rFonts w:ascii="Arial" w:cs="Arial" w:eastAsia="Arial" w:hAnsi="Arial"/>
          <w:sz w:val="17"/>
          <w:szCs w:val="17"/>
          <w:u w:val="single" w:color="auto"/>
          <w:color w:val="auto"/>
        </w:rPr>
      </w:pPr>
      <w:r>
        <w:rPr>
          <w:rFonts w:ascii="Arial" w:cs="Arial" w:eastAsia="Arial" w:hAnsi="Arial"/>
          <w:sz w:val="17"/>
          <w:szCs w:val="17"/>
          <w:color w:val="auto"/>
        </w:rPr>
        <w:t>of the Disclosure Schedules,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3" w:lineRule="exact"/>
        <w:rPr>
          <w:rFonts w:ascii="Arial" w:cs="Arial" w:eastAsia="Arial" w:hAnsi="Arial"/>
          <w:sz w:val="17"/>
          <w:szCs w:val="17"/>
          <w:u w:val="single" w:color="auto"/>
          <w:color w:val="auto"/>
        </w:rPr>
      </w:pPr>
    </w:p>
    <w:p>
      <w:pPr>
        <w:jc w:val="both"/>
        <w:ind w:left="4" w:firstLine="644"/>
        <w:spacing w:after="0" w:line="269" w:lineRule="auto"/>
        <w:tabs>
          <w:tab w:leader="none" w:pos="1559"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3" w:name="page64"/>
    <w:bookmarkEnd w:id="63"/>
    <w:p>
      <w:pPr>
        <w:jc w:val="both"/>
        <w:ind w:left="-460" w:firstLine="644"/>
        <w:spacing w:after="0" w:line="301" w:lineRule="auto"/>
        <w:tabs>
          <w:tab w:leader="none" w:pos="118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7" w:lineRule="exact"/>
        <w:rPr>
          <w:rFonts w:ascii="Arial" w:cs="Arial" w:eastAsia="Arial" w:hAnsi="Arial"/>
          <w:sz w:val="16"/>
          <w:szCs w:val="16"/>
          <w:color w:val="auto"/>
        </w:rPr>
      </w:pPr>
    </w:p>
    <w:p>
      <w:pPr>
        <w:jc w:val="both"/>
        <w:ind w:left="-460" w:firstLine="644"/>
        <w:spacing w:after="0" w:line="291" w:lineRule="auto"/>
        <w:tabs>
          <w:tab w:leader="none" w:pos="99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(if any) owned by them that is material to the business of the Company and the Subsidiaries, in each case free and clear of all Liens except for Permitted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66" w:lineRule="exact"/>
        <w:rPr>
          <w:rFonts w:ascii="Arial" w:cs="Arial" w:eastAsia="Arial" w:hAnsi="Arial"/>
          <w:sz w:val="16"/>
          <w:szCs w:val="16"/>
          <w:color w:val="auto"/>
        </w:rPr>
      </w:pPr>
    </w:p>
    <w:p>
      <w:pPr>
        <w:jc w:val="both"/>
        <w:ind w:left="-460" w:firstLine="644"/>
        <w:spacing w:after="0" w:line="287" w:lineRule="auto"/>
        <w:tabs>
          <w:tab w:leader="none" w:pos="130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4" w:name="page65"/>
    <w:bookmarkEnd w:id="64"/>
    <w:p>
      <w:pPr>
        <w:jc w:val="both"/>
        <w:ind w:left="-460" w:firstLine="644"/>
        <w:spacing w:after="0" w:line="296" w:lineRule="auto"/>
        <w:tabs>
          <w:tab w:leader="none" w:pos="964"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61" w:lineRule="exact"/>
        <w:rPr>
          <w:rFonts w:ascii="Arial" w:cs="Arial" w:eastAsia="Arial" w:hAnsi="Arial"/>
          <w:sz w:val="16"/>
          <w:szCs w:val="16"/>
          <w:color w:val="auto"/>
        </w:rPr>
      </w:pPr>
    </w:p>
    <w:p>
      <w:pPr>
        <w:jc w:val="both"/>
        <w:ind w:left="-460" w:firstLine="644"/>
        <w:spacing w:after="0" w:line="270" w:lineRule="auto"/>
        <w:tabs>
          <w:tab w:leader="none" w:pos="1056"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3.1(r)</w:t>
      </w:r>
      <w:r>
        <w:rPr>
          <w:rFonts w:ascii="Arial" w:cs="Arial" w:eastAsia="Arial" w:hAnsi="Arial"/>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or any Subsidiary and (iii) other employee benefits, including stock option agreements under any stock option plan of the Company.</w:t>
      </w:r>
    </w:p>
    <w:p>
      <w:pPr>
        <w:spacing w:after="0" w:line="180" w:lineRule="exact"/>
        <w:rPr>
          <w:rFonts w:ascii="Arial" w:cs="Arial" w:eastAsia="Arial" w:hAnsi="Arial"/>
          <w:sz w:val="17"/>
          <w:szCs w:val="17"/>
          <w:color w:val="auto"/>
        </w:rPr>
      </w:pPr>
    </w:p>
    <w:p>
      <w:pPr>
        <w:jc w:val="both"/>
        <w:ind w:left="-460" w:firstLine="644"/>
        <w:spacing w:after="0" w:line="285" w:lineRule="auto"/>
        <w:tabs>
          <w:tab w:leader="none" w:pos="94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5" w:name="page66"/>
    <w:bookmarkEnd w:id="65"/>
    <w:p>
      <w:pPr>
        <w:jc w:val="both"/>
        <w:ind w:left="-460" w:firstLine="644"/>
        <w:spacing w:after="0" w:line="296" w:lineRule="auto"/>
        <w:tabs>
          <w:tab w:leader="none" w:pos="118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Except as set forth in the Prospectus Supplement and on </w:t>
      </w:r>
      <w:r>
        <w:rPr>
          <w:rFonts w:ascii="Arial" w:cs="Arial" w:eastAsia="Arial" w:hAnsi="Arial"/>
          <w:sz w:val="16"/>
          <w:szCs w:val="16"/>
          <w:u w:val="single" w:color="auto"/>
          <w:color w:val="auto"/>
        </w:rPr>
        <w:t>Schedule 3.1(t)</w:t>
      </w:r>
      <w:r>
        <w:rPr>
          <w:rFonts w:ascii="Arial" w:cs="Arial" w:eastAsia="Arial" w:hAnsi="Arial"/>
          <w:sz w:val="16"/>
          <w:szCs w:val="16"/>
          <w:color w:val="auto"/>
        </w:rPr>
        <w:t xml:space="preserve"> of the Disclosure Schedules,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61" w:lineRule="exact"/>
        <w:rPr>
          <w:rFonts w:ascii="Arial" w:cs="Arial" w:eastAsia="Arial" w:hAnsi="Arial"/>
          <w:sz w:val="16"/>
          <w:szCs w:val="16"/>
          <w:color w:val="auto"/>
        </w:rPr>
      </w:pPr>
    </w:p>
    <w:p>
      <w:pPr>
        <w:jc w:val="both"/>
        <w:ind w:left="-460" w:firstLine="644"/>
        <w:spacing w:after="0" w:line="259"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firstLine="644"/>
        <w:spacing w:after="0" w:line="308" w:lineRule="auto"/>
        <w:tabs>
          <w:tab w:leader="none" w:pos="101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3.1(v)</w:t>
      </w:r>
      <w:r>
        <w:rPr>
          <w:rFonts w:ascii="Arial" w:cs="Arial" w:eastAsia="Arial" w:hAnsi="Arial"/>
          <w:sz w:val="17"/>
          <w:szCs w:val="17"/>
          <w:color w:val="auto"/>
        </w:rPr>
        <w:t xml:space="preserve"> of the Disclosure Schedules, no Person has any right to cause the Company or any Subsidiary to effect the registration under the Securities Act of any securities of the Company or any Subsidiary.</w:t>
      </w:r>
    </w:p>
    <w:p>
      <w:pPr>
        <w:spacing w:after="0" w:line="146" w:lineRule="exact"/>
        <w:rPr>
          <w:rFonts w:ascii="Arial" w:cs="Arial" w:eastAsia="Arial" w:hAnsi="Arial"/>
          <w:sz w:val="17"/>
          <w:szCs w:val="17"/>
          <w:color w:val="auto"/>
        </w:rPr>
      </w:pPr>
    </w:p>
    <w:p>
      <w:pPr>
        <w:jc w:val="both"/>
        <w:ind w:left="-460" w:firstLine="644"/>
        <w:spacing w:after="0" w:line="289"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year following the Closing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6" w:name="page67"/>
    <w:bookmarkEnd w:id="66"/>
    <w:p>
      <w:pPr>
        <w:jc w:val="both"/>
        <w:ind w:left="-460" w:firstLine="644"/>
        <w:spacing w:after="0" w:line="255" w:lineRule="auto"/>
        <w:tabs>
          <w:tab w:leader="none" w:pos="96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2" w:lineRule="exact"/>
        <w:rPr>
          <w:rFonts w:ascii="Arial" w:cs="Arial" w:eastAsia="Arial" w:hAnsi="Arial"/>
          <w:sz w:val="18"/>
          <w:szCs w:val="18"/>
          <w:color w:val="auto"/>
        </w:rPr>
      </w:pPr>
    </w:p>
    <w:p>
      <w:pPr>
        <w:jc w:val="both"/>
        <w:ind w:left="-460" w:firstLine="644"/>
        <w:spacing w:after="0" w:line="268" w:lineRule="auto"/>
        <w:tabs>
          <w:tab w:leader="none" w:pos="1153"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6" w:lineRule="exact"/>
        <w:rPr>
          <w:rFonts w:ascii="Arial" w:cs="Arial" w:eastAsia="Arial" w:hAnsi="Arial"/>
          <w:sz w:val="17"/>
          <w:szCs w:val="17"/>
          <w:color w:val="auto"/>
        </w:rPr>
      </w:pPr>
    </w:p>
    <w:p>
      <w:pPr>
        <w:jc w:val="both"/>
        <w:ind w:left="-460" w:firstLine="644"/>
        <w:spacing w:after="0" w:line="273" w:lineRule="auto"/>
        <w:tabs>
          <w:tab w:leader="none" w:pos="111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 Integrated Offering</w:t>
      </w:r>
      <w:r>
        <w:rPr>
          <w:rFonts w:ascii="Arial" w:cs="Arial" w:eastAsia="Arial" w:hAnsi="Arial"/>
          <w:sz w:val="17"/>
          <w:szCs w:val="17"/>
          <w:color w:val="auto"/>
        </w:rPr>
        <w:t>. Assuming the accuracy of the Purchasers’ representations and warranties set forth in Section 3.2,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Warrants or Warrant Shares under the Securities Act, or (ii) any applicable shareholder approval provisions of any Trading Market on which any of the securities of the Company are listed or designated.</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7" w:name="page68"/>
    <w:bookmarkEnd w:id="67"/>
    <w:p>
      <w:pPr>
        <w:jc w:val="both"/>
        <w:ind w:left="-460" w:firstLine="644"/>
        <w:spacing w:after="0" w:line="285" w:lineRule="auto"/>
        <w:tabs>
          <w:tab w:leader="none" w:pos="93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(aa)</w:t>
      </w:r>
      <w:r>
        <w:rPr>
          <w:rFonts w:ascii="Arial" w:cs="Arial" w:eastAsia="Arial" w:hAnsi="Arial"/>
          <w:sz w:val="16"/>
          <w:szCs w:val="16"/>
          <w:color w:val="auto"/>
        </w:rPr>
        <w:t>, based on the consolidated financial condition of the Company as of the Closing Date, and the Company’s good faith estimate of the fair market value of its assets,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168" w:lineRule="exact"/>
        <w:rPr>
          <w:rFonts w:ascii="Arial" w:cs="Arial" w:eastAsia="Arial" w:hAnsi="Arial"/>
          <w:sz w:val="16"/>
          <w:szCs w:val="16"/>
          <w:color w:val="auto"/>
        </w:rPr>
      </w:pPr>
    </w:p>
    <w:p>
      <w:pPr>
        <w:jc w:val="both"/>
        <w:ind w:left="-460" w:firstLine="644"/>
        <w:spacing w:after="0" w:line="254" w:lineRule="auto"/>
        <w:tabs>
          <w:tab w:leader="none" w:pos="103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xml:space="preserve">.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Except as set forth on </w:t>
      </w:r>
      <w:r>
        <w:rPr>
          <w:rFonts w:ascii="Arial" w:cs="Arial" w:eastAsia="Arial" w:hAnsi="Arial"/>
          <w:sz w:val="18"/>
          <w:szCs w:val="18"/>
          <w:u w:val="single" w:color="auto"/>
          <w:color w:val="auto"/>
        </w:rPr>
        <w:t>Schedule 3.1(bb)</w:t>
      </w:r>
      <w:r>
        <w:rPr>
          <w:rFonts w:ascii="Arial" w:cs="Arial" w:eastAsia="Arial" w:hAnsi="Arial"/>
          <w:sz w:val="18"/>
          <w:szCs w:val="18"/>
          <w:color w:val="auto"/>
        </w:rPr>
        <w:t>, there are no unpaid taxes in any material amount claimed to be due by the taxing authority of any jurisdiction, and the officers of the Company or of any Subsidiary know of no reasonable basis for any such claim.</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8" w:name="page69"/>
    <w:bookmarkEnd w:id="68"/>
    <w:p>
      <w:pPr>
        <w:jc w:val="both"/>
        <w:ind w:left="-460" w:firstLine="644"/>
        <w:spacing w:after="0" w:line="273" w:lineRule="auto"/>
        <w:tabs>
          <w:tab w:leader="none" w:pos="958"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77" w:lineRule="exact"/>
        <w:rPr>
          <w:rFonts w:ascii="Arial" w:cs="Arial" w:eastAsia="Arial" w:hAnsi="Arial"/>
          <w:sz w:val="17"/>
          <w:szCs w:val="17"/>
          <w:color w:val="auto"/>
        </w:rPr>
      </w:pPr>
    </w:p>
    <w:p>
      <w:pPr>
        <w:jc w:val="both"/>
        <w:ind w:left="-460" w:right="20" w:firstLine="644"/>
        <w:spacing w:after="0" w:line="263" w:lineRule="auto"/>
        <w:tabs>
          <w:tab w:leader="none" w:pos="95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accounting firm is Friedman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2020.</w:t>
      </w:r>
    </w:p>
    <w:p>
      <w:pPr>
        <w:spacing w:after="0" w:line="183" w:lineRule="exact"/>
        <w:rPr>
          <w:rFonts w:ascii="Arial" w:cs="Arial" w:eastAsia="Arial" w:hAnsi="Arial"/>
          <w:sz w:val="18"/>
          <w:szCs w:val="18"/>
          <w:color w:val="auto"/>
        </w:rPr>
      </w:pPr>
    </w:p>
    <w:p>
      <w:pPr>
        <w:jc w:val="both"/>
        <w:ind w:left="-460" w:firstLine="644"/>
        <w:spacing w:after="0" w:line="271" w:lineRule="auto"/>
        <w:tabs>
          <w:tab w:leader="none" w:pos="1106"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Securities</w:t>
      </w:r>
      <w:r>
        <w:rPr>
          <w:rFonts w:ascii="Arial" w:cs="Arial" w:eastAsia="Arial" w:hAnsi="Arial"/>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8" w:lineRule="exact"/>
        <w:rPr>
          <w:rFonts w:ascii="Arial" w:cs="Arial" w:eastAsia="Arial" w:hAnsi="Arial"/>
          <w:sz w:val="17"/>
          <w:szCs w:val="17"/>
          <w:color w:val="auto"/>
        </w:rPr>
      </w:pPr>
    </w:p>
    <w:p>
      <w:pPr>
        <w:jc w:val="both"/>
        <w:ind w:left="-460" w:firstLine="644"/>
        <w:spacing w:after="0" w:line="268" w:lineRule="auto"/>
        <w:tabs>
          <w:tab w:leader="none" w:pos="1036"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9" w:name="page70"/>
    <w:bookmarkEnd w:id="69"/>
    <w:p>
      <w:pPr>
        <w:jc w:val="both"/>
        <w:ind w:left="4" w:firstLine="644"/>
        <w:spacing w:after="0" w:line="287" w:lineRule="auto"/>
        <w:tabs>
          <w:tab w:leader="none" w:pos="1455"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2" w:lineRule="exact"/>
        <w:rPr>
          <w:rFonts w:ascii="Arial" w:cs="Arial" w:eastAsia="Arial" w:hAnsi="Arial"/>
          <w:sz w:val="16"/>
          <w:szCs w:val="16"/>
          <w:color w:val="auto"/>
        </w:rPr>
      </w:pPr>
    </w:p>
    <w:p>
      <w:pPr>
        <w:ind w:left="4" w:hanging="4"/>
        <w:spacing w:after="0" w:line="323" w:lineRule="auto"/>
        <w:tabs>
          <w:tab w:leader="none" w:pos="319" w:val="left"/>
        </w:tabs>
        <w:numPr>
          <w:ilvl w:val="0"/>
          <w:numId w:val="74"/>
        </w:numPr>
        <w:rPr>
          <w:rFonts w:ascii="Arial" w:cs="Arial" w:eastAsia="Arial" w:hAnsi="Arial"/>
          <w:sz w:val="16"/>
          <w:szCs w:val="16"/>
          <w:color w:val="auto"/>
        </w:rPr>
      </w:pPr>
      <w:r>
        <w:rPr>
          <w:rFonts w:ascii="Arial" w:cs="Arial" w:eastAsia="Arial" w:hAnsi="Arial"/>
          <w:sz w:val="16"/>
          <w:szCs w:val="16"/>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38" w:lineRule="exact"/>
        <w:rPr>
          <w:rFonts w:ascii="Arial" w:cs="Arial" w:eastAsia="Arial" w:hAnsi="Arial"/>
          <w:sz w:val="16"/>
          <w:szCs w:val="16"/>
          <w:color w:val="auto"/>
        </w:rPr>
      </w:pPr>
    </w:p>
    <w:p>
      <w:pPr>
        <w:ind w:left="1404" w:hanging="756"/>
        <w:spacing w:after="0"/>
        <w:tabs>
          <w:tab w:leader="none" w:pos="14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 w:firstLine="644"/>
        <w:spacing w:after="0" w:line="273" w:lineRule="auto"/>
        <w:tabs>
          <w:tab w:leader="none" w:pos="156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7" w:lineRule="exact"/>
        <w:rPr>
          <w:rFonts w:ascii="Arial" w:cs="Arial" w:eastAsia="Arial" w:hAnsi="Arial"/>
          <w:sz w:val="17"/>
          <w:szCs w:val="17"/>
          <w:color w:val="auto"/>
        </w:rPr>
      </w:pPr>
    </w:p>
    <w:p>
      <w:pPr>
        <w:jc w:val="both"/>
        <w:ind w:left="4" w:firstLine="644"/>
        <w:spacing w:after="0" w:line="263" w:lineRule="auto"/>
        <w:tabs>
          <w:tab w:leader="none" w:pos="1533"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 w:right="20" w:firstLine="644"/>
        <w:spacing w:after="0" w:line="342" w:lineRule="auto"/>
        <w:tabs>
          <w:tab w:leader="none" w:pos="1523"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3" w:lineRule="exact"/>
        <w:rPr>
          <w:rFonts w:ascii="Arial" w:cs="Arial" w:eastAsia="Arial" w:hAnsi="Arial"/>
          <w:sz w:val="16"/>
          <w:szCs w:val="16"/>
          <w:color w:val="auto"/>
        </w:rPr>
      </w:pPr>
    </w:p>
    <w:p>
      <w:pPr>
        <w:jc w:val="both"/>
        <w:ind w:left="4" w:firstLine="644"/>
        <w:spacing w:after="0" w:line="273" w:lineRule="auto"/>
        <w:tabs>
          <w:tab w:leader="none" w:pos="156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39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0" w:name="page71"/>
    <w:bookmarkEnd w:id="70"/>
    <w:p>
      <w:pPr>
        <w:jc w:val="both"/>
        <w:ind w:left="-460" w:firstLine="644"/>
        <w:spacing w:after="0" w:line="296" w:lineRule="auto"/>
        <w:tabs>
          <w:tab w:leader="none" w:pos="129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61" w:lineRule="exact"/>
        <w:rPr>
          <w:rFonts w:ascii="Arial" w:cs="Arial" w:eastAsia="Arial" w:hAnsi="Arial"/>
          <w:sz w:val="16"/>
          <w:szCs w:val="16"/>
          <w:color w:val="auto"/>
        </w:rPr>
      </w:pPr>
    </w:p>
    <w:p>
      <w:pPr>
        <w:jc w:val="both"/>
        <w:ind w:left="-460" w:firstLine="644"/>
        <w:spacing w:after="0" w:line="263" w:lineRule="auto"/>
        <w:tabs>
          <w:tab w:leader="none" w:pos="115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Assuming the accuracy of the Purchasers’ representations and warranties set forth in Section 3.2, no registration under the Securities Act is required for the offer and sale of the Warrants or the Warrant Shares by the Company to the Purchasers as contemplated hereby.</w:t>
      </w:r>
    </w:p>
    <w:p>
      <w:pPr>
        <w:spacing w:after="0" w:line="183" w:lineRule="exact"/>
        <w:rPr>
          <w:rFonts w:ascii="Arial" w:cs="Arial" w:eastAsia="Arial" w:hAnsi="Arial"/>
          <w:sz w:val="18"/>
          <w:szCs w:val="18"/>
          <w:color w:val="auto"/>
        </w:rPr>
      </w:pPr>
    </w:p>
    <w:p>
      <w:pPr>
        <w:jc w:val="both"/>
        <w:ind w:left="-460" w:firstLine="644"/>
        <w:spacing w:after="0" w:line="311" w:lineRule="auto"/>
        <w:tabs>
          <w:tab w:leader="none" w:pos="978"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No General Solicitation</w:t>
      </w:r>
      <w:r>
        <w:rPr>
          <w:rFonts w:ascii="Arial" w:cs="Arial" w:eastAsia="Arial" w:hAnsi="Arial"/>
          <w:sz w:val="16"/>
          <w:szCs w:val="16"/>
          <w:color w:val="auto"/>
        </w:rPr>
        <w:t>. Neither the Company nor any Person acting on behalf of the Company has offered or sold any of the Warrant or Warrant Shares by any form of general solicitation or general advertising. The Company has offered the Warrants and Warrant Shares for sale only to the Purchasers and certain other “accredited investors” within the meaning of Rule 501 under the Securities Act.</w:t>
      </w:r>
    </w:p>
    <w:p>
      <w:pPr>
        <w:spacing w:after="0" w:line="148" w:lineRule="exact"/>
        <w:rPr>
          <w:rFonts w:ascii="Arial" w:cs="Arial" w:eastAsia="Arial" w:hAnsi="Arial"/>
          <w:sz w:val="16"/>
          <w:szCs w:val="16"/>
          <w:color w:val="auto"/>
        </w:rPr>
      </w:pPr>
    </w:p>
    <w:p>
      <w:pPr>
        <w:jc w:val="both"/>
        <w:ind w:left="-460" w:firstLine="644"/>
        <w:spacing w:after="0" w:line="270" w:lineRule="auto"/>
        <w:tabs>
          <w:tab w:leader="none" w:pos="103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 Disqualification Events</w:t>
      </w:r>
      <w:r>
        <w:rPr>
          <w:rFonts w:ascii="Arial" w:cs="Arial" w:eastAsia="Arial" w:hAnsi="Arial"/>
          <w:sz w:val="17"/>
          <w:szCs w:val="17"/>
          <w:color w:val="auto"/>
        </w:rPr>
        <w:t>. With respect to the Warrant and Warrant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is subject to any of the “Bad Actor” disqualifications described in Rule 506(d)(1)(i) to (viii) under the Securities Act (a “</w:t>
      </w:r>
      <w:r>
        <w:rPr>
          <w:rFonts w:ascii="Arial" w:cs="Arial" w:eastAsia="Arial" w:hAnsi="Arial"/>
          <w:sz w:val="17"/>
          <w:szCs w:val="17"/>
          <w:u w:val="single" w:color="auto"/>
          <w:color w:val="auto"/>
        </w:rPr>
        <w:t>Disqualification Event</w:t>
      </w:r>
      <w:r>
        <w:rPr>
          <w:rFonts w:ascii="Arial" w:cs="Arial" w:eastAsia="Arial" w:hAnsi="Arial"/>
          <w:sz w:val="17"/>
          <w:szCs w:val="17"/>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0" w:lineRule="exact"/>
        <w:rPr>
          <w:rFonts w:ascii="Arial" w:cs="Arial" w:eastAsia="Arial" w:hAnsi="Arial"/>
          <w:sz w:val="17"/>
          <w:szCs w:val="17"/>
          <w:color w:val="auto"/>
        </w:rPr>
      </w:pPr>
    </w:p>
    <w:p>
      <w:pPr>
        <w:jc w:val="both"/>
        <w:ind w:left="-460" w:firstLine="644"/>
        <w:spacing w:after="0" w:line="263" w:lineRule="auto"/>
        <w:tabs>
          <w:tab w:leader="none" w:pos="111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Other Covered Persons</w:t>
      </w:r>
      <w:r>
        <w:rPr>
          <w:rFonts w:ascii="Arial" w:cs="Arial" w:eastAsia="Arial" w:hAnsi="Arial"/>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111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1" w:name="page72"/>
    <w:bookmarkEnd w:id="71"/>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4" w:lineRule="exact"/>
        <w:rPr>
          <w:sz w:val="20"/>
          <w:szCs w:val="20"/>
          <w:color w:val="auto"/>
        </w:rPr>
      </w:pPr>
    </w:p>
    <w:p>
      <w:pPr>
        <w:jc w:val="both"/>
        <w:ind w:left="380" w:firstLine="924"/>
        <w:spacing w:after="0" w:line="269" w:lineRule="auto"/>
        <w:tabs>
          <w:tab w:leader="none" w:pos="2037"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380" w:firstLine="924"/>
        <w:spacing w:after="0" w:line="269" w:lineRule="auto"/>
        <w:tabs>
          <w:tab w:leader="none" w:pos="2088"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Understandings or Arrangements</w:t>
      </w:r>
      <w:r>
        <w:rPr>
          <w:rFonts w:ascii="Arial" w:cs="Arial" w:eastAsia="Arial" w:hAnsi="Arial"/>
          <w:sz w:val="17"/>
          <w:szCs w:val="17"/>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Warrants and the Warrant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924"/>
        <w:spacing w:after="0" w:line="263" w:lineRule="auto"/>
        <w:tabs>
          <w:tab w:leader="none" w:pos="168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w:t>
      </w:r>
    </w:p>
    <w:p>
      <w:pPr>
        <w:spacing w:after="0" w:line="183" w:lineRule="exact"/>
        <w:rPr>
          <w:rFonts w:ascii="Arial" w:cs="Arial" w:eastAsia="Arial" w:hAnsi="Arial"/>
          <w:sz w:val="18"/>
          <w:szCs w:val="18"/>
          <w:color w:val="auto"/>
        </w:rPr>
      </w:pPr>
    </w:p>
    <w:p>
      <w:pPr>
        <w:jc w:val="both"/>
        <w:ind w:firstLine="924"/>
        <w:spacing w:after="0" w:line="259" w:lineRule="auto"/>
        <w:tabs>
          <w:tab w:leader="none" w:pos="200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4"/>
        <w:spacing w:after="0" w:line="287" w:lineRule="auto"/>
        <w:tabs>
          <w:tab w:leader="none" w:pos="181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67" w:lineRule="exact"/>
        <w:rPr>
          <w:rFonts w:ascii="Arial" w:cs="Arial" w:eastAsia="Arial" w:hAnsi="Arial"/>
          <w:sz w:val="16"/>
          <w:szCs w:val="16"/>
          <w:color w:val="auto"/>
        </w:rPr>
      </w:pPr>
    </w:p>
    <w:p>
      <w:pPr>
        <w:jc w:val="both"/>
        <w:ind w:firstLine="924"/>
        <w:spacing w:after="0" w:line="286" w:lineRule="auto"/>
        <w:tabs>
          <w:tab w:leader="none" w:pos="174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908" w:right="339" w:bottom="1440" w:gutter="0" w:footer="0" w:header="0"/>
        </w:sectPr>
      </w:pPr>
    </w:p>
    <w:bookmarkStart w:id="73" w:name="page74"/>
    <w:bookmarkEnd w:id="73"/>
    <w:p>
      <w:pPr>
        <w:jc w:val="both"/>
        <w:ind w:left="380" w:firstLine="924"/>
        <w:spacing w:after="0" w:line="269" w:lineRule="auto"/>
        <w:tabs>
          <w:tab w:leader="none" w:pos="230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performance under the other Transaction Documents and the consummation by such Purchaser of the transactions contemplated hereby and thereby or relating hereto or thereto do not and will not (i) result in a violation of such Purchaser’s charter documents, bylaws or other organizational documents, if applicable, (ii) conflict with nor constitute a default (or an event which with notice or lapse of time or both would become a default) under any agreement to which such Purchaser is a party, nor (iii) result in a violation of any law, rule, or regulation, or any order, judgment or decree of any court or governmental agency applicable to such Purchaser or its properties (except for such conflicts, defaults and violations as would not, individually or in the aggregate, have a material adverse effect on such Purchaser). Such Purchaser is not required to obtain any consent, authorization or order of, or make any filing or registration with, any court or governmental agency in order for it to execute, deliver or perform any of its obligations under this Agreement or perform under the other Transaction Documents nor to purchase the Securities in accordance with the terms hereof, provided that for purposes of the representation made in this sentence, such Purchaser is assuming and relying upon the accuracy of the relevant representations and agreements of the Company herein.</w:t>
      </w:r>
    </w:p>
    <w:p>
      <w:pPr>
        <w:spacing w:after="0" w:line="181" w:lineRule="exact"/>
        <w:rPr>
          <w:rFonts w:ascii="Arial" w:cs="Arial" w:eastAsia="Arial" w:hAnsi="Arial"/>
          <w:sz w:val="17"/>
          <w:szCs w:val="17"/>
          <w:color w:val="auto"/>
        </w:rPr>
      </w:pPr>
    </w:p>
    <w:p>
      <w:pPr>
        <w:jc w:val="both"/>
        <w:ind w:left="380" w:firstLine="924"/>
        <w:spacing w:after="0" w:line="286" w:lineRule="auto"/>
        <w:tabs>
          <w:tab w:leader="none" w:pos="214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General Solicitation</w:t>
      </w:r>
      <w:r>
        <w:rPr>
          <w:rFonts w:ascii="Arial" w:cs="Arial" w:eastAsia="Arial" w:hAnsi="Arial"/>
          <w:sz w:val="17"/>
          <w:szCs w:val="17"/>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Removal of Legends</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4"/>
        <w:spacing w:after="0" w:line="255" w:lineRule="auto"/>
        <w:tabs>
          <w:tab w:leader="none" w:pos="144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Warrants and Warrant Shares may only be disposed of in compliance with state and federal securities laws. In connection with any transfer of Warrants or Warrant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 under the Securities Act.</w:t>
      </w:r>
    </w:p>
    <w:p>
      <w:pPr>
        <w:spacing w:after="0" w:line="192" w:lineRule="exact"/>
        <w:rPr>
          <w:rFonts w:ascii="Arial" w:cs="Arial" w:eastAsia="Arial" w:hAnsi="Arial"/>
          <w:sz w:val="18"/>
          <w:szCs w:val="18"/>
          <w:color w:val="auto"/>
        </w:rPr>
      </w:pPr>
    </w:p>
    <w:p>
      <w:pPr>
        <w:ind w:firstLine="644"/>
        <w:spacing w:after="0" w:line="277" w:lineRule="auto"/>
        <w:tabs>
          <w:tab w:leader="none" w:pos="13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Purchasers agree to the imprinting, so long as is required by this Section 4.1, of a legend on any of the Warrants or Warrant Shares in the following form:</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both"/>
        <w:ind w:firstLine="644"/>
        <w:spacing w:after="0" w:line="271" w:lineRule="auto"/>
        <w:tabs>
          <w:tab w:leader="none" w:pos="1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acknowledges and agrees that a Purchaser may from time to time pledge pursuant to a bona fide margin agreement with a registered broker-dealer or grant a security interest in some or all of the Warrants or Warrant Shares to a financial institution that is an “accredited investor” as defined in Rule 501(a) under the Securities Act and, if required under the terms of such arrangement, such Purchaser may transfer pledged or secured Warrants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Warrants and Warrant Shares may reasonably request in connection with a pledge or transfer of the Warrants or Warrant Shares.</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5" w:name="page76"/>
    <w:bookmarkEnd w:id="75"/>
    <w:p>
      <w:pPr>
        <w:jc w:val="both"/>
        <w:ind w:left="-460" w:firstLine="644"/>
        <w:spacing w:after="0" w:line="285" w:lineRule="auto"/>
        <w:tabs>
          <w:tab w:leader="none" w:pos="1178" w:val="left"/>
        </w:tabs>
        <w:numPr>
          <w:ilvl w:val="0"/>
          <w:numId w:val="81"/>
        </w:numPr>
        <w:rPr>
          <w:rFonts w:ascii="Arial" w:cs="Arial" w:eastAsia="Arial" w:hAnsi="Arial"/>
          <w:sz w:val="16"/>
          <w:szCs w:val="16"/>
          <w:color w:val="auto"/>
        </w:rPr>
      </w:pPr>
      <w:r>
        <w:rPr>
          <w:rFonts w:ascii="Arial" w:cs="Arial" w:eastAsia="Arial" w:hAnsi="Arial"/>
          <w:sz w:val="16"/>
          <w:szCs w:val="16"/>
          <w:color w:val="auto"/>
        </w:rPr>
        <w:t>Certificates evidencing the Warrant Shares shall not contain any legend (including the legend set forth in Section 4.1(b) hereof): (i) while a registration statement covering the resale of such security is effective under the Securities Act, or (ii) following any sale of such Warrant Shares pursuant to Rule 144 (assuming cashless exercise of the Warrants), or (iii) if such Warrant Shares are eligible for sale under Rule 144 (assuming cashless exercise of the Warrants),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Warrant Shares may be sold under Rule 144 (assuming cashless exercise of the Warrants)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such time as such legend is no longer required under this Section 4.1(c), the Company will, no later than the earlier of (i) two (2) Trading Days and (ii) the number of Trading Days comprising the Standard Settlement Period (as defined below) following the delivery by a Purchaser to the Company or the Transfer Agent of a certificate representing Warrant Shares, as applicable, issued with a restrictive legend (such date, the “</w:t>
      </w:r>
      <w:r>
        <w:rPr>
          <w:rFonts w:ascii="Arial" w:cs="Arial" w:eastAsia="Arial" w:hAnsi="Arial"/>
          <w:sz w:val="16"/>
          <w:szCs w:val="16"/>
          <w:u w:val="single" w:color="auto"/>
          <w:color w:val="auto"/>
        </w:rPr>
        <w:t>Legend Removal</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Warrant Shares subject to legend removal hereunder shall be transmitted by the Transfer Agent to the Purchaser by crediting the account of the Purchaser’s prime broker with the Depository Trust Company System as directed by such Purchaser. As used herein, “Standard Settlement Period” means the standard settlement period, expressed in a number of Trading Days, on the Company’s primary Trading Market with respect to the Common Stock as in effect on the date of delivery of a certificate representing Warrant Shares issued with a restrictive legend.</w:t>
      </w:r>
    </w:p>
    <w:p>
      <w:pPr>
        <w:spacing w:after="0" w:line="168" w:lineRule="exact"/>
        <w:rPr>
          <w:rFonts w:ascii="Arial" w:cs="Arial" w:eastAsia="Arial" w:hAnsi="Arial"/>
          <w:sz w:val="16"/>
          <w:szCs w:val="16"/>
          <w:color w:val="auto"/>
        </w:rPr>
      </w:pPr>
    </w:p>
    <w:p>
      <w:pPr>
        <w:jc w:val="both"/>
        <w:ind w:left="-460" w:firstLine="644"/>
        <w:spacing w:after="0" w:line="286" w:lineRule="auto"/>
        <w:tabs>
          <w:tab w:leader="none" w:pos="943"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addition to such Purchaser’s other available remedies, the Company shall pay to a Purchaser, in cash, (i) as partial liquidated damages and not as a penalty, for each $1,000 of Warrant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“Buy-In Price”) over the product of (A) such number of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Warrant Shares (as the case may be) and ending on the date of such delivery and payment under this Section 4.1(d).</w:t>
      </w:r>
    </w:p>
    <w:p>
      <w:pPr>
        <w:spacing w:after="0" w:line="3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6" w:name="page77"/>
    <w:bookmarkEnd w:id="76"/>
    <w:p>
      <w:pPr>
        <w:ind w:left="1364" w:hanging="716"/>
        <w:spacing w:after="0"/>
        <w:tabs>
          <w:tab w:leader="none" w:pos="13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Shares shall be issued free of legends.</w:t>
      </w:r>
    </w:p>
    <w:p>
      <w:pPr>
        <w:spacing w:after="0" w:line="225"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6"/>
          <w:szCs w:val="16"/>
          <w:u w:val="single" w:color="auto"/>
          <w:color w:val="auto"/>
        </w:rPr>
        <w:t>Furnishing of Information</w:t>
      </w:r>
      <w:r>
        <w:rPr>
          <w:rFonts w:ascii="Arial" w:cs="Arial" w:eastAsia="Arial" w:hAnsi="Arial"/>
          <w:sz w:val="16"/>
          <w:szCs w:val="16"/>
          <w:color w:val="auto"/>
        </w:rPr>
        <w:t>.</w:t>
      </w:r>
    </w:p>
    <w:p>
      <w:pPr>
        <w:spacing w:after="0" w:line="225" w:lineRule="exact"/>
        <w:rPr>
          <w:sz w:val="20"/>
          <w:szCs w:val="20"/>
          <w:color w:val="auto"/>
        </w:rPr>
      </w:pPr>
    </w:p>
    <w:p>
      <w:pPr>
        <w:ind w:left="4" w:right="20" w:firstLine="644"/>
        <w:spacing w:after="0" w:line="263" w:lineRule="auto"/>
        <w:tabs>
          <w:tab w:leader="none" w:pos="1391" w:val="left"/>
        </w:tabs>
        <w:numPr>
          <w:ilvl w:val="1"/>
          <w:numId w:val="83"/>
        </w:numPr>
        <w:rPr>
          <w:rFonts w:ascii="Arial" w:cs="Arial" w:eastAsia="Arial" w:hAnsi="Arial"/>
          <w:sz w:val="18"/>
          <w:szCs w:val="18"/>
          <w:color w:val="auto"/>
        </w:rPr>
      </w:pPr>
      <w:r>
        <w:rPr>
          <w:rFonts w:ascii="Arial" w:cs="Arial" w:eastAsia="Arial" w:hAnsi="Arial"/>
          <w:sz w:val="18"/>
          <w:szCs w:val="18"/>
          <w:color w:val="auto"/>
        </w:rPr>
        <w:t>Until the time that no Purchaser owns Securities,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3" w:lineRule="exact"/>
        <w:rPr>
          <w:rFonts w:ascii="Arial" w:cs="Arial" w:eastAsia="Arial" w:hAnsi="Arial"/>
          <w:sz w:val="18"/>
          <w:szCs w:val="18"/>
          <w:color w:val="auto"/>
        </w:rPr>
      </w:pPr>
    </w:p>
    <w:p>
      <w:pPr>
        <w:jc w:val="both"/>
        <w:ind w:left="4" w:firstLine="644"/>
        <w:spacing w:after="0" w:line="291" w:lineRule="auto"/>
        <w:tabs>
          <w:tab w:leader="none" w:pos="1444" w:val="left"/>
        </w:tabs>
        <w:numPr>
          <w:ilvl w:val="1"/>
          <w:numId w:val="83"/>
        </w:numPr>
        <w:rPr>
          <w:rFonts w:ascii="Arial" w:cs="Arial" w:eastAsia="Arial" w:hAnsi="Arial"/>
          <w:sz w:val="16"/>
          <w:szCs w:val="16"/>
          <w:color w:val="auto"/>
        </w:rPr>
      </w:pPr>
      <w:r>
        <w:rPr>
          <w:rFonts w:ascii="Arial" w:cs="Arial" w:eastAsia="Arial" w:hAnsi="Arial"/>
          <w:sz w:val="16"/>
          <w:szCs w:val="16"/>
          <w:color w:val="auto"/>
        </w:rPr>
        <w:t>At any time during the period commencing from the six (6) month anniversary of the date hereof and ending at such time that all of the Warrant Shares (assuming cashless exercise) may be sold without the requirement for the Company to be in compliance with Rule 144(c)</w:t>
      </w:r>
    </w:p>
    <w:p>
      <w:pPr>
        <w:jc w:val="both"/>
        <w:ind w:left="4" w:hanging="4"/>
        <w:spacing w:after="0" w:line="267" w:lineRule="auto"/>
        <w:tabs>
          <w:tab w:leader="none" w:pos="271"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“Public Information Failure”) then, in addition to such Purchaser’s other available remedies, the Company shall pay to a Purchaser, in cash, as partial liquidated damages and not as a penalty, by reason of any such delay in or reduction of its ability to sell the Warrant Shares, an amount in cash equal to one percent (1.0%) of the aggregate Exercise Price of such Purchaser’s Warrants on the day of a Public Information Failure and on every thirtieth (30th) day (pro rated for periods totaling less than thirty days) thereafter until the earlier of (a) the date such Public Information Failure is cured and (b) such time that such public information is no longer required for the Purchasers to transfer the Warrant Shares pursuant to Rule 144. The payments to which a Purchaser shall be entitled pursuant to this Section 4.2(b) are referred to herein as “Public Information Failure Payments.”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39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7" w:name="page78"/>
    <w:bookmarkEnd w:id="77"/>
    <w:p>
      <w:pPr>
        <w:jc w:val="both"/>
        <w:ind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Warrants or Warrant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4.7</w:t>
      </w:r>
      <w:r>
        <w:rPr>
          <w:rFonts w:ascii="Arial" w:cs="Arial" w:eastAsia="Arial" w:hAnsi="Arial"/>
          <w:sz w:val="17"/>
          <w:szCs w:val="17"/>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8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w:t>
      </w:r>
    </w:p>
    <w:p>
      <w:pPr>
        <w:spacing w:after="0" w:line="10" w:lineRule="exact"/>
        <w:rPr>
          <w:sz w:val="20"/>
          <w:szCs w:val="20"/>
          <w:color w:val="auto"/>
        </w:rPr>
      </w:pPr>
    </w:p>
    <w:p>
      <w:pPr>
        <w:jc w:val="both"/>
        <w:ind w:firstLine="8"/>
        <w:spacing w:after="0" w:line="284" w:lineRule="auto"/>
        <w:tabs>
          <w:tab w:leader="none" w:pos="293"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u w:val="single" w:color="auto"/>
          <w:color w:val="auto"/>
        </w:rPr>
        <w:t>Subsequent Equity Sales</w:t>
      </w:r>
      <w:r>
        <w:rPr>
          <w:rFonts w:ascii="Arial" w:cs="Arial" w:eastAsia="Arial" w:hAnsi="Arial"/>
          <w:sz w:val="15"/>
          <w:szCs w:val="15"/>
          <w:color w:val="auto"/>
        </w:rPr>
        <w:t>.</w:t>
      </w:r>
    </w:p>
    <w:p>
      <w:pPr>
        <w:spacing w:after="0" w:line="225" w:lineRule="exact"/>
        <w:rPr>
          <w:sz w:val="20"/>
          <w:szCs w:val="20"/>
          <w:color w:val="auto"/>
        </w:rPr>
      </w:pPr>
    </w:p>
    <w:p>
      <w:pPr>
        <w:ind w:left="660" w:firstLine="644"/>
        <w:spacing w:after="0" w:line="308" w:lineRule="auto"/>
        <w:tabs>
          <w:tab w:leader="none" w:pos="2126" w:val="left"/>
        </w:tabs>
        <w:numPr>
          <w:ilvl w:val="0"/>
          <w:numId w:val="86"/>
        </w:numPr>
        <w:rPr>
          <w:rFonts w:ascii="Arial" w:cs="Arial" w:eastAsia="Arial" w:hAnsi="Arial"/>
          <w:sz w:val="17"/>
          <w:szCs w:val="17"/>
          <w:color w:val="auto"/>
        </w:rPr>
      </w:pPr>
      <w:r>
        <w:rPr>
          <w:rFonts w:ascii="Arial" w:cs="Arial" w:eastAsia="Arial" w:hAnsi="Arial"/>
          <w:sz w:val="17"/>
          <w:szCs w:val="17"/>
          <w:color w:val="auto"/>
        </w:rPr>
        <w:t>From the date hereof until 30 days after the Closing Date, neither the Company nor any Subsidiary shall issue, enter into any agreement to issue or announce the issuance or proposed issuance of any shares of Common Stock or Common Stock Equivalents.</w:t>
      </w:r>
    </w:p>
    <w:p>
      <w:pPr>
        <w:spacing w:after="0" w:line="146" w:lineRule="exact"/>
        <w:rPr>
          <w:rFonts w:ascii="Arial" w:cs="Arial" w:eastAsia="Arial" w:hAnsi="Arial"/>
          <w:sz w:val="17"/>
          <w:szCs w:val="17"/>
          <w:color w:val="auto"/>
        </w:rPr>
      </w:pPr>
    </w:p>
    <w:p>
      <w:pPr>
        <w:jc w:val="both"/>
        <w:ind w:left="660" w:firstLine="644"/>
        <w:spacing w:after="0" w:line="287" w:lineRule="auto"/>
        <w:tabs>
          <w:tab w:leader="none" w:pos="21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From the date hereof until the 6-month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Any Purchaser shall be entitled to obtain injunctive relief against the Company to preclude any such issuance, which remedy shall be in addition to any right to collect damages.</w:t>
      </w:r>
    </w:p>
    <w:p>
      <w:pPr>
        <w:spacing w:after="0" w:line="171" w:lineRule="exact"/>
        <w:rPr>
          <w:rFonts w:ascii="Arial" w:cs="Arial" w:eastAsia="Arial" w:hAnsi="Arial"/>
          <w:sz w:val="16"/>
          <w:szCs w:val="16"/>
          <w:color w:val="auto"/>
        </w:rPr>
      </w:pPr>
    </w:p>
    <w:p>
      <w:pPr>
        <w:ind w:left="660" w:right="20" w:firstLine="644"/>
        <w:spacing w:after="0" w:line="277" w:lineRule="auto"/>
        <w:tabs>
          <w:tab w:leader="none" w:pos="20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the foregoing, this Section 4.12 shall not apply in respect of an Exempt Issuance, except that no Variable Rate Transaction shall be an Exempt Issuance.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75"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Exercise Procedures</w:t>
      </w:r>
      <w:r>
        <w:rPr>
          <w:rFonts w:ascii="Arial" w:cs="Arial" w:eastAsia="Arial" w:hAnsi="Arial"/>
          <w:sz w:val="16"/>
          <w:szCs w:val="16"/>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648"/>
        <w:spacing w:after="0" w:line="286"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soon as practicable (and in any event within 30 calendar days of the date of this Agreement), the Company shall file a registration statement on Form S-3 (or other appropriate form if the Company is not then S-3 eligible) providing for the resale by the Purchasers of the Warrant Shares issued and issuable upon exercise of the Warrants (the “</w:t>
      </w:r>
      <w:r>
        <w:rPr>
          <w:rFonts w:ascii="Arial" w:cs="Arial" w:eastAsia="Arial" w:hAnsi="Arial"/>
          <w:sz w:val="16"/>
          <w:szCs w:val="16"/>
          <w:u w:val="single" w:color="auto"/>
          <w:color w:val="auto"/>
        </w:rPr>
        <w:t>Resale Registration Statement</w:t>
      </w:r>
      <w:r>
        <w:rPr>
          <w:rFonts w:ascii="Arial" w:cs="Arial" w:eastAsia="Arial" w:hAnsi="Arial"/>
          <w:sz w:val="16"/>
          <w:szCs w:val="16"/>
          <w:color w:val="auto"/>
        </w:rPr>
        <w:t>”). The Company shall use best efforts to cause the Resale Registration Statement to become effective within 60 days following the date hereof (or, in the event of a “full review” by the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Commission,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date hereof hereof)(the “</w:t>
      </w:r>
      <w:r>
        <w:rPr>
          <w:rFonts w:ascii="Arial" w:cs="Arial" w:eastAsia="Arial" w:hAnsi="Arial"/>
          <w:sz w:val="17"/>
          <w:szCs w:val="17"/>
          <w:u w:val="single" w:color="auto"/>
          <w:color w:val="auto"/>
        </w:rPr>
        <w:t>Effectiveness Date</w:t>
      </w:r>
      <w:r>
        <w:rPr>
          <w:rFonts w:ascii="Arial" w:cs="Arial" w:eastAsia="Arial" w:hAnsi="Arial"/>
          <w:sz w:val="17"/>
          <w:szCs w:val="17"/>
          <w:color w:val="auto"/>
        </w:rPr>
        <w:t>”) and to keep the Resale Registration Statement effective at all times until no Purchaser owns any Warrants or Warrant Shares issuable upon exercise thereof. In the event that the Resale Registration Statement is not declared effective by the Commission by the Effectiveness Date, then, in addition to any other rights the Purchasers may have hereunder or under applicable law, on the Effectiveness Date and on each monthly anniversary of the Effectiveness Date (if the Resale Registration Statement shall not have been declared effective by such date) until the Resale Registration Statement is declared effective, the Company shall pay to each Purchaser an amount in cash, as partial liquidated damages and not as a penalty, equal to the product of 1.0% multiplied by the aggregate Exercise Price of the Warrants held by each Purchaser. If the Company fails to pay any partial liquidated damages pursuant to this Section 4.15 in full within seven days after the date payable, the Company will pay interest thereon at a rate of 18% per annum (or such lesser maximum amount that is permitted to be paid by applicable law) to the Purchaser, accruing daily from the date such partial liquidated damages are due until such amounts, plus all such interest thereon, are paid in full. The partial liquidated damages pursuant to the terms hereof shall apply on a daily pro rata basis for any portion of a month prior to the Resale Registration Statement being declared effective.</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Form D; Blue Sky Filings</w:t>
      </w:r>
      <w:r>
        <w:rPr>
          <w:rFonts w:ascii="Arial" w:cs="Arial" w:eastAsia="Arial" w:hAnsi="Arial"/>
          <w:sz w:val="18"/>
          <w:szCs w:val="18"/>
          <w:color w:val="auto"/>
        </w:rPr>
        <w:t>. The Company agrees to timely file a Form D with respect to the Warrant and Warrant Shares as required under Regulation D and to provide a copy thereof, promptly upon request of any Purchaser. The Company shall take such action as the Company shall reasonably determine is necessary in order to obtain an exemption for, or to qualify the Warrant and Warrant Shares for, sale to the Purchasers at the Closing under applicable securities or “Blue Sky” laws of the states of the United States, and shall provide evidence of such actions promptly upon request of any Purchaser.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p.m. (New York City time) on any Trading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holding at least 50.1% in interest of the component of the affected Shares and Warrant Shares then outstanding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48"/>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IN ANY ACTION, SUIT, OR PROCEEDING IN ANY JURISDICTION BROUGHT BY ANY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Equitable Adjustment</w:t>
      </w:r>
      <w:r>
        <w:rPr>
          <w:rFonts w:ascii="Arial" w:cs="Arial" w:eastAsia="Arial" w:hAnsi="Arial"/>
          <w:sz w:val="18"/>
          <w:szCs w:val="18"/>
          <w:color w:val="auto"/>
        </w:rPr>
        <w:t>. Trading volume amounts, price/volume amounts, the amount of shares of Common Stock identified in this Agreement and similar figures in the Transaction Documents shall be equitably adjusted (but without duplication) to offset the effect of stock splits, similar events and as otherwise described in the Transaction Documents.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112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1"/>
              </w:rPr>
              <w:t>Address for Notice:</w:t>
            </w:r>
          </w:p>
        </w:tc>
      </w:tr>
      <w:tr>
        <w:trPr>
          <w:trHeight w:val="669"/>
        </w:trPr>
        <w:tc>
          <w:tcPr>
            <w:tcW w:w="5080" w:type="dxa"/>
            <w:vAlign w:val="bottom"/>
            <w:gridSpan w:val="2"/>
          </w:tcPr>
          <w:p>
            <w:pPr>
              <w:spacing w:after="0"/>
              <w:rPr>
                <w:sz w:val="20"/>
                <w:szCs w:val="20"/>
                <w:color w:val="auto"/>
              </w:rPr>
            </w:pPr>
            <w:r>
              <w:rPr>
                <w:rFonts w:ascii="Arial" w:cs="Arial" w:eastAsia="Arial" w:hAnsi="Arial"/>
                <w:sz w:val="18"/>
                <w:szCs w:val="18"/>
                <w:color w:val="auto"/>
              </w:rPr>
              <w:t>By:</w:t>
            </w:r>
          </w:p>
        </w:tc>
        <w:tc>
          <w:tcPr>
            <w:tcW w:w="1120" w:type="dxa"/>
            <w:vAlign w:val="bottom"/>
          </w:tcPr>
          <w:p>
            <w:pPr>
              <w:spacing w:after="0"/>
              <w:rPr>
                <w:sz w:val="24"/>
                <w:szCs w:val="24"/>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E-Mail:</w:t>
            </w:r>
          </w:p>
        </w:tc>
        <w:tc>
          <w:tcPr>
            <w:tcW w:w="20" w:type="dxa"/>
            <w:vAlign w:val="bottom"/>
          </w:tcPr>
          <w:p>
            <w:pPr>
              <w:spacing w:after="0"/>
              <w:rPr>
                <w:sz w:val="24"/>
                <w:szCs w:val="24"/>
                <w:color w:val="auto"/>
              </w:rPr>
            </w:pPr>
          </w:p>
        </w:tc>
      </w:tr>
      <w:tr>
        <w:trPr>
          <w:trHeight w:val="211"/>
        </w:trPr>
        <w:tc>
          <w:tcPr>
            <w:tcW w:w="58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1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Fax:</w:t>
            </w:r>
          </w:p>
        </w:tc>
      </w:tr>
    </w:tbl>
    <w:p>
      <w:pPr>
        <w:ind w:left="58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 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Warrants: 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CONTINUE]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99.1</w:t>
      </w:r>
    </w:p>
    <w:p>
      <w:pPr>
        <w:spacing w:after="0" w:line="301" w:lineRule="exact"/>
        <w:rPr>
          <w:sz w:val="20"/>
          <w:szCs w:val="20"/>
          <w:color w:val="auto"/>
        </w:rPr>
      </w:pPr>
    </w:p>
    <w:p>
      <w:pPr>
        <w:jc w:val="center"/>
        <w:ind w:left="340" w:right="380"/>
        <w:spacing w:after="0" w:line="282" w:lineRule="auto"/>
        <w:rPr>
          <w:sz w:val="20"/>
          <w:szCs w:val="20"/>
          <w:color w:val="auto"/>
        </w:rPr>
      </w:pPr>
      <w:r>
        <w:rPr>
          <w:rFonts w:ascii="Arial" w:cs="Arial" w:eastAsia="Arial" w:hAnsi="Arial"/>
          <w:sz w:val="25"/>
          <w:szCs w:val="25"/>
          <w:b w:val="1"/>
          <w:bCs w:val="1"/>
          <w:color w:val="auto"/>
        </w:rPr>
        <w:t>XpresSpa Group Announces $40 Million Registered Direct Offering Priced At-The-Market under Nasdaq Rules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YORK, June 17, 2020 (GLOBE NEWSWIRE) -- XpresSpa Group, Inc. (Nasdaq: XSPA) (“XpresSpa” or the “Company”), a health and wellness company, today announced that it has entered into securities purchase agreements with several healthcare-focused and other institutional investors to purchase 7,614,700 of its shares of common stock in a registered direct offering priced at-the-market under Nasdaq rules. Additionally, XpresSpa has also agreed to issue to the investors short-term warrants to purchase up to an aggregate of 7,614,700 shares of common stock in a concurrent private placement. The combined purchase price for one common stock and a warrant to purchase one share of common stock is $5.253. The warrants have an exercise price of $5.25 per share, will be immediately exercisable, and will expire twenty-one months from the issue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gross proceeds from the registered direct offering and concurrent private placement are expected to be approximately $40.0 million before deducting placement agent fees and other estimated offering expenses. The registered direct offering and concurrent private placement is expected to close on or about June 19, 2020, subject to the satisfaction of customary closing conditions.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common stock described above (but not the warrants or the shares of common stock underlying the warrants) are being offered pursuant to a "shelf" registration statement (File No. 333-232764) filed with the Securities and Exchange Commission (SEC) and declared effective on July 30, 2019. Such shares of common stock may be offered only by means of a prospectus, including a prospectus supplement, forming a part of the effective registration statement. A prospectus supplement and the accompanying prospectus relating to the offering of the shares of common stock will be filed with the SEC. Electronic copies of the prospectus supplement and the accompanying prospectus relating to the offering of common stock may be obtained, when available, on the SEC's website at http://www.sec.gov or by contacting H.C. Wainwright &amp; Co., LLC at 430 Park Avenue, 3rd Floor, New York, NY 10022, by e-mail: placements@hcwco.com or by telephone: (646) 975-6996.</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warrants issued in the concurrent private placement and shares of common stock underlying the warrants are being offered in a private placement under Section 4(a)(2) of the Securities Act of 1933, as amended (the "Act"), and Regulation D promulgated thereunder and, along with the shares of common stock underlying the warrants, have not been registered under the Act, or applicable state securities laws. Accordingly, the warrants and underlying shares of common stock may not be offered or sold in the United States except pursuant to an effective registration statement or an applicable exemption from the registration requirements of the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spacing w:after="0" w:line="308" w:lineRule="auto"/>
        <w:rPr>
          <w:sz w:val="20"/>
          <w:szCs w:val="20"/>
          <w:color w:val="auto"/>
        </w:rPr>
      </w:pPr>
      <w:r>
        <w:rPr>
          <w:rFonts w:ascii="Arial" w:cs="Arial" w:eastAsia="Arial" w:hAnsi="Arial"/>
          <w:sz w:val="17"/>
          <w:szCs w:val="17"/>
          <w:color w:val="auto"/>
        </w:rPr>
        <w:t>This press release does not constitute an offer to sell or the solicitation of an offer to buy, nor there any sales of these securities in any jurisdiction in which such offer, solicitation or sale would be unlawful prior to registration or qualification under the securities laws of such jurisdiction.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t>
      </w:r>
      <w:r>
        <w:rPr>
          <w:rFonts w:ascii="Arial" w:cs="Arial" w:eastAsia="Arial" w:hAnsi="Arial"/>
          <w:sz w:val="18"/>
          <w:szCs w:val="18"/>
          <w:u w:val="single" w:color="auto"/>
          <w:color w:val="0000FF"/>
        </w:rPr>
        <w:t>www.XpresSpaGroup.com</w:t>
      </w:r>
      <w:r>
        <w:rPr>
          <w:rFonts w:ascii="Arial" w:cs="Arial" w:eastAsia="Arial" w:hAnsi="Arial"/>
          <w:sz w:val="18"/>
          <w:szCs w:val="18"/>
          <w:color w:val="auto"/>
        </w:rPr>
        <w:t xml:space="preserve">. To learn more about XpresSpa, visit </w:t>
      </w:r>
      <w:r>
        <w:rPr>
          <w:rFonts w:ascii="Arial" w:cs="Arial" w:eastAsia="Arial" w:hAnsi="Arial"/>
          <w:sz w:val="18"/>
          <w:szCs w:val="18"/>
          <w:u w:val="single" w:color="auto"/>
          <w:color w:val="0000FF"/>
        </w:rPr>
        <w:t>www.XpresSpa.com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These statements include, without limitation, statements related to our ability to close the offering and the gross proceeds from the offering. Forward-looking statements relating to expectations about future results or events are based upon information available to XpresSpa as of today's date and are not guarantees of the future performance of the company, and actual results may vary materially from the results and expectations discussed. Additional information concerning these and other risks is contained in XpresSpa’s most recently filed Annual Report on Form 10-K, Quarterly Report on Form 10-Q, recent Current Reports on Form 8-K and other Securities and Exchange Commission filings. All subsequent written and oral forward-looking statements concerning XpresSpa, or other matters and attributable to XpresSpa or any person acting on its behalf are expressly qualified in their entirety by the cautionary statements above. XpresSpa does not undertake any obligation to publicly update any of these forward-looking statements to reflect events or circumstances that may arise after the date hereof,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Investor Relations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lowerLetter"/>
      <w:start w:val="4"/>
    </w:lvl>
  </w:abstractNum>
  <w:abstractNum w:abstractNumId="3">
    <w:nsid w:val="57E4CCAF"/>
    <w:multiLevelType w:val="hybridMultilevel"/>
    <w:lvl w:ilvl="0">
      <w:lvlJc w:val="left"/>
      <w:lvlText w:val="%1)"/>
      <w:numFmt w:val="lowerLetter"/>
      <w:start w:val="1"/>
    </w:lvl>
  </w:abstractNum>
  <w:abstractNum w:abstractNumId="4">
    <w:nsid w:val="7A6D8D3C"/>
    <w:multiLevelType w:val="hybridMultilevel"/>
    <w:lvl w:ilvl="0">
      <w:lvlJc w:val="left"/>
      <w:lvlText w:val="1"/>
      <w:numFmt w:val="bullet"/>
      <w:start w:val="1"/>
    </w:lvl>
  </w:abstractNum>
  <w:abstractNum w:abstractNumId="5">
    <w:nsid w:val="4B588F54"/>
    <w:multiLevelType w:val="hybridMultilevel"/>
    <w:lvl w:ilvl="0">
      <w:lvlJc w:val="left"/>
      <w:lvlText w:val="%1)"/>
      <w:numFmt w:val="lowerLetter"/>
      <w:start w:val="2"/>
    </w:lvl>
  </w:abstractNum>
  <w:abstractNum w:abstractNumId="6">
    <w:nsid w:val="542289EC"/>
    <w:multiLevelType w:val="hybridMultilevel"/>
    <w:lvl w:ilvl="0">
      <w:lvlJc w:val="left"/>
      <w:lvlText w:val="(%1)"/>
      <w:numFmt w:val="upperLetter"/>
      <w:start w:val="1"/>
    </w:lvl>
  </w:abstractNum>
  <w:abstractNum w:abstractNumId="7">
    <w:nsid w:val="6DE91B18"/>
    <w:multiLevelType w:val="hybridMultilevel"/>
    <w:lvl w:ilvl="0">
      <w:lvlJc w:val="left"/>
      <w:lvlText w:val="(%1)"/>
      <w:numFmt w:val="upperLetter"/>
      <w:start w:val="24"/>
    </w:lvl>
  </w:abstractNum>
  <w:abstractNum w:abstractNumId="8">
    <w:nsid w:val="38437FDB"/>
    <w:multiLevelType w:val="hybridMultilevel"/>
    <w:lvl w:ilvl="0">
      <w:lvlJc w:val="left"/>
      <w:lvlText w:val="(%1)"/>
      <w:numFmt w:val="lowerLetter"/>
      <w:start w:val="4"/>
    </w:lvl>
  </w:abstractNum>
  <w:abstractNum w:abstractNumId="9">
    <w:nsid w:val="7644A45C"/>
    <w:multiLevelType w:val="hybridMultilevel"/>
    <w:lvl w:ilvl="0">
      <w:lvlJc w:val="left"/>
      <w:lvlText w:val="%1)"/>
      <w:numFmt w:val="lowerLetter"/>
      <w:start w:val="4"/>
    </w:lvl>
    <w:lvl w:ilvl="1">
      <w:lvlJc w:val="left"/>
      <w:lvlText w:val="%2."/>
      <w:numFmt w:val="lowerRoman"/>
      <w:start w:val="1"/>
    </w:lvl>
  </w:abstractNum>
  <w:abstractNum w:abstractNumId="10">
    <w:nsid w:val="32FFF902"/>
    <w:multiLevelType w:val="hybridMultilevel"/>
    <w:lvl w:ilvl="0">
      <w:lvlJc w:val="left"/>
      <w:lvlText w:val="%1."/>
      <w:numFmt w:val="lowerRoman"/>
      <w:start w:val="2"/>
    </w:lvl>
  </w:abstractNum>
  <w:abstractNum w:abstractNumId="11">
    <w:nsid w:val="684A481A"/>
    <w:multiLevelType w:val="hybridMultilevel"/>
    <w:lvl w:ilvl="0">
      <w:lvlJc w:val="left"/>
      <w:lvlText w:val="%1."/>
      <w:numFmt w:val="lowerRoman"/>
      <w:start w:val="5"/>
    </w:lvl>
  </w:abstractNum>
  <w:abstractNum w:abstractNumId="12">
    <w:nsid w:val="579478FE"/>
    <w:multiLevelType w:val="hybridMultilevel"/>
    <w:lvl w:ilvl="0">
      <w:lvlJc w:val="left"/>
      <w:lvlText w:val="%1"/>
      <w:numFmt w:val="lowerRoman"/>
      <w:start w:val="1"/>
    </w:lvl>
    <w:lvl w:ilvl="1">
      <w:lvlJc w:val="left"/>
      <w:lvlText w:val="%2)"/>
      <w:numFmt w:val="lowerLetter"/>
      <w:start w:val="5"/>
    </w:lvl>
  </w:abstractNum>
  <w:abstractNum w:abstractNumId="13">
    <w:nsid w:val="749ABB43"/>
    <w:multiLevelType w:val="hybridMultilevel"/>
    <w:lvl w:ilvl="0">
      <w:lvlJc w:val="left"/>
      <w:lvlText w:val="(%1)"/>
      <w:numFmt w:val="lowerRoman"/>
      <w:start w:val="1"/>
    </w:lvl>
    <w:lvl w:ilvl="1">
      <w:lvlJc w:val="left"/>
      <w:lvlText w:val="%2"/>
      <w:numFmt w:val="lowerLetter"/>
      <w:start w:val="1"/>
    </w:lvl>
  </w:abstractNum>
  <w:abstractNum w:abstractNumId="14">
    <w:nsid w:val="3DC240FB"/>
    <w:multiLevelType w:val="hybridMultilevel"/>
    <w:lvl w:ilvl="0">
      <w:lvlJc w:val="left"/>
      <w:lvlText w:val="%1)"/>
      <w:numFmt w:val="lowerLetter"/>
      <w:start w:val="1"/>
    </w:lvl>
  </w:abstractNum>
  <w:abstractNum w:abstractNumId="15">
    <w:nsid w:val="1BA026FA"/>
    <w:multiLevelType w:val="hybridMultilevel"/>
    <w:lvl w:ilvl="0">
      <w:lvlJc w:val="left"/>
      <w:lvlText w:val="%1"/>
      <w:numFmt w:val="lowerRoman"/>
      <w:start w:val="1"/>
    </w:lvl>
    <w:lvl w:ilvl="1">
      <w:lvlJc w:val="left"/>
      <w:lvlText w:val="%2)"/>
      <w:numFmt w:val="lowerLetter"/>
      <w:start w:val="4"/>
    </w:lvl>
  </w:abstractNum>
  <w:abstractNum w:abstractNumId="16">
    <w:nsid w:val="79A1DEAA"/>
    <w:multiLevelType w:val="hybridMultilevel"/>
    <w:lvl w:ilvl="0">
      <w:lvlJc w:val="left"/>
      <w:lvlText w:val="(%1)"/>
      <w:numFmt w:val="lowerRoman"/>
      <w:start w:val="2"/>
    </w:lvl>
    <w:lvl w:ilvl="1">
      <w:lvlJc w:val="left"/>
      <w:lvlText w:val="%2"/>
      <w:numFmt w:val="lowerLetter"/>
      <w:start w:val="1"/>
    </w:lvl>
  </w:abstractNum>
  <w:abstractNum w:abstractNumId="17">
    <w:nsid w:val="75C6C33A"/>
    <w:multiLevelType w:val="hybridMultilevel"/>
    <w:lvl w:ilvl="0">
      <w:lvlJc w:val="left"/>
      <w:lvlText w:val="%1)"/>
      <w:numFmt w:val="lowerLetter"/>
      <w:start w:val="5"/>
    </w:lvl>
    <w:lvl w:ilvl="1">
      <w:lvlJc w:val="left"/>
      <w:lvlText w:val="%2."/>
      <w:numFmt w:val="lowerRoman"/>
      <w:start w:val="1"/>
    </w:lvl>
  </w:abstractNum>
  <w:abstractNum w:abstractNumId="18">
    <w:nsid w:val="12E685FB"/>
    <w:multiLevelType w:val="hybridMultilevel"/>
    <w:lvl w:ilvl="0">
      <w:lvlJc w:val="left"/>
      <w:lvlText w:val="%1)"/>
      <w:numFmt w:val="lowerLetter"/>
      <w:start w:val="1"/>
    </w:lvl>
  </w:abstractNum>
  <w:abstractNum w:abstractNumId="19">
    <w:nsid w:val="70C6A529"/>
    <w:multiLevelType w:val="hybridMultilevel"/>
    <w:lvl w:ilvl="0">
      <w:lvlJc w:val="left"/>
      <w:lvlText w:val="%1)"/>
      <w:numFmt w:val="lowerLetter"/>
      <w:start w:val="4"/>
    </w:lvl>
  </w:abstractNum>
  <w:abstractNum w:abstractNumId="20">
    <w:nsid w:val="520EEDD1"/>
    <w:multiLevelType w:val="hybridMultilevel"/>
    <w:lvl w:ilvl="0">
      <w:lvlJc w:val="left"/>
      <w:lvlText w:val="%1)"/>
      <w:numFmt w:val="lowerLetter"/>
      <w:start w:val="1"/>
    </w:lvl>
  </w:abstractNum>
  <w:abstractNum w:abstractNumId="21">
    <w:nsid w:val="374A3FE6"/>
    <w:multiLevelType w:val="hybridMultilevel"/>
    <w:lvl w:ilvl="0">
      <w:lvlJc w:val="left"/>
      <w:lvlText w:val="%1)"/>
      <w:numFmt w:val="lowerLetter"/>
      <w:start w:val="5"/>
    </w:lvl>
  </w:abstractNum>
  <w:abstractNum w:abstractNumId="22">
    <w:nsid w:val="4F4EF005"/>
    <w:multiLevelType w:val="hybridMultilevel"/>
    <w:lvl w:ilvl="0">
      <w:lvlJc w:val="left"/>
      <w:lvlText w:val="%1)"/>
      <w:numFmt w:val="lowerLetter"/>
      <w:start w:val="6"/>
    </w:lvl>
  </w:abstractNum>
  <w:abstractNum w:abstractNumId="23">
    <w:nsid w:val="23F9C13C"/>
    <w:multiLevelType w:val="hybridMultilevel"/>
    <w:lvl w:ilvl="0">
      <w:lvlJc w:val="left"/>
      <w:lvlText w:val="%1)"/>
      <w:numFmt w:val="lowerLetter"/>
      <w:start w:val="14"/>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3"/>
    </w:lvl>
  </w:abstractNum>
  <w:abstractNum w:abstractNumId="26">
    <w:nsid w:val="39386575"/>
    <w:multiLevelType w:val="hybridMultilevel"/>
    <w:lvl w:ilvl="0">
      <w:lvlJc w:val="left"/>
      <w:lvlText w:val="(%1)"/>
      <w:numFmt w:val="decimal"/>
      <w:start w:val="4"/>
    </w:lvl>
  </w:abstractNum>
  <w:abstractNum w:abstractNumId="27">
    <w:nsid w:val="1CF10FD8"/>
    <w:multiLevelType w:val="hybridMultilevel"/>
    <w:lvl w:ilvl="0">
      <w:lvlJc w:val="left"/>
      <w:lvlText w:val="%1)"/>
      <w:numFmt w:val="lowerLetter"/>
      <w:start w:val="1"/>
    </w:lvl>
  </w:abstractNum>
  <w:abstractNum w:abstractNumId="28">
    <w:nsid w:val="180115BE"/>
    <w:multiLevelType w:val="hybridMultilevel"/>
    <w:lvl w:ilvl="0">
      <w:lvlJc w:val="left"/>
      <w:lvlText w:val="1"/>
      <w:numFmt w:val="bullet"/>
      <w:start w:val="1"/>
    </w:lvl>
  </w:abstractNum>
  <w:abstractNum w:abstractNumId="29">
    <w:nsid w:val="235BA861"/>
    <w:multiLevelType w:val="hybridMultilevel"/>
    <w:lvl w:ilvl="0">
      <w:lvlJc w:val="left"/>
      <w:lvlText w:val="%1)"/>
      <w:numFmt w:val="lowerLetter"/>
      <w:start w:val="2"/>
    </w:lvl>
  </w:abstractNum>
  <w:abstractNum w:abstractNumId="30">
    <w:nsid w:val="47398C89"/>
    <w:multiLevelType w:val="hybridMultilevel"/>
    <w:lvl w:ilvl="0">
      <w:lvlJc w:val="left"/>
      <w:lvlText w:val="(%1)"/>
      <w:numFmt w:val="upperLetter"/>
      <w:start w:val="1"/>
    </w:lvl>
  </w:abstractNum>
  <w:abstractNum w:abstractNumId="31">
    <w:nsid w:val="354FE9F9"/>
    <w:multiLevelType w:val="hybridMultilevel"/>
    <w:lvl w:ilvl="0">
      <w:lvlJc w:val="left"/>
      <w:lvlText w:val="(%1)"/>
      <w:numFmt w:val="upperLetter"/>
      <w:start w:val="24"/>
    </w:lvl>
  </w:abstractNum>
  <w:abstractNum w:abstractNumId="32">
    <w:nsid w:val="15B5AF5C"/>
    <w:multiLevelType w:val="hybridMultilevel"/>
    <w:lvl w:ilvl="0">
      <w:lvlJc w:val="left"/>
      <w:lvlText w:val="(%1)"/>
      <w:numFmt w:val="lowerLetter"/>
      <w:start w:val="4"/>
    </w:lvl>
  </w:abstractNum>
  <w:abstractNum w:abstractNumId="33">
    <w:nsid w:val="741226BB"/>
    <w:multiLevelType w:val="hybridMultilevel"/>
    <w:lvl w:ilvl="0">
      <w:lvlJc w:val="left"/>
      <w:lvlText w:val="%1)"/>
      <w:numFmt w:val="lowerLetter"/>
      <w:start w:val="4"/>
    </w:lvl>
    <w:lvl w:ilvl="1">
      <w:lvlJc w:val="left"/>
      <w:lvlText w:val="%2."/>
      <w:numFmt w:val="lowerRoman"/>
      <w:start w:val="1"/>
    </w:lvl>
  </w:abstractNum>
  <w:abstractNum w:abstractNumId="34">
    <w:nsid w:val="D34B6A8"/>
    <w:multiLevelType w:val="hybridMultilevel"/>
    <w:lvl w:ilvl="0">
      <w:lvlJc w:val="left"/>
      <w:lvlText w:val="%1."/>
      <w:numFmt w:val="lowerRoman"/>
      <w:start w:val="2"/>
    </w:lvl>
  </w:abstractNum>
  <w:abstractNum w:abstractNumId="35">
    <w:nsid w:val="10233C99"/>
    <w:multiLevelType w:val="hybridMultilevel"/>
    <w:lvl w:ilvl="0">
      <w:lvlJc w:val="left"/>
      <w:lvlText w:val="%1."/>
      <w:numFmt w:val="lowerRoman"/>
      <w:start w:val="5"/>
    </w:lvl>
  </w:abstractNum>
  <w:abstractNum w:abstractNumId="36">
    <w:nsid w:val="3F6AB60F"/>
    <w:multiLevelType w:val="hybridMultilevel"/>
    <w:lvl w:ilvl="0">
      <w:lvlJc w:val="left"/>
      <w:lvlText w:val="%1"/>
      <w:numFmt w:val="lowerRoman"/>
      <w:start w:val="1"/>
    </w:lvl>
    <w:lvl w:ilvl="1">
      <w:lvlJc w:val="left"/>
      <w:lvlText w:val="%2)"/>
      <w:numFmt w:val="lowerLetter"/>
      <w:start w:val="5"/>
    </w:lvl>
  </w:abstractNum>
  <w:abstractNum w:abstractNumId="37">
    <w:nsid w:val="61574095"/>
    <w:multiLevelType w:val="hybridMultilevel"/>
    <w:lvl w:ilvl="0">
      <w:lvlJc w:val="left"/>
      <w:lvlText w:val="(%1)"/>
      <w:numFmt w:val="lowerRoman"/>
      <w:start w:val="1"/>
    </w:lvl>
    <w:lvl w:ilvl="1">
      <w:lvlJc w:val="left"/>
      <w:lvlText w:val="%2"/>
      <w:numFmt w:val="lowerLetter"/>
      <w:start w:val="1"/>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Letter"/>
      <w:start w:val="3"/>
    </w:lvl>
  </w:abstractNum>
  <w:abstractNum w:abstractNumId="40">
    <w:nsid w:val="579BE4F1"/>
    <w:multiLevelType w:val="hybridMultilevel"/>
    <w:lvl w:ilvl="0">
      <w:lvlJc w:val="left"/>
      <w:lvlText w:val="%1"/>
      <w:numFmt w:val="lowerRoman"/>
      <w:start w:val="1"/>
    </w:lvl>
    <w:lvl w:ilvl="1">
      <w:lvlJc w:val="left"/>
      <w:lvlText w:val="%2)"/>
      <w:numFmt w:val="lowerLetter"/>
      <w:start w:val="4"/>
    </w:lvl>
  </w:abstractNum>
  <w:abstractNum w:abstractNumId="41">
    <w:nsid w:val="310C50B3"/>
    <w:multiLevelType w:val="hybridMultilevel"/>
    <w:lvl w:ilvl="0">
      <w:lvlJc w:val="left"/>
      <w:lvlText w:val="(%1)"/>
      <w:numFmt w:val="lowerRoman"/>
      <w:start w:val="2"/>
    </w:lvl>
    <w:lvl w:ilvl="1">
      <w:lvlJc w:val="left"/>
      <w:lvlText w:val="%2"/>
      <w:numFmt w:val="lowerLetter"/>
      <w:start w:val="1"/>
    </w:lvl>
  </w:abstractNum>
  <w:abstractNum w:abstractNumId="42">
    <w:nsid w:val="5FF87E05"/>
    <w:multiLevelType w:val="hybridMultilevel"/>
    <w:lvl w:ilvl="0">
      <w:lvlJc w:val="left"/>
      <w:lvlText w:val="%1)"/>
      <w:numFmt w:val="lowerLetter"/>
      <w:start w:val="5"/>
    </w:lvl>
    <w:lvl w:ilvl="1">
      <w:lvlJc w:val="left"/>
      <w:lvlText w:val="%2."/>
      <w:numFmt w:val="lowerRoman"/>
      <w:start w:val="1"/>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lowerRoman"/>
      <w:start w:val="1"/>
    </w:lvl>
  </w:abstractNum>
  <w:abstractNum w:abstractNumId="45">
    <w:nsid w:val="1DBABF00"/>
    <w:multiLevelType w:val="hybridMultilevel"/>
    <w:lvl w:ilvl="0">
      <w:lvlJc w:val="left"/>
      <w:lvlText w:val="%1)"/>
      <w:numFmt w:val="lowerLetter"/>
      <w:start w:val="2"/>
    </w:lvl>
  </w:abstractNum>
  <w:abstractNum w:abstractNumId="46">
    <w:nsid w:val="4AD084E9"/>
    <w:multiLevelType w:val="hybridMultilevel"/>
    <w:lvl w:ilvl="0">
      <w:lvlJc w:val="left"/>
      <w:lvlText w:val="%1)"/>
      <w:numFmt w:val="lowerLetter"/>
      <w:start w:val="1"/>
    </w:lvl>
  </w:abstractNum>
  <w:abstractNum w:abstractNumId="47">
    <w:nsid w:val="1F48EAA1"/>
    <w:multiLevelType w:val="hybridMultilevel"/>
    <w:lvl w:ilvl="0">
      <w:lvlJc w:val="left"/>
      <w:lvlText w:val="%1)"/>
      <w:numFmt w:val="lowerLetter"/>
      <w:start w:val="2"/>
    </w:lvl>
  </w:abstractNum>
  <w:abstractNum w:abstractNumId="48">
    <w:nsid w:val="1381823A"/>
    <w:multiLevelType w:val="hybridMultilevel"/>
    <w:lvl w:ilvl="0">
      <w:lvlJc w:val="left"/>
      <w:lvlText w:val="%1)"/>
      <w:numFmt w:val="lowerLetter"/>
      <w:start w:val="5"/>
    </w:lvl>
  </w:abstractNum>
  <w:abstractNum w:abstractNumId="49">
    <w:nsid w:val="5DB70AE5"/>
    <w:multiLevelType w:val="hybridMultilevel"/>
    <w:lvl w:ilvl="0">
      <w:lvlJc w:val="left"/>
      <w:lvlText w:val="%1)"/>
      <w:numFmt w:val="lowerLetter"/>
      <w:start w:val="10"/>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3"/>
    </w:lvl>
  </w:abstractNum>
  <w:abstractNum w:abstractNumId="52">
    <w:nsid w:val="15014ACB"/>
    <w:multiLevelType w:val="hybridMultilevel"/>
    <w:lvl w:ilvl="0">
      <w:lvlJc w:val="left"/>
      <w:lvlText w:val="(%1)"/>
      <w:numFmt w:val="decimal"/>
      <w:start w:val="4"/>
    </w:lvl>
  </w:abstractNum>
  <w:abstractNum w:abstractNumId="53">
    <w:nsid w:val="5F5E7FD0"/>
    <w:multiLevelType w:val="hybridMultilevel"/>
    <w:lvl w:ilvl="0">
      <w:lvlJc w:val="left"/>
      <w:lvlText w:val="(%1)"/>
      <w:numFmt w:val="decimal"/>
      <w:start w:val="5"/>
    </w:lvl>
  </w:abstractNum>
  <w:abstractNum w:abstractNumId="54">
    <w:nsid w:val="98A3148"/>
    <w:multiLevelType w:val="hybridMultilevel"/>
    <w:lvl w:ilvl="0">
      <w:lvlJc w:val="left"/>
      <w:lvlText w:val="(%1)"/>
      <w:numFmt w:val="decimal"/>
      <w:start w:val="2"/>
    </w:lvl>
  </w:abstractNum>
  <w:abstractNum w:abstractNumId="55">
    <w:nsid w:val="799D0247"/>
    <w:multiLevelType w:val="hybridMultilevel"/>
    <w:lvl w:ilvl="0">
      <w:lvlJc w:val="left"/>
      <w:lvlText w:val="(%1)"/>
      <w:numFmt w:val="lowerLetter"/>
      <w:start w:val="1"/>
    </w:lvl>
    <w:lvl w:ilvl="1">
      <w:lvlJc w:val="left"/>
      <w:lvlText w:val="(%2)"/>
      <w:numFmt w:val="lowerRoman"/>
      <w:start w:val="1"/>
    </w:lvl>
  </w:abstractNum>
  <w:abstractNum w:abstractNumId="56">
    <w:nsid w:val="6B94764"/>
    <w:multiLevelType w:val="hybridMultilevel"/>
    <w:lvl w:ilvl="0">
      <w:lvlJc w:val="left"/>
      <w:lvlText w:val="(%1)"/>
      <w:numFmt w:val="lowerLetter"/>
      <w:start w:val="1"/>
    </w:lvl>
    <w:lvl w:ilvl="1">
      <w:lvlJc w:val="left"/>
      <w:lvlText w:val="(%2)"/>
      <w:numFmt w:val="lowerRoman"/>
      <w:start w:val="1"/>
    </w:lvl>
  </w:abstractNum>
  <w:abstractNum w:abstractNumId="57">
    <w:nsid w:val="42C296BD"/>
    <w:multiLevelType w:val="hybridMultilevel"/>
    <w:lvl w:ilvl="0">
      <w:lvlJc w:val="left"/>
      <w:lvlText w:val="(%1)"/>
      <w:numFmt w:val="lowerRoman"/>
      <w:start w:val="3"/>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1)"/>
      <w:numFmt w:val="lowerLetter"/>
      <w:start w:val="3"/>
    </w:lvl>
  </w:abstractNum>
  <w:abstractNum w:abstractNumId="60">
    <w:nsid w:val="661E3F1E"/>
    <w:multiLevelType w:val="hybridMultilevel"/>
    <w:lvl w:ilvl="0">
      <w:lvlJc w:val="left"/>
      <w:lvlText w:val="(%1)"/>
      <w:numFmt w:val="lowerLetter"/>
      <w:start w:val="5"/>
    </w:lvl>
  </w:abstractNum>
  <w:abstractNum w:abstractNumId="61">
    <w:nsid w:val="5DC79EA8"/>
    <w:multiLevelType w:val="hybridMultilevel"/>
    <w:lvl w:ilvl="0">
      <w:lvlJc w:val="left"/>
      <w:lvlText w:val="(%1)"/>
      <w:numFmt w:val="lowerLetter"/>
      <w:start w:val="7"/>
    </w:lvl>
  </w:abstractNum>
  <w:abstractNum w:abstractNumId="62">
    <w:nsid w:val="540A471C"/>
    <w:multiLevelType w:val="hybridMultilevel"/>
    <w:lvl w:ilvl="0">
      <w:lvlJc w:val="left"/>
      <w:lvlText w:val="%1"/>
      <w:numFmt w:val="lowerLetter"/>
      <w:start w:val="1"/>
    </w:lvl>
    <w:lvl w:ilvl="1">
      <w:lvlJc w:val="left"/>
      <w:lvlText w:val="(%2)"/>
      <w:numFmt w:val="lowerLetter"/>
      <w:start w:val="9"/>
    </w:lvl>
  </w:abstractNum>
  <w:abstractNum w:abstractNumId="63">
    <w:nsid w:val="7BD3EE7B"/>
    <w:multiLevelType w:val="hybridMultilevel"/>
    <w:lvl w:ilvl="0">
      <w:lvlJc w:val="left"/>
      <w:lvlText w:val="(%1)"/>
      <w:numFmt w:val="lowerLetter"/>
      <w:start w:val="61"/>
    </w:lvl>
    <w:lvl w:ilvl="1">
      <w:lvlJc w:val="left"/>
      <w:lvlText w:val="(%2)"/>
      <w:numFmt w:val="lowerLetter"/>
      <w:start w:val="10"/>
    </w:lvl>
  </w:abstractNum>
  <w:abstractNum w:abstractNumId="64">
    <w:nsid w:val="51D9C564"/>
    <w:multiLevelType w:val="hybridMultilevel"/>
    <w:lvl w:ilvl="0">
      <w:lvlJc w:val="left"/>
      <w:lvlText w:val="%1"/>
      <w:numFmt w:val="lowerLetter"/>
      <w:start w:val="1"/>
    </w:lvl>
    <w:lvl w:ilvl="1">
      <w:lvlJc w:val="left"/>
      <w:lvlText w:val="(%2)"/>
      <w:numFmt w:val="lowerLetter"/>
      <w:start w:val="11"/>
    </w:lvl>
  </w:abstractNum>
  <w:abstractNum w:abstractNumId="65">
    <w:nsid w:val="613EFDC5"/>
    <w:multiLevelType w:val="hybridMultilevel"/>
    <w:lvl w:ilvl="0">
      <w:lvlJc w:val="left"/>
      <w:lvlText w:val="(%1)"/>
      <w:numFmt w:val="lowerLetter"/>
      <w:start w:val="9"/>
    </w:lvl>
    <w:lvl w:ilvl="1">
      <w:lvlJc w:val="left"/>
      <w:lvlText w:val="(%2)"/>
      <w:numFmt w:val="lowerLetter"/>
      <w:start w:val="13"/>
    </w:lvl>
  </w:abstractNum>
  <w:abstractNum w:abstractNumId="66">
    <w:nsid w:val="BF72B14"/>
    <w:multiLevelType w:val="hybridMultilevel"/>
    <w:lvl w:ilvl="0">
      <w:lvlJc w:val="left"/>
      <w:lvlText w:val="(%1)"/>
      <w:numFmt w:val="lowerLetter"/>
      <w:start w:val="14"/>
    </w:lvl>
  </w:abstractNum>
  <w:abstractNum w:abstractNumId="67">
    <w:nsid w:val="11447B73"/>
    <w:multiLevelType w:val="hybridMultilevel"/>
    <w:lvl w:ilvl="0">
      <w:lvlJc w:val="left"/>
      <w:lvlText w:val="(%1)"/>
      <w:numFmt w:val="lowerLetter"/>
      <w:start w:val="17"/>
    </w:lvl>
  </w:abstractNum>
  <w:abstractNum w:abstractNumId="68">
    <w:nsid w:val="42963E5A"/>
    <w:multiLevelType w:val="hybridMultilevel"/>
    <w:lvl w:ilvl="0">
      <w:lvlJc w:val="left"/>
      <w:lvlText w:val="(%1)"/>
      <w:numFmt w:val="lowerLetter"/>
      <w:start w:val="20"/>
    </w:lvl>
  </w:abstractNum>
  <w:abstractNum w:abstractNumId="69">
    <w:nsid w:val="A0382C5"/>
    <w:multiLevelType w:val="hybridMultilevel"/>
    <w:lvl w:ilvl="0">
      <w:lvlJc w:val="left"/>
      <w:lvlText w:val="(%1)"/>
      <w:numFmt w:val="lowerLetter"/>
      <w:start w:val="24"/>
    </w:lvl>
  </w:abstractNum>
  <w:abstractNum w:abstractNumId="70">
    <w:nsid w:val="8F2B15E"/>
    <w:multiLevelType w:val="hybridMultilevel"/>
    <w:lvl w:ilvl="0">
      <w:lvlJc w:val="left"/>
      <w:lvlText w:val="(%1)"/>
      <w:numFmt w:val="lowerLetter"/>
      <w:start w:val="27"/>
    </w:lvl>
  </w:abstractNum>
  <w:abstractNum w:abstractNumId="71">
    <w:nsid w:val="1A32234B"/>
    <w:multiLevelType w:val="hybridMultilevel"/>
    <w:lvl w:ilvl="0">
      <w:lvlJc w:val="left"/>
      <w:lvlText w:val="(%1)"/>
      <w:numFmt w:val="lowerLetter"/>
      <w:start w:val="29"/>
    </w:lvl>
  </w:abstractNum>
  <w:abstractNum w:abstractNumId="72">
    <w:nsid w:val="3B0FD379"/>
    <w:multiLevelType w:val="hybridMultilevel"/>
    <w:lvl w:ilvl="0">
      <w:lvlJc w:val="left"/>
      <w:lvlText w:val="%1"/>
      <w:numFmt w:val="lowerLetter"/>
      <w:start w:val="1"/>
    </w:lvl>
    <w:lvl w:ilvl="1">
      <w:lvlJc w:val="left"/>
      <w:lvlText w:val="(%2)"/>
      <w:numFmt w:val="lowerLetter"/>
      <w:start w:val="33"/>
    </w:lvl>
  </w:abstractNum>
  <w:abstractNum w:abstractNumId="73">
    <w:nsid w:val="68EB2F63"/>
    <w:multiLevelType w:val="hybridMultilevel"/>
    <w:lvl w:ilvl="0">
      <w:lvlJc w:val="left"/>
      <w:lvlText w:val="(%1)"/>
      <w:numFmt w:val="lowerLetter"/>
      <w:start w:val="61"/>
    </w:lvl>
    <w:lvl w:ilvl="1">
      <w:lvlJc w:val="left"/>
      <w:lvlText w:val="(%2)"/>
      <w:numFmt w:val="lowerLetter"/>
      <w:start w:val="34"/>
    </w:lvl>
  </w:abstractNum>
  <w:abstractNum w:abstractNumId="74">
    <w:nsid w:val="4962813B"/>
    <w:multiLevelType w:val="hybridMultilevel"/>
    <w:lvl w:ilvl="0">
      <w:lvlJc w:val="left"/>
      <w:lvlText w:val="(%1)"/>
      <w:numFmt w:val="lowerLetter"/>
      <w:start w:val="39"/>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lowerLetter"/>
      <w:start w:val="3"/>
    </w:lvl>
  </w:abstractNum>
  <w:abstractNum w:abstractNumId="77">
    <w:nsid w:val="14330624"/>
    <w:multiLevelType w:val="hybridMultilevel"/>
    <w:lvl w:ilvl="0">
      <w:lvlJc w:val="left"/>
      <w:lvlText w:val="(%1)"/>
      <w:numFmt w:val="lowerLetter"/>
      <w:start w:val="7"/>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Letter"/>
      <w:start w:val="3"/>
    </w:lvl>
  </w:abstractNum>
  <w:abstractNum w:abstractNumId="80">
    <w:nsid w:val="71EA1109"/>
    <w:multiLevelType w:val="hybridMultilevel"/>
    <w:lvl w:ilvl="0">
      <w:lvlJc w:val="left"/>
      <w:lvlText w:val="(%1)"/>
      <w:numFmt w:val="lowerLetter"/>
      <w:start w:val="4"/>
    </w:lvl>
  </w:abstractNum>
  <w:abstractNum w:abstractNumId="81">
    <w:nsid w:val="100F59DC"/>
    <w:multiLevelType w:val="hybridMultilevel"/>
    <w:lvl w:ilvl="0">
      <w:lvlJc w:val="left"/>
      <w:lvlText w:val="(%1)"/>
      <w:numFmt w:val="lowerLetter"/>
      <w:start w:val="6"/>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lowerRoman"/>
      <w:start w:val="2"/>
    </w:lvl>
  </w:abstractNum>
  <w:abstractNum w:abstractNumId="85">
    <w:nsid w:val="94211F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2020-06-17T07:10:21Z</dcterms:created>
  <dcterms:modified xsi:type="dcterms:W3CDTF">2020-06-17T07:10:21Z</dcterms:modified>
</cp:coreProperties>
</file>