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589280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657860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60" w:right="299" w:hanging="10"/>
        <w:spacing w:after="0" w:line="242" w:lineRule="auto"/>
        <w:tabs>
          <w:tab w:leader="none" w:pos="708" w:val="left"/>
        </w:tabs>
        <w:numPr>
          <w:ilvl w:val="0"/>
          <w:numId w:val="1"/>
        </w:numPr>
        <w:rPr>
          <w:rFonts w:ascii="Arial" w:cs="Arial" w:eastAsia="Arial" w:hAnsi="Arial"/>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31" w:lineRule="exact"/>
        <w:rPr>
          <w:sz w:val="24"/>
          <w:szCs w:val="24"/>
          <w:color w:val="auto"/>
        </w:rPr>
      </w:pPr>
    </w:p>
    <w:p>
      <w:pPr>
        <w:ind w:left="60" w:right="279" w:hanging="10"/>
        <w:spacing w:after="0" w:line="242" w:lineRule="auto"/>
        <w:tabs>
          <w:tab w:leader="none" w:pos="708" w:val="left"/>
        </w:tabs>
        <w:numPr>
          <w:ilvl w:val="0"/>
          <w:numId w:val="2"/>
        </w:numPr>
        <w:rPr>
          <w:rFonts w:ascii="Arial" w:cs="Arial" w:eastAsia="Arial" w:hAnsi="Arial"/>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XWELL,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4640" w:type="dxa"/>
            <w:vAlign w:val="bottom"/>
          </w:tcPr>
          <w:p>
            <w:pPr>
              <w:jc w:val="center"/>
              <w:ind w:right="9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right"/>
              <w:ind w:right="15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4640" w:type="dxa"/>
            <w:vAlign w:val="bottom"/>
          </w:tcPr>
          <w:p>
            <w:pPr>
              <w:jc w:val="center"/>
              <w:ind w:right="950"/>
              <w:spacing w:after="0"/>
              <w:rPr>
                <w:sz w:val="20"/>
                <w:szCs w:val="20"/>
                <w:color w:val="auto"/>
              </w:rPr>
            </w:pPr>
            <w:r>
              <w:rPr>
                <w:rFonts w:ascii="Arial" w:cs="Arial" w:eastAsia="Arial" w:hAnsi="Arial"/>
                <w:sz w:val="18"/>
                <w:szCs w:val="18"/>
                <w:color w:val="auto"/>
                <w:w w:val="92"/>
              </w:rPr>
              <w:t>(State or other jurisdiction of</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4640" w:type="dxa"/>
            <w:vAlign w:val="bottom"/>
          </w:tcPr>
          <w:p>
            <w:pPr>
              <w:jc w:val="center"/>
              <w:ind w:right="950"/>
              <w:spacing w:after="0"/>
              <w:rPr>
                <w:sz w:val="20"/>
                <w:szCs w:val="20"/>
                <w:color w:val="auto"/>
              </w:rPr>
            </w:pPr>
            <w:r>
              <w:rPr>
                <w:rFonts w:ascii="Arial" w:cs="Arial" w:eastAsia="Arial" w:hAnsi="Arial"/>
                <w:sz w:val="18"/>
                <w:szCs w:val="18"/>
                <w:color w:val="auto"/>
                <w:w w:val="92"/>
              </w:rPr>
              <w:t>incorporation or organization)</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323"/>
        </w:trPr>
        <w:tc>
          <w:tcPr>
            <w:tcW w:w="4640" w:type="dxa"/>
            <w:vAlign w:val="bottom"/>
          </w:tcPr>
          <w:p>
            <w:pPr>
              <w:jc w:val="center"/>
              <w:ind w:right="950"/>
              <w:spacing w:after="0"/>
              <w:rPr>
                <w:sz w:val="20"/>
                <w:szCs w:val="20"/>
                <w:color w:val="auto"/>
              </w:rPr>
            </w:pPr>
            <w:r>
              <w:rPr>
                <w:rFonts w:ascii="Arial" w:cs="Arial" w:eastAsia="Arial" w:hAnsi="Arial"/>
                <w:sz w:val="18"/>
                <w:szCs w:val="18"/>
                <w:b w:val="1"/>
                <w:bCs w:val="1"/>
                <w:color w:val="auto"/>
                <w:w w:val="90"/>
              </w:rPr>
              <w:t>254 West 31</w:t>
            </w:r>
            <w:r>
              <w:rPr>
                <w:rFonts w:ascii="Arial" w:cs="Arial" w:eastAsia="Arial" w:hAnsi="Arial"/>
                <w:sz w:val="26"/>
                <w:szCs w:val="26"/>
                <w:b w:val="1"/>
                <w:bCs w:val="1"/>
                <w:color w:val="auto"/>
                <w:w w:val="90"/>
                <w:vertAlign w:val="superscript"/>
              </w:rPr>
              <w:t>st</w:t>
            </w:r>
            <w:r>
              <w:rPr>
                <w:rFonts w:ascii="Arial" w:cs="Arial" w:eastAsia="Arial" w:hAnsi="Arial"/>
                <w:sz w:val="18"/>
                <w:szCs w:val="18"/>
                <w:b w:val="1"/>
                <w:bCs w:val="1"/>
                <w:color w:val="auto"/>
                <w:w w:val="90"/>
              </w:rPr>
              <w:t xml:space="preserve"> Street, 11th Floor, New York, NY</w:t>
            </w:r>
          </w:p>
        </w:tc>
        <w:tc>
          <w:tcPr>
            <w:tcW w:w="23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10001</w:t>
            </w:r>
          </w:p>
        </w:tc>
      </w:tr>
      <w:tr>
        <w:trPr>
          <w:trHeight w:val="230"/>
        </w:trPr>
        <w:tc>
          <w:tcPr>
            <w:tcW w:w="4640" w:type="dxa"/>
            <w:vAlign w:val="bottom"/>
          </w:tcPr>
          <w:p>
            <w:pPr>
              <w:jc w:val="center"/>
              <w:ind w:right="97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bl>
    <w:p>
      <w:pPr>
        <w:spacing w:after="0" w:line="76" w:lineRule="exact"/>
        <w:rPr>
          <w:sz w:val="24"/>
          <w:szCs w:val="24"/>
          <w:color w:val="auto"/>
        </w:rPr>
      </w:pPr>
    </w:p>
    <w:p>
      <w:pPr>
        <w:ind w:left="19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750-9595</w:t>
      </w:r>
    </w:p>
    <w:p>
      <w:pPr>
        <w:spacing w:after="0" w:line="131"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3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8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XWEL</w:t>
            </w:r>
          </w:p>
        </w:tc>
        <w:tc>
          <w:tcPr>
            <w:tcW w:w="18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52" w:lineRule="exact"/>
        <w:rPr>
          <w:sz w:val="24"/>
          <w:szCs w:val="24"/>
          <w:color w:val="auto"/>
        </w:rPr>
      </w:pPr>
    </w:p>
    <w:p>
      <w:pPr>
        <w:jc w:val="both"/>
        <w:ind w:left="60" w:right="79"/>
        <w:spacing w:after="0" w:line="229"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w:t>
      </w:r>
    </w:p>
    <w:p>
      <w:pPr>
        <w:spacing w:after="0" w:line="1" w:lineRule="exact"/>
        <w:rPr>
          <w:sz w:val="24"/>
          <w:szCs w:val="24"/>
          <w:color w:val="auto"/>
        </w:rPr>
      </w:pPr>
    </w:p>
    <w:p>
      <w:pPr>
        <w:ind w:left="60"/>
        <w:spacing w:after="0" w:line="242" w:lineRule="exact"/>
        <w:tabs>
          <w:tab w:leader="none" w:pos="8300" w:val="left"/>
        </w:tabs>
        <w:rPr>
          <w:sz w:val="20"/>
          <w:szCs w:val="20"/>
          <w:color w:val="auto"/>
        </w:rPr>
      </w:pPr>
      <w:r>
        <w:rPr>
          <w:rFonts w:ascii="Arial" w:cs="Arial" w:eastAsia="Arial" w:hAnsi="Arial"/>
          <w:sz w:val="17"/>
          <w:szCs w:val="17"/>
          <w:color w:val="auto"/>
        </w:rPr>
        <w:t xml:space="preserve">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sz w:val="20"/>
          <w:szCs w:val="20"/>
          <w:color w:val="auto"/>
        </w:rPr>
        <w:tab/>
      </w:r>
      <w:r>
        <w:rPr>
          <w:rFonts w:ascii="Arial" w:cs="Arial" w:eastAsia="Arial" w:hAnsi="Arial"/>
          <w:sz w:val="18"/>
          <w:szCs w:val="18"/>
          <w:color w:val="auto"/>
        </w:rPr>
        <w:t xml:space="preserve">No </w:t>
      </w:r>
      <w:r>
        <w:rPr>
          <w:rFonts w:ascii="Arial Unicode MS" w:cs="Arial Unicode MS" w:eastAsia="Arial Unicode MS" w:hAnsi="Arial Unicode MS"/>
          <w:sz w:val="18"/>
          <w:szCs w:val="18"/>
          <w:color w:val="auto"/>
        </w:rPr>
        <w:t>☐</w:t>
      </w:r>
    </w:p>
    <w:p>
      <w:pPr>
        <w:spacing w:after="0" w:line="46" w:lineRule="exact"/>
        <w:rPr>
          <w:sz w:val="24"/>
          <w:szCs w:val="24"/>
          <w:color w:val="auto"/>
        </w:rPr>
      </w:pPr>
    </w:p>
    <w:p>
      <w:pPr>
        <w:jc w:val="both"/>
        <w:ind w:left="60" w:right="59"/>
        <w:spacing w:after="0" w:line="20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53" w:lineRule="exact"/>
        <w:rPr>
          <w:sz w:val="24"/>
          <w:szCs w:val="24"/>
          <w:color w:val="auto"/>
        </w:rPr>
      </w:pPr>
    </w:p>
    <w:p>
      <w:pPr>
        <w:jc w:val="both"/>
        <w:ind w:left="60" w:right="79"/>
        <w:spacing w:after="0" w:line="23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4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40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216" w:lineRule="exact"/>
              <w:rPr>
                <w:sz w:val="20"/>
                <w:szCs w:val="20"/>
                <w:color w:val="auto"/>
              </w:rPr>
            </w:pPr>
            <w:r>
              <w:rPr>
                <w:rFonts w:ascii="Arial Unicode MS" w:cs="Arial Unicode MS" w:eastAsia="Arial Unicode MS" w:hAnsi="Arial Unicode MS"/>
                <w:sz w:val="18"/>
                <w:szCs w:val="18"/>
                <w:color w:val="auto"/>
                <w:highlight w:val="black"/>
              </w:rPr>
              <w:t>☒</w:t>
            </w:r>
          </w:p>
        </w:tc>
      </w:tr>
      <w:tr>
        <w:trPr>
          <w:trHeight w:val="303"/>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80" w:type="dxa"/>
            <w:vAlign w:val="bottom"/>
          </w:tcPr>
          <w:p>
            <w:pPr>
              <w:ind w:left="14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61" w:lineRule="exact"/>
        <w:rPr>
          <w:sz w:val="24"/>
          <w:szCs w:val="24"/>
          <w:color w:val="auto"/>
        </w:rPr>
      </w:pPr>
    </w:p>
    <w:p>
      <w:pPr>
        <w:jc w:val="both"/>
        <w:ind w:left="60" w:right="59"/>
        <w:spacing w:after="0" w:line="20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53" w:lineRule="exact"/>
        <w:rPr>
          <w:sz w:val="24"/>
          <w:szCs w:val="24"/>
          <w:color w:val="auto"/>
        </w:rPr>
      </w:pPr>
    </w:p>
    <w:p>
      <w:pPr>
        <w:ind w:left="60" w:right="259"/>
        <w:spacing w:after="0" w:line="21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39" w:lineRule="exact"/>
        <w:rPr>
          <w:sz w:val="24"/>
          <w:szCs w:val="24"/>
          <w:color w:val="auto"/>
        </w:rPr>
      </w:pPr>
    </w:p>
    <w:p>
      <w:pPr>
        <w:ind w:left="60"/>
        <w:spacing w:after="0"/>
        <w:rPr>
          <w:sz w:val="20"/>
          <w:szCs w:val="20"/>
          <w:color w:val="auto"/>
        </w:rPr>
      </w:pPr>
      <w:r>
        <w:rPr>
          <w:rFonts w:ascii="Arial" w:cs="Arial" w:eastAsia="Arial" w:hAnsi="Arial"/>
          <w:sz w:val="18"/>
          <w:szCs w:val="18"/>
          <w:color w:val="auto"/>
        </w:rPr>
        <w:t>As of August 10, 2023, 83,487,663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537845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92075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134620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XWELL,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80" w:type="dxa"/>
            <w:vAlign w:val="bottom"/>
            <w:gridSpan w:val="9"/>
            <w:vMerge w:val="restart"/>
          </w:tcPr>
          <w:p>
            <w:pPr>
              <w:spacing w:after="0"/>
              <w:rPr>
                <w:sz w:val="20"/>
                <w:szCs w:val="20"/>
                <w:color w:val="auto"/>
              </w:rPr>
            </w:pPr>
            <w:r>
              <w:rPr>
                <w:rFonts w:ascii="Arial" w:cs="Arial" w:eastAsia="Arial" w:hAnsi="Arial"/>
                <w:sz w:val="18"/>
                <w:szCs w:val="18"/>
                <w:color w:val="0000EE"/>
                <w:w w:val="97"/>
              </w:rPr>
              <w:t>PART I. FINANCIAL INFORMATION</w:t>
            </w:r>
          </w:p>
        </w:tc>
        <w:tc>
          <w:tcPr>
            <w:tcW w:w="5480" w:type="dxa"/>
            <w:vAlign w:val="bottom"/>
            <w:gridSpan w:val="5"/>
            <w:vMerge w:val="restart"/>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880" w:type="dxa"/>
            <w:vAlign w:val="bottom"/>
            <w:tcBorders>
              <w:bottom w:val="single" w:sz="8" w:color="0000EE"/>
            </w:tcBorders>
            <w:gridSpan w:val="9"/>
            <w:vMerge w:val="continue"/>
          </w:tcPr>
          <w:p>
            <w:pPr>
              <w:spacing w:after="0"/>
              <w:rPr>
                <w:sz w:val="13"/>
                <w:szCs w:val="13"/>
                <w:color w:val="auto"/>
              </w:rPr>
            </w:pPr>
          </w:p>
        </w:tc>
        <w:tc>
          <w:tcPr>
            <w:tcW w:w="5480" w:type="dxa"/>
            <w:vAlign w:val="bottom"/>
            <w:gridSpan w:val="5"/>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6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7500" w:type="dxa"/>
            <w:vAlign w:val="bottom"/>
            <w:gridSpan w:val="11"/>
          </w:tcPr>
          <w:p>
            <w:pPr>
              <w:spacing w:after="0"/>
              <w:rPr>
                <w:sz w:val="20"/>
                <w:szCs w:val="20"/>
                <w:color w:val="auto"/>
              </w:rPr>
            </w:pPr>
            <w:r>
              <w:rPr>
                <w:rFonts w:ascii="Arial" w:cs="Arial" w:eastAsia="Arial" w:hAnsi="Arial"/>
                <w:sz w:val="18"/>
                <w:szCs w:val="18"/>
                <w:color w:val="0000EE"/>
              </w:rPr>
              <w:t>Condensed Consolidated Financial Statements (Unaudited)</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Controls and Procedures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360" w:type="dxa"/>
            <w:vAlign w:val="bottom"/>
            <w:gridSpan w:val="14"/>
          </w:tcPr>
          <w:p>
            <w:pPr>
              <w:spacing w:after="0"/>
              <w:rPr>
                <w:sz w:val="20"/>
                <w:szCs w:val="20"/>
                <w:color w:val="auto"/>
              </w:rPr>
            </w:pPr>
            <w:r>
              <w:rPr>
                <w:rFonts w:ascii="Arial" w:cs="Arial" w:eastAsia="Arial" w:hAnsi="Arial"/>
                <w:sz w:val="18"/>
                <w:szCs w:val="18"/>
                <w:color w:val="0000EE"/>
              </w:rPr>
              <w:t>PART II. OTHER INFORMATION</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8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Item 1.</w:t>
            </w:r>
          </w:p>
        </w:tc>
        <w:tc>
          <w:tcPr>
            <w:tcW w:w="17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EE"/>
              </w:rPr>
              <w:t>Legal Proceedings</w:t>
            </w:r>
          </w:p>
        </w:tc>
        <w:tc>
          <w:tcPr>
            <w:tcW w:w="580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Item 1A.</w:t>
            </w:r>
          </w:p>
        </w:tc>
        <w:tc>
          <w:tcPr>
            <w:tcW w:w="2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Risk Factors</w:t>
            </w:r>
          </w:p>
        </w:tc>
        <w:tc>
          <w:tcPr>
            <w:tcW w:w="658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3.</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Mine Safety Disclosures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5.</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Other Information</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sz w:val="20"/>
                <w:szCs w:val="20"/>
                <w:color w:val="auto"/>
              </w:rPr>
            </w:pPr>
            <w:r>
              <w:rPr>
                <w:rFonts w:ascii="Arial" w:cs="Arial" w:eastAsia="Arial" w:hAnsi="Arial"/>
                <w:sz w:val="18"/>
                <w:szCs w:val="18"/>
                <w:color w:val="0000EE"/>
              </w:rPr>
              <w:t>Item 6.</w:t>
            </w:r>
          </w:p>
        </w:tc>
        <w:tc>
          <w:tcPr>
            <w:tcW w:w="7500" w:type="dxa"/>
            <w:vAlign w:val="bottom"/>
            <w:gridSpan w:val="11"/>
          </w:tcPr>
          <w:p>
            <w:pPr>
              <w:spacing w:after="0" w:line="196" w:lineRule="exact"/>
              <w:rPr>
                <w:sz w:val="20"/>
                <w:szCs w:val="20"/>
                <w:color w:val="auto"/>
              </w:rPr>
            </w:pPr>
            <w:r>
              <w:rPr>
                <w:rFonts w:ascii="Arial" w:cs="Arial" w:eastAsia="Arial" w:hAnsi="Arial"/>
                <w:sz w:val="18"/>
                <w:szCs w:val="18"/>
                <w:color w:val="0000EE"/>
              </w:rPr>
              <w:t>Exhibits</w:t>
            </w: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11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XWELL,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4"/>
                <w:szCs w:val="14"/>
                <w:color w:val="auto"/>
              </w:rPr>
            </w:pPr>
          </w:p>
        </w:tc>
        <w:tc>
          <w:tcPr>
            <w:tcW w:w="9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Current assets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3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6,378</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19,038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Marketable Securities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25,526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1,934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Inventory</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current assets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36,128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47,332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3,867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4"/>
                <w:szCs w:val="14"/>
                <w:color w:val="auto"/>
              </w:rPr>
              <w:t>Operating lease right of use assets, net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6,392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8,276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1,715</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56,587</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4"/>
                <w:szCs w:val="14"/>
                <w:color w:val="auto"/>
              </w:rPr>
              <w:t>Accounts payable</w:t>
            </w:r>
          </w:p>
        </w:tc>
        <w:tc>
          <w:tcPr>
            <w:tcW w:w="36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2,164</w:t>
            </w:r>
          </w:p>
        </w:tc>
        <w:tc>
          <w:tcPr>
            <w:tcW w:w="4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4"/>
                <w:szCs w:val="14"/>
                <w:color w:val="auto"/>
              </w:rPr>
              <w:t>Current portion of operating lease liabilities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2,243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revenue</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9,266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10,956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4"/>
                <w:szCs w:val="14"/>
                <w:b w:val="1"/>
                <w:bCs w:val="1"/>
                <w:color w:val="auto"/>
              </w:rPr>
              <w:t>Long-term liabilities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10,321</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19,587</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22,477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Commitments and contingencies (see Note 13)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00" w:type="dxa"/>
            <w:vAlign w:val="bottom"/>
          </w:tcPr>
          <w:p>
            <w:pPr>
              <w:spacing w:after="0" w:line="130" w:lineRule="exact"/>
              <w:rPr>
                <w:sz w:val="20"/>
                <w:szCs w:val="20"/>
                <w:color w:val="auto"/>
              </w:rPr>
            </w:pPr>
            <w:r>
              <w:rPr>
                <w:rFonts w:ascii="Arial" w:cs="Arial" w:eastAsia="Arial" w:hAnsi="Arial"/>
                <w:sz w:val="14"/>
                <w:szCs w:val="14"/>
                <w:color w:val="auto"/>
                <w:w w:val="94"/>
              </w:rPr>
              <w:t>Common Stock, $0.01 par value per share, 150,000,000 shares authorized; 83,418,535 and 83,232,262 shares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20" w:type="dxa"/>
            <w:vAlign w:val="bottom"/>
            <w:gridSpan w:val="2"/>
          </w:tcPr>
          <w:p>
            <w:pPr>
              <w:spacing w:after="0"/>
              <w:rPr>
                <w:sz w:val="20"/>
                <w:szCs w:val="20"/>
                <w:color w:val="auto"/>
              </w:rPr>
            </w:pPr>
            <w:r>
              <w:rPr>
                <w:rFonts w:ascii="Arial" w:cs="Arial" w:eastAsia="Arial" w:hAnsi="Arial"/>
                <w:sz w:val="14"/>
                <w:szCs w:val="14"/>
                <w:color w:val="auto"/>
              </w:rPr>
              <w:t>issued and outstanding as of June 30, 2023 and December 31, 2022, respectively</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468,909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467,740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(439,351)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(428,112)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(1,128)</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line="142" w:lineRule="exact"/>
              <w:rPr>
                <w:sz w:val="20"/>
                <w:szCs w:val="20"/>
                <w:color w:val="auto"/>
              </w:rPr>
            </w:pPr>
            <w:r>
              <w:rPr>
                <w:rFonts w:ascii="Arial" w:cs="Arial" w:eastAsia="Arial" w:hAnsi="Arial"/>
                <w:sz w:val="14"/>
                <w:szCs w:val="14"/>
                <w:b w:val="1"/>
                <w:bCs w:val="1"/>
                <w:color w:val="auto"/>
              </w:rPr>
              <w:t>Total equity attributable to XWELL, Inc.</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29,263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39,926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interests</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7,737</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equity</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37,000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47,949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 and equity</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56,587</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form an integral part of these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XWELL, Inc. and Subsidiaries</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CONDENSED CONSOLIDATED STATEMENTS OF OPERATIONS AND COMPREHENSIVE LOSS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tcPr>
          <w:p>
            <w:pPr>
              <w:jc w:val="right"/>
              <w:spacing w:after="0"/>
              <w:rPr>
                <w:sz w:val="20"/>
                <w:szCs w:val="20"/>
                <w:color w:val="auto"/>
              </w:rPr>
            </w:pPr>
            <w:r>
              <w:rPr>
                <w:rFonts w:ascii="Arial" w:cs="Arial" w:eastAsia="Arial" w:hAnsi="Arial"/>
                <w:sz w:val="16"/>
                <w:szCs w:val="16"/>
                <w:b w:val="1"/>
                <w:bCs w:val="1"/>
                <w:color w:val="auto"/>
                <w:w w:val="89"/>
              </w:rPr>
              <w:t>Three months ended June 30,</w:t>
            </w:r>
          </w:p>
        </w:tc>
        <w:tc>
          <w:tcPr>
            <w:tcW w:w="180" w:type="dxa"/>
            <w:vAlign w:val="bottom"/>
          </w:tcPr>
          <w:p>
            <w:pPr>
              <w:spacing w:after="0"/>
              <w:rPr>
                <w:sz w:val="18"/>
                <w:szCs w:val="18"/>
                <w:color w:val="auto"/>
              </w:rPr>
            </w:pPr>
          </w:p>
        </w:tc>
        <w:tc>
          <w:tcPr>
            <w:tcW w:w="2180" w:type="dxa"/>
            <w:vAlign w:val="bottom"/>
            <w:gridSpan w:val="6"/>
          </w:tcPr>
          <w:p>
            <w:pPr>
              <w:ind w:left="6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 net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Patient services revenue</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7,732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27,121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Services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Products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HyperPointe Services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revenue, net</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8,175</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13,597</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37,645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60" w:type="dxa"/>
            <w:vAlign w:val="bottom"/>
          </w:tcPr>
          <w:p>
            <w:pPr>
              <w:spacing w:after="0"/>
              <w:rPr>
                <w:sz w:val="20"/>
                <w:szCs w:val="20"/>
                <w:color w:val="auto"/>
              </w:rPr>
            </w:pPr>
            <w:r>
              <w:rPr>
                <w:rFonts w:ascii="Arial" w:cs="Arial" w:eastAsia="Arial" w:hAnsi="Arial"/>
                <w:sz w:val="16"/>
                <w:szCs w:val="16"/>
                <w:b w:val="1"/>
                <w:bCs w:val="1"/>
                <w:color w:val="auto"/>
              </w:rPr>
              <w:t>Cost of sales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Labor</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Occupancy</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Products and other operating costs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5,618</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14,135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Total cost of sales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12,357</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27,404</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10,241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2,765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Loss (gain) on disposal of assets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Advertising and promotion expense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2,833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IT/Hosting services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general and administrative expenses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5,497</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10,298</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13,407</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operating expenses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5,914</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9,007</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(4,724)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(7,767)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(11,012)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income, net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ind w:left="80"/>
              <w:spacing w:after="0"/>
              <w:rPr>
                <w:sz w:val="20"/>
                <w:szCs w:val="20"/>
                <w:color w:val="auto"/>
              </w:rPr>
            </w:pPr>
            <w:r>
              <w:rPr>
                <w:rFonts w:ascii="Arial" w:cs="Arial" w:eastAsia="Arial" w:hAnsi="Arial"/>
                <w:sz w:val="16"/>
                <w:szCs w:val="16"/>
                <w:color w:val="auto"/>
              </w:rPr>
              <w:t>Realized and unrealized foreign exchange loss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Gain on Securities, realized and unrealized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non-operating expense, net</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before income taxes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Net (income) loss attributable to noncontrolling interests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loss attributable to XWELL, Inc.</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(5,730)</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(7,918)</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(12,201)</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Other comprehensive loss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Comprehensive loss</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(6,143)</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(8,032)</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(10,835)</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Loss per share</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Basic and diluted loss per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spacing w:after="0" w:line="182" w:lineRule="exact"/>
              <w:rPr>
                <w:sz w:val="20"/>
                <w:szCs w:val="20"/>
                <w:color w:val="auto"/>
              </w:rPr>
            </w:pPr>
            <w:r>
              <w:rPr>
                <w:rFonts w:ascii="Arial" w:cs="Arial" w:eastAsia="Arial" w:hAnsi="Arial"/>
                <w:sz w:val="16"/>
                <w:szCs w:val="16"/>
                <w:b w:val="1"/>
                <w:bCs w:val="1"/>
                <w:color w:val="auto"/>
                <w:w w:val="93"/>
              </w:rPr>
              <w:t>Weighted-average number of shares outstanding during the</w:t>
            </w: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spacing w:after="0"/>
              <w:rPr>
                <w:sz w:val="20"/>
                <w:szCs w:val="20"/>
                <w:color w:val="auto"/>
              </w:rPr>
            </w:pPr>
            <w:r>
              <w:rPr>
                <w:rFonts w:ascii="Arial" w:cs="Arial" w:eastAsia="Arial" w:hAnsi="Arial"/>
                <w:sz w:val="16"/>
                <w:szCs w:val="16"/>
                <w:b w:val="1"/>
                <w:bCs w:val="1"/>
                <w:color w:val="auto"/>
              </w:rPr>
              <w:t>period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Basic and diluted</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83,410,562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95,352,025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83,378,408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98,458,153</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XWELL,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CHANGES IN 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80" w:type="dxa"/>
            <w:vAlign w:val="bottom"/>
            <w:gridSpan w:val="10"/>
          </w:tcPr>
          <w:p>
            <w:pPr>
              <w:jc w:val="right"/>
              <w:ind w:right="240"/>
              <w:spacing w:after="0"/>
              <w:rPr>
                <w:sz w:val="20"/>
                <w:szCs w:val="20"/>
                <w:color w:val="auto"/>
              </w:rPr>
            </w:pPr>
            <w:r>
              <w:rPr>
                <w:rFonts w:ascii="Arial" w:cs="Arial" w:eastAsia="Arial" w:hAnsi="Arial"/>
                <w:sz w:val="13"/>
                <w:szCs w:val="13"/>
                <w:b w:val="1"/>
                <w:bCs w:val="1"/>
                <w:color w:val="auto"/>
                <w:w w:val="95"/>
              </w:rPr>
              <w:t>(In thousands, except share and per share data)</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9"/>
                <w:szCs w:val="19"/>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9"/>
                <w:szCs w:val="19"/>
                <w:color w:val="auto"/>
              </w:rPr>
            </w:pP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Non-</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50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132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Treasury Stock</w:t>
            </w:r>
          </w:p>
        </w:tc>
        <w:tc>
          <w:tcPr>
            <w:tcW w:w="800" w:type="dxa"/>
            <w:vAlign w:val="bottom"/>
            <w:gridSpan w:val="2"/>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1500" w:type="dxa"/>
            <w:vAlign w:val="bottom"/>
            <w:gridSpan w:val="5"/>
            <w:vMerge w:val="continue"/>
          </w:tcPr>
          <w:p>
            <w:pPr>
              <w:spacing w:after="0"/>
              <w:rPr>
                <w:sz w:val="14"/>
                <w:szCs w:val="14"/>
                <w:color w:val="auto"/>
              </w:rPr>
            </w:pPr>
          </w:p>
        </w:tc>
        <w:tc>
          <w:tcPr>
            <w:tcW w:w="1320" w:type="dxa"/>
            <w:vAlign w:val="bottom"/>
            <w:gridSpan w:val="5"/>
            <w:vMerge w:val="continue"/>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paid-</w:t>
            </w:r>
          </w:p>
        </w:tc>
        <w:tc>
          <w:tcPr>
            <w:tcW w:w="960" w:type="dxa"/>
            <w:vAlign w:val="bottom"/>
            <w:gridSpan w:val="3"/>
            <w:vMerge w:val="continue"/>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comprehensive</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Company</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controlling</w:t>
            </w: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8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6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80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8"/>
              </w:rPr>
              <w:t>in capital</w:t>
            </w:r>
          </w:p>
        </w:tc>
        <w:tc>
          <w:tcPr>
            <w:tcW w:w="180" w:type="dxa"/>
            <w:vAlign w:val="bottom"/>
          </w:tcPr>
          <w:p>
            <w:pPr>
              <w:spacing w:after="0"/>
              <w:rPr>
                <w:sz w:val="12"/>
                <w:szCs w:val="12"/>
                <w:color w:val="auto"/>
              </w:rPr>
            </w:pPr>
          </w:p>
        </w:tc>
        <w:tc>
          <w:tcPr>
            <w:tcW w:w="78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deficit</w:t>
            </w:r>
          </w:p>
        </w:tc>
        <w:tc>
          <w:tcPr>
            <w:tcW w:w="220" w:type="dxa"/>
            <w:vAlign w:val="bottom"/>
          </w:tcPr>
          <w:p>
            <w:pPr>
              <w:spacing w:after="0"/>
              <w:rPr>
                <w:sz w:val="12"/>
                <w:szCs w:val="12"/>
                <w:color w:val="auto"/>
              </w:rPr>
            </w:pPr>
          </w:p>
        </w:tc>
        <w:tc>
          <w:tcPr>
            <w:tcW w:w="8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78"/>
              </w:rPr>
              <w:t>loss</w:t>
            </w:r>
          </w:p>
        </w:tc>
        <w:tc>
          <w:tcPr>
            <w:tcW w:w="120" w:type="dxa"/>
            <w:vAlign w:val="bottom"/>
          </w:tcPr>
          <w:p>
            <w:pPr>
              <w:spacing w:after="0"/>
              <w:rPr>
                <w:sz w:val="12"/>
                <w:szCs w:val="12"/>
                <w:color w:val="auto"/>
              </w:rPr>
            </w:pPr>
          </w:p>
        </w:tc>
        <w:tc>
          <w:tcPr>
            <w:tcW w:w="6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2"/>
              </w:rPr>
              <w:t>equity</w:t>
            </w:r>
          </w:p>
        </w:tc>
        <w:tc>
          <w:tcPr>
            <w:tcW w:w="8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interests</w:t>
            </w:r>
          </w:p>
        </w:tc>
        <w:tc>
          <w:tcPr>
            <w:tcW w:w="56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1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2022</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83,232,262</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832</w:t>
            </w: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$ 467,740</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(428,112)</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39,926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8,023</w:t>
            </w: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$ 47,949</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Issuance of restricted</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stock units</w:t>
            </w:r>
          </w:p>
        </w:tc>
        <w:tc>
          <w:tcPr>
            <w:tcW w:w="700" w:type="dxa"/>
            <w:vAlign w:val="bottom"/>
          </w:tcPr>
          <w:p>
            <w:pPr>
              <w:jc w:val="right"/>
              <w:spacing w:after="0"/>
              <w:rPr>
                <w:sz w:val="20"/>
                <w:szCs w:val="20"/>
                <w:color w:val="auto"/>
              </w:rPr>
            </w:pPr>
            <w:r>
              <w:rPr>
                <w:rFonts w:ascii="Arial" w:cs="Arial" w:eastAsia="Arial" w:hAnsi="Arial"/>
                <w:sz w:val="14"/>
                <w:szCs w:val="14"/>
                <w:color w:val="auto"/>
              </w:rPr>
              <w:t>120,318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Value of shares withheld</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to fund payroll taxes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color w:val="auto"/>
                <w:w w:val="99"/>
              </w:rPr>
              <w:t>Stock-based compensation</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589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589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(5,509)</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(5,509)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(5,829)</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translation</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(130)</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2"/>
        </w:trPr>
        <w:tc>
          <w:tcPr>
            <w:tcW w:w="1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March 31, 2023</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83,352,580</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833</w:t>
            </w: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$ 468,306</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(433,621)</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34,854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7,737</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$ 42,591</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Issuance of restricted</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stock units</w:t>
            </w:r>
          </w:p>
        </w:tc>
        <w:tc>
          <w:tcPr>
            <w:tcW w:w="700" w:type="dxa"/>
            <w:vAlign w:val="bottom"/>
          </w:tcPr>
          <w:p>
            <w:pPr>
              <w:jc w:val="right"/>
              <w:spacing w:after="0"/>
              <w:rPr>
                <w:sz w:val="20"/>
                <w:szCs w:val="20"/>
                <w:color w:val="auto"/>
              </w:rPr>
            </w:pPr>
            <w:r>
              <w:rPr>
                <w:rFonts w:ascii="Arial" w:cs="Arial" w:eastAsia="Arial" w:hAnsi="Arial"/>
                <w:sz w:val="14"/>
                <w:szCs w:val="14"/>
                <w:color w:val="auto"/>
              </w:rPr>
              <w:t>65,955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Stock-based compensation</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Distributions to</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(120)</w:t>
            </w:r>
          </w:p>
        </w:tc>
        <w:tc>
          <w:tcPr>
            <w:tcW w:w="56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(464)</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(464)</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(5,730)</w:t>
            </w:r>
          </w:p>
        </w:tc>
        <w:tc>
          <w:tcPr>
            <w:tcW w:w="2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(5,730)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(5,679)</w:t>
            </w:r>
          </w:p>
        </w:tc>
        <w:tc>
          <w:tcPr>
            <w:tcW w:w="0" w:type="dxa"/>
            <w:vAlign w:val="bottom"/>
          </w:tcPr>
          <w:p>
            <w:pPr>
              <w:spacing w:after="0"/>
              <w:rPr>
                <w:sz w:val="1"/>
                <w:szCs w:val="1"/>
                <w:color w:val="auto"/>
              </w:rPr>
            </w:pPr>
          </w:p>
        </w:tc>
      </w:tr>
      <w:tr>
        <w:trPr>
          <w:trHeight w:val="142"/>
        </w:trPr>
        <w:tc>
          <w:tcPr>
            <w:tcW w:w="17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June 30, 2023</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83,418,535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$ 468,909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(439,351)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29,263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7,737</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$ 37,000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357505</wp:posOffset>
            </wp:positionV>
            <wp:extent cx="598360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500"/>
          </w:cols>
          <w:pgMar w:left="1180" w:top="517" w:right="121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XWELL,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3"/>
            <w:vMerge w:val="restart"/>
          </w:tcPr>
          <w:p>
            <w:pPr>
              <w:jc w:val="center"/>
              <w:ind w:left="8"/>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6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1360" w:type="dxa"/>
            <w:vAlign w:val="bottom"/>
            <w:gridSpan w:val="4"/>
            <w:vMerge w:val="restart"/>
          </w:tcPr>
          <w:p>
            <w:pPr>
              <w:jc w:val="right"/>
              <w:ind w:right="148"/>
              <w:spacing w:after="0"/>
              <w:rPr>
                <w:sz w:val="20"/>
                <w:szCs w:val="20"/>
                <w:color w:val="auto"/>
              </w:rPr>
            </w:pPr>
            <w:r>
              <w:rPr>
                <w:rFonts w:ascii="Arial" w:cs="Arial" w:eastAsia="Arial" w:hAnsi="Arial"/>
                <w:sz w:val="14"/>
                <w:szCs w:val="14"/>
                <w:b w:val="1"/>
                <w:bCs w:val="1"/>
                <w:color w:val="auto"/>
              </w:rPr>
              <w:t>Treasury Stock</w:t>
            </w:r>
          </w:p>
        </w:tc>
        <w:tc>
          <w:tcPr>
            <w:tcW w:w="860" w:type="dxa"/>
            <w:vAlign w:val="bottom"/>
            <w:gridSpan w:val="3"/>
            <w:vMerge w:val="continue"/>
          </w:tcPr>
          <w:p>
            <w:pPr>
              <w:spacing w:after="0"/>
              <w:rPr>
                <w:sz w:val="12"/>
                <w:szCs w:val="12"/>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Borders>
              <w:bottom w:val="single" w:sz="8" w:color="auto"/>
            </w:tcBorders>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paid-</w:t>
            </w:r>
          </w:p>
        </w:tc>
        <w:tc>
          <w:tcPr>
            <w:tcW w:w="900" w:type="dxa"/>
            <w:vAlign w:val="bottom"/>
            <w:gridSpan w:val="3"/>
            <w:vMerge w:val="continue"/>
          </w:tcPr>
          <w:p>
            <w:pPr>
              <w:spacing w:after="0"/>
              <w:rPr>
                <w:sz w:val="14"/>
                <w:szCs w:val="14"/>
                <w:color w:val="auto"/>
              </w:rPr>
            </w:pPr>
          </w:p>
        </w:tc>
        <w:tc>
          <w:tcPr>
            <w:tcW w:w="1120" w:type="dxa"/>
            <w:vAlign w:val="bottom"/>
            <w:gridSpan w:val="4"/>
          </w:tcPr>
          <w:p>
            <w:pPr>
              <w:ind w:left="140"/>
              <w:spacing w:after="0"/>
              <w:rPr>
                <w:sz w:val="20"/>
                <w:szCs w:val="20"/>
                <w:color w:val="auto"/>
              </w:rPr>
            </w:pPr>
            <w:r>
              <w:rPr>
                <w:rFonts w:ascii="Arial" w:cs="Arial" w:eastAsia="Arial" w:hAnsi="Arial"/>
                <w:sz w:val="14"/>
                <w:szCs w:val="14"/>
                <w:b w:val="1"/>
                <w:bCs w:val="1"/>
                <w:color w:val="auto"/>
                <w:w w:val="93"/>
              </w:rPr>
              <w:t>comprehensive</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w w:val="90"/>
              </w:rPr>
              <w:t>Company</w:t>
            </w:r>
          </w:p>
        </w:tc>
        <w:tc>
          <w:tcPr>
            <w:tcW w:w="900" w:type="dxa"/>
            <w:vAlign w:val="bottom"/>
            <w:gridSpan w:val="4"/>
          </w:tcPr>
          <w:p>
            <w:pPr>
              <w:ind w:left="140"/>
              <w:spacing w:after="0"/>
              <w:rPr>
                <w:sz w:val="20"/>
                <w:szCs w:val="20"/>
                <w:color w:val="auto"/>
              </w:rPr>
            </w:pPr>
            <w:r>
              <w:rPr>
                <w:rFonts w:ascii="Arial" w:cs="Arial" w:eastAsia="Arial" w:hAnsi="Arial"/>
                <w:sz w:val="14"/>
                <w:szCs w:val="14"/>
                <w:b w:val="1"/>
                <w:bCs w:val="1"/>
                <w:color w:val="auto"/>
              </w:rPr>
              <w:t>controlling</w:t>
            </w: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68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72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5"/>
              </w:rPr>
              <w:t>in 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78"/>
              </w:rPr>
              <w:t>loss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2"/>
              </w:rPr>
              <w:t>equity</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interests</w:t>
            </w:r>
          </w:p>
        </w:tc>
        <w:tc>
          <w:tcPr>
            <w:tcW w:w="80" w:type="dxa"/>
            <w:vAlign w:val="bottom"/>
          </w:tcPr>
          <w:p>
            <w:pPr>
              <w:spacing w:after="0"/>
              <w:rPr>
                <w:sz w:val="12"/>
                <w:szCs w:val="12"/>
                <w:color w:val="auto"/>
              </w:rPr>
            </w:pPr>
          </w:p>
        </w:tc>
        <w:tc>
          <w:tcPr>
            <w:tcW w:w="5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2021</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101,269,349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1,013</w:t>
            </w: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$ 487,306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(395,275)</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92,732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7,203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$ 99,935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60" w:type="dxa"/>
            <w:vAlign w:val="bottom"/>
            <w:gridSpan w:val="2"/>
          </w:tcPr>
          <w:p>
            <w:pPr>
              <w:spacing w:after="0"/>
              <w:rPr>
                <w:sz w:val="20"/>
                <w:szCs w:val="20"/>
                <w:color w:val="auto"/>
              </w:rPr>
            </w:pPr>
            <w:r>
              <w:rPr>
                <w:rFonts w:ascii="Arial" w:cs="Arial" w:eastAsia="Arial" w:hAnsi="Arial"/>
                <w:sz w:val="14"/>
                <w:szCs w:val="14"/>
                <w:color w:val="auto"/>
              </w:rPr>
              <w:t>Stock for acquisition</w:t>
            </w:r>
          </w:p>
        </w:tc>
        <w:tc>
          <w:tcPr>
            <w:tcW w:w="780" w:type="dxa"/>
            <w:vAlign w:val="bottom"/>
          </w:tcPr>
          <w:p>
            <w:pPr>
              <w:jc w:val="right"/>
              <w:spacing w:after="0"/>
              <w:rPr>
                <w:sz w:val="20"/>
                <w:szCs w:val="20"/>
                <w:color w:val="auto"/>
              </w:rPr>
            </w:pPr>
            <w:r>
              <w:rPr>
                <w:rFonts w:ascii="Arial" w:cs="Arial" w:eastAsia="Arial" w:hAnsi="Arial"/>
                <w:sz w:val="14"/>
                <w:szCs w:val="14"/>
                <w:color w:val="auto"/>
              </w:rPr>
              <w:t>552,487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901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906</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stock units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391,820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tcPr>
          <w:p>
            <w:pPr>
              <w:spacing w:after="0" w:line="130" w:lineRule="exact"/>
              <w:rPr>
                <w:sz w:val="20"/>
                <w:szCs w:val="20"/>
                <w:color w:val="auto"/>
              </w:rPr>
            </w:pPr>
            <w:r>
              <w:rPr>
                <w:rFonts w:ascii="Arial" w:cs="Arial" w:eastAsia="Arial" w:hAnsi="Arial"/>
                <w:sz w:val="14"/>
                <w:szCs w:val="14"/>
                <w:color w:val="auto"/>
              </w:rPr>
              <w:t>Value of Shares</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Withheld to fund</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60" w:type="dxa"/>
            <w:vAlign w:val="bottom"/>
            <w:gridSpan w:val="2"/>
          </w:tcPr>
          <w:p>
            <w:pPr>
              <w:spacing w:after="0"/>
              <w:rPr>
                <w:sz w:val="20"/>
                <w:szCs w:val="20"/>
                <w:color w:val="auto"/>
              </w:rPr>
            </w:pPr>
            <w:r>
              <w:rPr>
                <w:rFonts w:ascii="Arial" w:cs="Arial" w:eastAsia="Arial" w:hAnsi="Arial"/>
                <w:sz w:val="14"/>
                <w:szCs w:val="14"/>
                <w:color w:val="auto"/>
              </w:rPr>
              <w:t>payroll taxes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(4,283)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(4,283)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1,521</w:t>
            </w: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Repurchase and</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retirement of common</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(7,142,446)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(11,024)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(11,095)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60" w:type="dxa"/>
            <w:vAlign w:val="bottom"/>
            <w:gridSpan w:val="2"/>
          </w:tcPr>
          <w:p>
            <w:pPr>
              <w:spacing w:after="0"/>
              <w:rPr>
                <w:sz w:val="20"/>
                <w:szCs w:val="20"/>
                <w:color w:val="auto"/>
              </w:rPr>
            </w:pPr>
            <w:r>
              <w:rPr>
                <w:rFonts w:ascii="Arial" w:cs="Arial" w:eastAsia="Arial" w:hAnsi="Arial"/>
                <w:sz w:val="14"/>
                <w:szCs w:val="14"/>
                <w:color w:val="auto"/>
              </w:rPr>
              <w:t>translation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Distributions to</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w:t>
            </w: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interests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tcPr>
          <w:p>
            <w:pPr>
              <w:spacing w:after="0" w:line="130" w:lineRule="exact"/>
              <w:rPr>
                <w:sz w:val="20"/>
                <w:szCs w:val="20"/>
                <w:color w:val="auto"/>
              </w:rPr>
            </w:pPr>
            <w:r>
              <w:rPr>
                <w:rFonts w:ascii="Arial" w:cs="Arial" w:eastAsia="Arial" w:hAnsi="Arial"/>
                <w:sz w:val="14"/>
                <w:szCs w:val="14"/>
                <w:color w:val="auto"/>
              </w:rPr>
              <w:t>Contributions from</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noncontrolling</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60" w:type="dxa"/>
            <w:vAlign w:val="bottom"/>
            <w:gridSpan w:val="2"/>
          </w:tcPr>
          <w:p>
            <w:pPr>
              <w:spacing w:after="0"/>
              <w:rPr>
                <w:sz w:val="20"/>
                <w:szCs w:val="20"/>
                <w:color w:val="auto"/>
              </w:rPr>
            </w:pPr>
            <w:r>
              <w:rPr>
                <w:rFonts w:ascii="Arial" w:cs="Arial" w:eastAsia="Arial" w:hAnsi="Arial"/>
                <w:sz w:val="14"/>
                <w:szCs w:val="14"/>
                <w:color w:val="auto"/>
              </w:rPr>
              <w:t>interests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March 31, 2022</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95,071,210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951</w:t>
            </w:r>
          </w:p>
        </w:tc>
        <w:tc>
          <w:tcPr>
            <w:tcW w:w="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$ 478,649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(399,558)</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79,689</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8,100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$ 87,789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tcPr>
          <w:p>
            <w:pPr>
              <w:spacing w:after="0" w:line="130" w:lineRule="exact"/>
              <w:rPr>
                <w:sz w:val="20"/>
                <w:szCs w:val="20"/>
                <w:color w:val="auto"/>
              </w:rPr>
            </w:pPr>
            <w:r>
              <w:rPr>
                <w:rFonts w:ascii="Arial" w:cs="Arial" w:eastAsia="Arial" w:hAnsi="Arial"/>
                <w:sz w:val="14"/>
                <w:szCs w:val="14"/>
                <w:color w:val="auto"/>
              </w:rPr>
              <w:t>Vesting of restricted</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60" w:type="dxa"/>
            <w:vAlign w:val="bottom"/>
            <w:gridSpan w:val="2"/>
          </w:tcPr>
          <w:p>
            <w:pPr>
              <w:spacing w:after="0"/>
              <w:rPr>
                <w:sz w:val="20"/>
                <w:szCs w:val="20"/>
                <w:color w:val="auto"/>
              </w:rPr>
            </w:pPr>
            <w:r>
              <w:rPr>
                <w:rFonts w:ascii="Arial" w:cs="Arial" w:eastAsia="Arial" w:hAnsi="Arial"/>
                <w:sz w:val="14"/>
                <w:szCs w:val="14"/>
                <w:color w:val="auto"/>
              </w:rPr>
              <w:t>stock units</w:t>
            </w:r>
          </w:p>
        </w:tc>
        <w:tc>
          <w:tcPr>
            <w:tcW w:w="780" w:type="dxa"/>
            <w:vAlign w:val="bottom"/>
          </w:tcPr>
          <w:p>
            <w:pPr>
              <w:jc w:val="right"/>
              <w:spacing w:after="0"/>
              <w:rPr>
                <w:sz w:val="20"/>
                <w:szCs w:val="20"/>
                <w:color w:val="auto"/>
              </w:rPr>
            </w:pPr>
            <w:r>
              <w:rPr>
                <w:rFonts w:ascii="Arial" w:cs="Arial" w:eastAsia="Arial" w:hAnsi="Arial"/>
                <w:sz w:val="14"/>
                <w:szCs w:val="14"/>
                <w:color w:val="auto"/>
              </w:rPr>
              <w:t>289,061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Grant of stock options</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for 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60" w:type="dxa"/>
            <w:vAlign w:val="bottom"/>
            <w:gridSpan w:val="2"/>
          </w:tcPr>
          <w:p>
            <w:pPr>
              <w:spacing w:after="0"/>
              <w:rPr>
                <w:sz w:val="20"/>
                <w:szCs w:val="20"/>
                <w:color w:val="auto"/>
              </w:rPr>
            </w:pPr>
            <w:r>
              <w:rPr>
                <w:rFonts w:ascii="Arial" w:cs="Arial" w:eastAsia="Arial" w:hAnsi="Arial"/>
                <w:sz w:val="14"/>
                <w:szCs w:val="14"/>
                <w:color w:val="auto"/>
              </w:rPr>
              <w:t>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771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771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549</w:t>
            </w: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for the period</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(7,927)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tcPr>
          <w:p>
            <w:pPr>
              <w:spacing w:after="0" w:line="130" w:lineRule="exact"/>
              <w:rPr>
                <w:sz w:val="20"/>
                <w:szCs w:val="20"/>
                <w:color w:val="auto"/>
              </w:rPr>
            </w:pPr>
            <w:r>
              <w:rPr>
                <w:rFonts w:ascii="Arial" w:cs="Arial" w:eastAsia="Arial" w:hAnsi="Arial"/>
                <w:sz w:val="14"/>
                <w:szCs w:val="14"/>
                <w:color w:val="auto"/>
              </w:rPr>
              <w:t>Repurchase of</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46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94"/>
              </w:rPr>
              <w:t>(1,338,404)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9"/>
              </w:rPr>
              <w:t>(1,021)</w:t>
            </w: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(1,021)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tcPr>
          <w:p>
            <w:pPr>
              <w:spacing w:after="0" w:line="130" w:lineRule="exact"/>
              <w:rPr>
                <w:sz w:val="20"/>
                <w:szCs w:val="20"/>
                <w:color w:val="auto"/>
              </w:rPr>
            </w:pPr>
            <w:r>
              <w:rPr>
                <w:rFonts w:ascii="Arial" w:cs="Arial" w:eastAsia="Arial" w:hAnsi="Arial"/>
                <w:sz w:val="14"/>
                <w:szCs w:val="14"/>
                <w:color w:val="auto"/>
              </w:rPr>
              <w:t>Distributions to</w:t>
            </w: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60" w:type="dxa"/>
            <w:vAlign w:val="bottom"/>
            <w:gridSpan w:val="2"/>
          </w:tcPr>
          <w:p>
            <w:pPr>
              <w:spacing w:after="0" w:line="149" w:lineRule="exact"/>
              <w:rPr>
                <w:sz w:val="20"/>
                <w:szCs w:val="20"/>
                <w:color w:val="auto"/>
              </w:rPr>
            </w:pPr>
            <w:r>
              <w:rPr>
                <w:rFonts w:ascii="Arial" w:cs="Arial" w:eastAsia="Arial" w:hAnsi="Arial"/>
                <w:sz w:val="14"/>
                <w:szCs w:val="14"/>
                <w:color w:val="auto"/>
              </w:rPr>
              <w:t>noncontrolling</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60" w:type="dxa"/>
            <w:vAlign w:val="bottom"/>
            <w:gridSpan w:val="2"/>
          </w:tcPr>
          <w:p>
            <w:pPr>
              <w:spacing w:after="0"/>
              <w:rPr>
                <w:sz w:val="20"/>
                <w:szCs w:val="20"/>
                <w:color w:val="auto"/>
              </w:rPr>
            </w:pPr>
            <w:r>
              <w:rPr>
                <w:rFonts w:ascii="Arial" w:cs="Arial" w:eastAsia="Arial" w:hAnsi="Arial"/>
                <w:sz w:val="14"/>
                <w:szCs w:val="14"/>
                <w:color w:val="auto"/>
              </w:rPr>
              <w:t>interests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June 30, 2022</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95,360,271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954</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(1,338,404)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(1,021)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$ 479,432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(407,476)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71,431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8,508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$ 79,939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form an integral part of these unaudited condensed consolidated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XWELL,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w w:val="96"/>
              </w:rPr>
              <w:t>Six months ended June 30,</w:t>
            </w:r>
          </w:p>
        </w:tc>
      </w:tr>
      <w:tr>
        <w:trPr>
          <w:trHeight w:val="142"/>
        </w:trPr>
        <w:tc>
          <w:tcPr>
            <w:tcW w:w="66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2022</w:t>
            </w: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(11,508)</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(10,689)</w:t>
            </w:r>
          </w:p>
        </w:tc>
      </w:tr>
      <w:tr>
        <w:trPr>
          <w:trHeight w:val="149"/>
        </w:trPr>
        <w:tc>
          <w:tcPr>
            <w:tcW w:w="6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1,180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2,765</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Unrealized loss on foreign currency remeasurements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Loss (gain) on disposal of assets</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Unrealized gain on marketable securities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(309)</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Amortization of operating lease right of use asset</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828</w:t>
            </w:r>
          </w:p>
        </w:tc>
      </w:tr>
      <w:tr>
        <w:trPr>
          <w:trHeight w:val="149"/>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shares of Common Stock for services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1,238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2,863</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Loss on equity investment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r>
      <w:tr>
        <w:trPr>
          <w:trHeight w:val="148"/>
        </w:trPr>
        <w:tc>
          <w:tcPr>
            <w:tcW w:w="66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Changes in assets and liabilities: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 inventory</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w:t>
            </w:r>
          </w:p>
        </w:tc>
      </w:tr>
      <w:tr>
        <w:trPr>
          <w:trHeight w:val="149"/>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Decrease in accounts receivable</w:t>
            </w:r>
          </w:p>
        </w:tc>
        <w:tc>
          <w:tcPr>
            <w:tcW w:w="1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924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186</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(increase) in other assets, current and non-current</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w:t>
            </w: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Decrease in deferred revenue</w:t>
            </w: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(1,027)</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 other liabilities, current and non-current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(2,592)</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(2,803)</w:t>
            </w:r>
          </w:p>
        </w:tc>
      </w:tr>
      <w:tr>
        <w:trPr>
          <w:trHeight w:val="148"/>
        </w:trPr>
        <w:tc>
          <w:tcPr>
            <w:tcW w:w="664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Increase (decrease) in accounts payable</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185</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(1,520)</w:t>
            </w: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cash used in operating activities</w:t>
            </w: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(8,618)</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(8,615)</w:t>
            </w:r>
          </w:p>
        </w:tc>
      </w:tr>
      <w:tr>
        <w:trPr>
          <w:trHeight w:val="142"/>
        </w:trPr>
        <w:tc>
          <w:tcPr>
            <w:tcW w:w="66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property and equipment</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(1,235)</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(4,062)</w:t>
            </w:r>
          </w:p>
        </w:tc>
      </w:tr>
      <w:tr>
        <w:trPr>
          <w:trHeight w:val="149"/>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Investment in marketable securities</w:t>
            </w: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(2,064)</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HyperPointe net of cash assumed</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(4,853)</w:t>
            </w:r>
          </w:p>
        </w:tc>
      </w:tr>
      <w:tr>
        <w:trPr>
          <w:trHeight w:val="149"/>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Acquisition of intangibles</w:t>
            </w: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(471)</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(283)</w:t>
            </w:r>
          </w:p>
        </w:tc>
      </w:tr>
      <w:tr>
        <w:trPr>
          <w:trHeight w:val="142"/>
        </w:trPr>
        <w:tc>
          <w:tcPr>
            <w:tcW w:w="664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(3,770)</w:t>
            </w:r>
          </w:p>
        </w:tc>
        <w:tc>
          <w:tcPr>
            <w:tcW w:w="220" w:type="dxa"/>
            <w:vAlign w:val="bottom"/>
            <w:tcBorders>
              <w:top w:val="single" w:sz="8" w:color="CCEEFF"/>
              <w:bottom w:val="single" w:sz="8" w:color="auto"/>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(9,198)</w:t>
            </w:r>
          </w:p>
        </w:tc>
      </w:tr>
      <w:tr>
        <w:trPr>
          <w:trHeight w:val="142"/>
        </w:trPr>
        <w:tc>
          <w:tcPr>
            <w:tcW w:w="66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Repurchase of Common Stock</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(12,116)</w:t>
            </w: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for shares withheld on vesting</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r>
      <w:tr>
        <w:trPr>
          <w:trHeight w:val="149"/>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Repayment of Paycheck Protection Program</w:t>
            </w:r>
          </w:p>
        </w:tc>
        <w:tc>
          <w:tcPr>
            <w:tcW w:w="1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(3,584)</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1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w:t>
            </w:r>
          </w:p>
        </w:tc>
      </w:tr>
      <w:tr>
        <w:trPr>
          <w:trHeight w:val="142"/>
        </w:trPr>
        <w:tc>
          <w:tcPr>
            <w:tcW w:w="66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used in financing activities</w:t>
            </w: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(142)</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(16,529)</w:t>
            </w:r>
          </w:p>
        </w:tc>
      </w:tr>
      <w:tr>
        <w:trPr>
          <w:trHeight w:val="142"/>
        </w:trPr>
        <w:tc>
          <w:tcPr>
            <w:tcW w:w="66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w:t>
            </w:r>
          </w:p>
        </w:tc>
      </w:tr>
      <w:tr>
        <w:trPr>
          <w:trHeight w:val="142"/>
        </w:trPr>
        <w:tc>
          <w:tcPr>
            <w:tcW w:w="6640" w:type="dxa"/>
            <w:vAlign w:val="bottom"/>
          </w:tcPr>
          <w:p>
            <w:pPr>
              <w:ind w:left="20"/>
              <w:spacing w:after="0" w:line="142" w:lineRule="exact"/>
              <w:rPr>
                <w:sz w:val="20"/>
                <w:szCs w:val="20"/>
                <w:color w:val="auto"/>
              </w:rPr>
            </w:pPr>
            <w:r>
              <w:rPr>
                <w:rFonts w:ascii="Arial" w:cs="Arial" w:eastAsia="Arial" w:hAnsi="Arial"/>
                <w:sz w:val="14"/>
                <w:szCs w:val="14"/>
                <w:color w:val="auto"/>
              </w:rPr>
              <w:t>Decrease in cash, cash equivalents and restricted cash</w:t>
            </w:r>
          </w:p>
        </w:tc>
        <w:tc>
          <w:tcPr>
            <w:tcW w:w="1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(12,660)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(34,398)</w:t>
            </w:r>
          </w:p>
        </w:tc>
      </w:tr>
      <w:tr>
        <w:trPr>
          <w:trHeight w:val="149"/>
        </w:trPr>
        <w:tc>
          <w:tcPr>
            <w:tcW w:w="66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the period</w:t>
            </w: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19,789</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106,257</w:t>
            </w:r>
          </w:p>
        </w:tc>
      </w:tr>
      <w:tr>
        <w:trPr>
          <w:trHeight w:val="182"/>
        </w:trPr>
        <w:tc>
          <w:tcPr>
            <w:tcW w:w="66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Cash, cash equivalents, and restricted cash at end of the period</w:t>
            </w: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7,129</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71,859</w:t>
            </w:r>
          </w:p>
        </w:tc>
      </w:tr>
      <w:tr>
        <w:trPr>
          <w:trHeight w:val="129"/>
        </w:trPr>
        <w:tc>
          <w:tcPr>
            <w:tcW w:w="66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Cash paid for</w:t>
            </w: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49"/>
        </w:trPr>
        <w:tc>
          <w:tcPr>
            <w:tcW w:w="6640" w:type="dxa"/>
            <w:vAlign w:val="bottom"/>
          </w:tcPr>
          <w:p>
            <w:pPr>
              <w:ind w:left="120"/>
              <w:spacing w:after="0" w:line="149" w:lineRule="exact"/>
              <w:rPr>
                <w:sz w:val="20"/>
                <w:szCs w:val="20"/>
                <w:color w:val="auto"/>
              </w:rPr>
            </w:pPr>
            <w:r>
              <w:rPr>
                <w:rFonts w:ascii="Arial" w:cs="Arial" w:eastAsia="Arial" w:hAnsi="Arial"/>
                <w:sz w:val="14"/>
                <w:szCs w:val="14"/>
                <w:color w:val="auto"/>
              </w:rPr>
              <w:t>Interest</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r>
      <w:tr>
        <w:trPr>
          <w:trHeight w:val="148"/>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taxes</w:t>
            </w: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8"/>
        </w:trPr>
        <w:tc>
          <w:tcPr>
            <w:tcW w:w="66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Non-cash investing and financing transactions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6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 expenditures included in Accounts payable, accrued expenses and other current liabilities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r>
      <w:tr>
        <w:trPr>
          <w:trHeight w:val="182"/>
        </w:trPr>
        <w:tc>
          <w:tcPr>
            <w:tcW w:w="6640" w:type="dxa"/>
            <w:vAlign w:val="bottom"/>
          </w:tcPr>
          <w:p>
            <w:pPr>
              <w:ind w:left="120"/>
              <w:spacing w:after="0"/>
              <w:rPr>
                <w:sz w:val="20"/>
                <w:szCs w:val="20"/>
                <w:color w:val="auto"/>
              </w:rPr>
            </w:pPr>
            <w:r>
              <w:rPr>
                <w:rFonts w:ascii="Arial" w:cs="Arial" w:eastAsia="Arial" w:hAnsi="Arial"/>
                <w:sz w:val="14"/>
                <w:szCs w:val="14"/>
                <w:color w:val="auto"/>
              </w:rPr>
              <w:t>Issuance of Common Stock on acquisition of gcg Connect, LLC, d/b/a HyperPointe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906</w:t>
            </w:r>
          </w:p>
        </w:tc>
      </w:tr>
    </w:tbl>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XWELL,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Business, Basis of Presentation and Liquidity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October 25, 2022, the Company changed its name to XWELL, Inc. (“XWELL” or the “Company”) from XpresSpa Group, Inc. The Company’s common stock, par value $0.01 per share, which had previously been listed under the trading symbol “XSPA” on the Nasdaq Capital Market, now trades under the trading symbol “XWEL” since the opening of the trading market on October 25, 2022. The Company filed an amended and restated certificate of incorporation with the Delaware Secretary of State on October 24, 2022 (the “Amended and Restated Certificate”) reflecting the name change. Rebranding to XWELL aligned the Company’s corporate strategy to build a pure-play health and wellness services company, in both the airport and off airport marketplaces.</w:t>
      </w:r>
    </w:p>
    <w:p>
      <w:pPr>
        <w:spacing w:after="0" w:line="177"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color w:val="auto"/>
        </w:rPr>
        <w:t>XWELL is a global travel health and wellness services holding company. XWELL currently has four reportable operating segments: XpresSpa</w:t>
      </w:r>
      <w:r>
        <w:rPr>
          <w:rFonts w:ascii="Arial" w:cs="Arial" w:eastAsia="Arial" w:hAnsi="Arial"/>
          <w:sz w:val="20"/>
          <w:szCs w:val="20"/>
          <w:color w:val="auto"/>
          <w:vertAlign w:val="superscript"/>
        </w:rPr>
        <w:t>®</w:t>
      </w:r>
      <w:r>
        <w:rPr>
          <w:rFonts w:ascii="Arial" w:cs="Arial" w:eastAsia="Arial" w:hAnsi="Arial"/>
          <w:sz w:val="18"/>
          <w:szCs w:val="18"/>
          <w:color w:val="auto"/>
        </w:rPr>
        <w:t>, XpresTest</w:t>
      </w:r>
      <w:r>
        <w:rPr>
          <w:rFonts w:ascii="Arial" w:cs="Arial" w:eastAsia="Arial" w:hAnsi="Arial"/>
          <w:sz w:val="20"/>
          <w:szCs w:val="20"/>
          <w:color w:val="auto"/>
          <w:vertAlign w:val="superscript"/>
        </w:rPr>
        <w:t>®</w:t>
      </w:r>
      <w:r>
        <w:rPr>
          <w:rFonts w:ascii="Arial" w:cs="Arial" w:eastAsia="Arial" w:hAnsi="Arial"/>
          <w:sz w:val="18"/>
          <w:szCs w:val="18"/>
          <w:color w:val="auto"/>
        </w:rPr>
        <w:t>, Treat</w:t>
      </w:r>
      <w:r>
        <w:rPr>
          <w:rFonts w:ascii="Arial" w:cs="Arial" w:eastAsia="Arial" w:hAnsi="Arial"/>
          <w:sz w:val="26"/>
          <w:szCs w:val="26"/>
          <w:color w:val="auto"/>
          <w:vertAlign w:val="superscript"/>
        </w:rPr>
        <w:t>™</w:t>
      </w:r>
      <w:r>
        <w:rPr>
          <w:rFonts w:ascii="Arial" w:cs="Arial" w:eastAsia="Arial" w:hAnsi="Arial"/>
          <w:sz w:val="18"/>
          <w:szCs w:val="18"/>
          <w:color w:val="auto"/>
        </w:rPr>
        <w:t>, and HyperPointe which was acquired in January 2022.</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XpresSpa</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XWELL’s subsidiary, XpresSpa Holdings, LLC (“XpresSpa”) has been a global airport retailer of spa services through its XpresSpa spa locations, offering travelers premium spa services, including massage, nail and skin care, as well as spa and travel products.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June 30, 2023, there were 25 operating XpresSpa domestic locations. During 2022, the Company sold one location in Austin-Bergstrom International Airport to its franchisee which now operates both locations at this airport. As the Company continues to monitor fluctuating airport volumes, the Company will also continue to review operating hours to optimize revenue opportunity.</w:t>
      </w:r>
    </w:p>
    <w:p>
      <w:pPr>
        <w:spacing w:after="0" w:line="187"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Company also had 10 international locations operating as of June 30, 2023, including two XpresSpa locations in Dubai International Airport in the United Arab Emirates, three XpresSpa locations in Schiphol Amsterdam Airport in the Netherlands and five XpresSpa locations in Istanbul Airport in Turkey.</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XpresTest</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in partnership with certain COVID-19 testing partners, successfully launched its XpresCheck Wellness Centers through its XpresTest, Inc. subsidiary (“XpresTest”), offering testing services, also in airports. During 2022, as countries continued to relax their testing requirements resulting in rapid decline of testing volumes at the Company’s XpresCheck locations, the Company closed all but one XpresCheck Wellness Center. As of June 30, 2023, we have closed all XpresCheck locations.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XpresTest began conducting biosurveillance monitoring with the Centers for Disease Control and Prevention (CDC) in collaboration with Concentric by Ginkgo in 2021 and on January 31, 2022, the Company announced the extension of the initial program, bringing the total contract to $5,534. As of August 2022, the program was renewed in partnership with Ginkgo BioWorks for a new two-year contract term which represents approximately $7,331 in revenue (for the first year) for the XpresTest segment. On August 11, 2023, the revenue for the second year was determined to be approximately $6,000.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Treat</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Treat segment, which is operating through XWELL’s subsidiary Treat, Inc. (“Treat”) is a travel health and wellness brand that provides access to health and wellness services for travelers at on-site centers (currently located in JFK International Airport and in Salt Lake City International Airport).</w:t>
      </w:r>
    </w:p>
    <w:p>
      <w:pPr>
        <w:spacing w:after="0" w:line="184"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In 2022, the Company’s Treat brand opened new locations in Phoenix Sky Harbor International Airport (pre-security) and Salt Lake City International Airport. With respect to these locations in Phoenix and Salt Lake City, agreements had already been executed with the airports and the decision was made to convert these locations to Treat.</w:t>
      </w:r>
    </w:p>
    <w:p>
      <w:pPr>
        <w:spacing w:after="0" w:line="16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By the third quarter of 2022, it became clear that the Treat business required a change in strategy and as a result, the Company began to retool the offerings within the Treat locations by providing additional retail as part of our retail strategy expansion as well as lay the foundation to bring more spa-like services into the Treat location in an attempt to unify our core offering.</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By the fourth quarter of 2022, the decision was made to close the pre-security Treat location at Phoenix Sky Harbor Airport. As of June 30, 2023, the Treat brand operates at two locations (JFK International Airport and Salt Lake City International Airport). These remaining Treat locations offer a full retail product offering and a suite of wellness and spa services.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HyperPointe</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Company’s HyperPointe segment, which the Company acquired in January 2022, provides a broad range of service and support options for our customers, including technical support services and advanced services.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unaudited interim condensed consolidated financial statements have been prepared in accordance with accounting principles generally accepted in the United States of America (“GAAP”) for interim financial information and the instructions to Article 8-03 of Regulation S-X, and should be read in conjunction with the Company’s Annual Report on Form 10-K for the year ended December 31, 2022, as amended. The condensed consolidated balance sheet as of December 31, 2022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as well as variable interest entities in which we are the primary beneficiaries. All adjustments that, in the opinion of management, are necessary for a fair presentation for the periods presented have been reflected by the Company. Such adjustments are of a normal, recurring nature. The results of operations for the three and six months ended June 30, 2023 are not necessarily indicative of the results that may be expected for the entire fiscal year or for any other interim period. All significant intercompany balances and transactions have been eliminated in consolidation.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Financial Condition</w:t>
      </w:r>
    </w:p>
    <w:p>
      <w:pPr>
        <w:spacing w:after="0" w:line="225"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As of June 30, 2023, the Company had cash and cash equivalents, excluding restricted cash, of $6,378, $25,526 in marketable securities, and total current assets of $36,128. The Company’s total current liabilities balance, which includes accounts payable, deferred revenue, accrued expenses, and operating lease liabilities was approximately $9,266 as of June 30, 2023 and $10,956 as of December 31, 2022. The working capital surplus was $26,862 as of June 30, 2023, compared to a working capital surplus of $36,376 as of December 31, 2022.</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has significantly reduced operating and overhead expenses since the second half of 2022, while it continues to focus on returning to overall profitability.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has taken actions to improve its overall cash position and access to liquidity through equity offerings and debt retirements, by exploring valuable strategic partnerships, right sizing its corporate structure and streamlining its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Significant Accounting and Reporting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Revenue Recognition Policy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XpresSpa</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recognizes revenue from the sale of XpresSpa products and services when the services are rendered at XpresSpa stores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w:t>
      </w:r>
    </w:p>
    <w:p>
      <w:pPr>
        <w:spacing w:after="0" w:line="17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has also entered into collaborative agreements with marketing partners whereby it sells certain of its partners’ products in its XpresSpa spas. The Company acts as an agent for revenue recognition purposes and therefore records revenue net of the revenue share payable to the partners. Upon receipt of the non-recurring, non-refundable initial collaboration fee, management records a deferred revenue liability and recognizes revenue on a straight-line basis over the life of the collaboration agreement.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XpresTest</w:t>
      </w:r>
    </w:p>
    <w:p>
      <w:pPr>
        <w:spacing w:after="0" w:line="22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During the third quarter of 2022, XpresTest, in partnership with Ginkgo Bioworks in continuation of their support to the CDC’s traveler-based SARS-CoV-2 genomic surveillance program were awarded a new contract. The partnership is expected to support public health and biosecurity services totaling approximately $16,000, with an overall potential to exceed $61,000 based on CDC program options and public health priorities. As COVID-19 sub-variants and other biological threats continue to emerge, the partners plan to expand the program footprint and incorporate innovative modalities and offerings, such as monitoring of wastewater from aircraft lavatories. The current contract with Ginkgo Bioworks related to the above partnership contains fixed pricing for which we are entitled to $6,761 for the sample collection (passenger and aircraft wastewater) and $570 for the traveler enrollment initiatives, which represents the amount of consideration that we are entitled. The Company recognizes revenue over time for both sample collection performance obligations, using the input method based on time elapsed to measure progress towards satisfying each of the performance obligations. The Company recognizes revenue ratably (straight line basis) over the term of the contract (one year). We will recognize revenue over time for the traveler enrollment initiative performance obligation based on the amount for which we have the right to invoice. The Company recorded $1,688 and $3,358 in revenue during the three and six months ended June 30, 2023 related to sample collection performance obligations because the Company’s efforts towards satisfying each of the performance obligations are expended evenly throughout the period of performance. During the three months ended June 30, 2023, the Company also recorded $570 for the traveler enrollment initiatives.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Treat</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Company recognizes revenue from the sale of Treat products and services when the services are rendered at Treat Centers and from the sale of products at the time products are purchased at the Treat Centers or online usually by credit card, net of discounts and applicable sales taxes. Accordingly, the Company recognizes revenue for the Company’s single performance obligation related to both in-centers and online sales at the point at which the service has been performed or the control of the merchandise has passed to the customer. Revenues from the Treat retail and e-commerce businesses are recorded at the time goods are shipped. The Company determined that these PLLCs are variable interest entities due to its equity holder having insufficient capital at risk, and the Company having a variable interest in the PLLCs. As a result of this determination, the total revenue of the PLLCs is designated as revenue for the Company. This revenue is recognized at the point in time at which the service is performed by the PLLCs.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HyperPointe</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Our HyperPointe segment which we acquired in January 2022, provides broad range of service and support options for our customers, including technical support services and advanced services. Technical support services represent the majority of these offerings which are distinct performance obligations that are satisfied over time with revenue recognized ratably over the contract term. Advanced services are distinct performance obligations that are satisfied over time with revenue recognized as services are delivered. Revenue billed in advance are treated as deferred revenue which was $226 and $322 as of June 30, 2023 and December 31, 2022, respectively. The Company recognized $210 from the deferred revenue balance as of December 31, 2022. HyperPointe had unbilled receivables of $291 and $0 as of June 30, 2023 and December 31, 2022, respectively, included in other current assets.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excludes all sales taxes assessed to our customers from revenue. Sales taxes assessed on revenues are included in accrued expenses and other current liabilities on the Company’s condensed consolidated balance sheets until remitted to state agencies.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 Translation into United States dollars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conducts certain transactions in foreign currencies, which are recorded at the exchange rate as of the transaction date. All exchange gains and losses occurring from the remeasurement of monetary balance sheet items denominated in non-dollar currencies are deemed non-operating income in the consolidated statements of operations and comprehensive loss. During the three and six months ended June 30, 2023, the Company recognized $1,001 and $1,103, respectively, in foreign exchange losses occurring from the remeasurement of monetary balance sheet items denominated in non-dollar currencies. During the three and six months ended June 30, 2022, the Company did not incur any foreign exchange gains or losses occurring from the remeasurement of monetary balance sheet items denominated in non-dollar currencies.</w:t>
      </w:r>
    </w:p>
    <w:p>
      <w:pPr>
        <w:spacing w:after="0" w:line="192"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Accounts of the foreign subsidiaries of XpresSpa are translated into United States dollars. Assets and liabilities have been translated primarily at period end exchange rates and revenues and expenses have been translated at average monthly rates for the three and six months ended June 2023 and 2022. The translation adjustments arising from the use of different exchange rates are included as foreign currency translation within the condensed consolidated statements of operations and comprehensive income (loss) and condensed consolidated statements of changes in stockholders’ equity.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 Business Combinations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The Company applies the provisions of Financial Accounting Standards Board (“FASB”) Accounting Standards Codification </w:t>
      </w:r>
      <w:r>
        <w:rPr>
          <w:rFonts w:ascii="Arial" w:cs="Arial" w:eastAsia="Arial" w:hAnsi="Arial"/>
          <w:sz w:val="18"/>
          <w:szCs w:val="18"/>
          <w:color w:val="4D5156"/>
        </w:rPr>
        <w:t>(“</w:t>
      </w:r>
      <w:r>
        <w:rPr>
          <w:rFonts w:ascii="Arial" w:cs="Arial" w:eastAsia="Arial" w:hAnsi="Arial"/>
          <w:sz w:val="18"/>
          <w:szCs w:val="18"/>
          <w:color w:val="auto"/>
        </w:rPr>
        <w:t>ASC”) Topic 805, Business Combinations (“ASC 805”) in the accounting for acquisitions of businesses. ASC 805 requires the Company to use the acquisition method of accounting by recognizing the identifiable tangible and intangible assets acquired and liabilities assumed, and any non-controlling interest in the acquired business, measured at their acquisition date fair values. Goodwill as of the acquisition date is measured as the excess of consideration transferred over the aforementioned amounts.</w:t>
      </w:r>
    </w:p>
    <w:p>
      <w:pPr>
        <w:spacing w:after="0" w:line="19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While the Company uses its best estimates and assumptions to accurately apply preliminary values to assets acquired and liabilities assumed at the acquisition date, these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 Upon the conclusion of the measurement period or final determination of the values of the assets acquired or liabilities assumed, whichever comes first, any subsequent adjustments are recorded in the consolidated statements of operations.</w:t>
      </w:r>
    </w:p>
    <w:p>
      <w:pPr>
        <w:spacing w:after="0" w:line="164"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Accounting for business combinations requires management to make significant estimates and assumptions, especially at the acquisition date, including estimates for intangible assets. Although the Company believes the assumptions and estimates that have been made are reasonable and appropriate, they are based in part on historical experience and information obtained from the acquired companies and are inherently uncertain. Critical estimates in valuing certain of the intangible assets the Company has acquired include future expected cash flows, and discount rates.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 Goodwill</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accounts for goodwill under FASB ASC 350-30, Intangibles-Goodwill and Other. Goodwill represents the cost of a business acquisition in excess of the fair value of the net assets acquired. Goodwill is not amortized and is reviewed for impairment annually, or more frequently if facts and circumstances indicate that it is more likely than not that the fair value of a reporting unit is less than its carrying amount, including goodwill. If it is more likely than not that the fair value of a reporting unit is less than its carrying amount, the Company performs a quantitative test to identify and measure the amount of goodwill impairment loss. The Company compares the fair value of the reporting unit with its carrying amount. If the carrying amount exceeds fair value, goodwill of the reporting unit is considered impaired, and that excess is recognized as a goodwill impairment loss.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 Reclassification</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Certain balances in the condensed consolidated financial statements for the three and six months ended June 30, 2022 have been reclassified to conform to the presentation in the condensed consolidated financial statements for the three and six months ended June 30, 2023, primarily the separate classification and presentation of accounts payable, gross profits, advertising and promotion expense, IT/Hosting services, and realized and unrealized foreign exchange loss. The above separation affected accounts payable, accrued expenses and other, general and administrative expenses, and other non-operating expense, net in the comparative 2022 financial statements. Such reclassifications did not have a material impact on the unaudited condensed consolidated financial statements.</w:t>
      </w: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June 2016, the FASB issued Accounting Standards Update (“ASU”) 2016-13, Financial Instruments-Credit Losses (Topic 326): Measurement of Credit Losses on Financial Instruments ("ASU 2016-13"). ASU 2016-13's main goal is to improve financial reporting by requiring earlier recognition of credit losses on financing receivables and other financial assets in scope. The guidance is effective for annual periods beginning after December 15, 2022, including interim periods within those fiscal years. On implementation in 2023, the ASU did not have material impact on the Company’s financial statements.</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(“ASU 2021-08”). ASU 2021-08 requires contract assets and contract liabilities acquired in a business acquisition to be recognized and measured in accordance with ASC Topic 606, Revenues from Contracts with Customers, which the Company generally expects will result in the recognition and measurement of contract assets and contract liabilities in a manner that is consistent with the acquiree. For the Company, the amendments are effective for fiscal years beginning after December 15, 2022, including interim periods within those fiscal years. The Company implemented the ASU 2021-08 in 2023. Although, the materiality of the application of ASU 2021-08 depends on the recognition and measurement of acquired assets and liabilities associated with future acquisitions, as the Company did not have any acquisition during the three and six months ended June 2023, the adoption of ASU 2021-08 did not have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Note 3. Potentially Dilutive Securities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00" w:type="dxa"/>
            <w:vAlign w:val="bottom"/>
            <w:gridSpan w:val="11"/>
          </w:tcPr>
          <w:p>
            <w:pPr>
              <w:spacing w:after="0"/>
              <w:rPr>
                <w:sz w:val="20"/>
                <w:szCs w:val="20"/>
                <w:color w:val="auto"/>
              </w:rPr>
            </w:pPr>
            <w:r>
              <w:rPr>
                <w:rFonts w:ascii="Arial" w:cs="Arial" w:eastAsia="Arial" w:hAnsi="Arial"/>
                <w:sz w:val="18"/>
                <w:szCs w:val="18"/>
                <w:color w:val="auto"/>
                <w:w w:val="96"/>
              </w:rPr>
              <w:t>The table below presents the computation of basic and diluted net loss per share of Common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loss attributable to XWELL, Inc.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(11,239)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(12,201)</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denominator:</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Basic and diluted weighted average shares outstanding</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83,410,562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95,352,025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83,378,408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98,458,153</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loss per share</w:t>
            </w: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1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(0.08)</w:t>
            </w:r>
          </w:p>
        </w:tc>
        <w:tc>
          <w:tcPr>
            <w:tcW w:w="1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1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4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Net loss per share data presented above excludes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w w:val="91"/>
              </w:rPr>
              <w:t>from the calculation of diluted net loss, the following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w w:val="92"/>
              </w:rPr>
              <w:t>potentially dilutive securities, having an anti-dilutive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impact, in case of net loss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Both vested and unvested options to purchase an equal</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of Common Stock</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7,641,697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4,756,973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7,641,697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4,756,973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spacing w:after="0" w:line="201" w:lineRule="exact"/>
              <w:rPr>
                <w:sz w:val="20"/>
                <w:szCs w:val="20"/>
                <w:color w:val="auto"/>
              </w:rPr>
            </w:pPr>
            <w:r>
              <w:rPr>
                <w:rFonts w:ascii="Arial" w:cs="Arial" w:eastAsia="Arial" w:hAnsi="Arial"/>
                <w:sz w:val="18"/>
                <w:szCs w:val="18"/>
                <w:color w:val="auto"/>
                <w:w w:val="94"/>
              </w:rPr>
              <w:t>Unvested RSUs to issue an equal number of shares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332,638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78,125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332,638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78,125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to purchase an equal number of shares of</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29,460,560</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29,460,560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40" w:type="dxa"/>
            <w:vAlign w:val="bottom"/>
          </w:tcPr>
          <w:p>
            <w:pPr>
              <w:spacing w:after="0" w:line="177" w:lineRule="exact"/>
              <w:rPr>
                <w:sz w:val="20"/>
                <w:szCs w:val="20"/>
                <w:color w:val="auto"/>
              </w:rPr>
            </w:pPr>
            <w:r>
              <w:rPr>
                <w:rFonts w:ascii="Arial" w:cs="Arial" w:eastAsia="Arial" w:hAnsi="Arial"/>
                <w:sz w:val="18"/>
                <w:szCs w:val="18"/>
                <w:b w:val="1"/>
                <w:bCs w:val="1"/>
                <w:color w:val="auto"/>
              </w:rPr>
              <w:t>Total number of potentially dilutive securities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excluded from the calculation of loss per share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7,978,335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34,295,658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7,978,335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34,295,658</w:t>
            </w:r>
          </w:p>
        </w:tc>
        <w:tc>
          <w:tcPr>
            <w:tcW w:w="0" w:type="dxa"/>
            <w:vAlign w:val="bottom"/>
          </w:tcPr>
          <w:p>
            <w:pPr>
              <w:spacing w:after="0"/>
              <w:rPr>
                <w:sz w:val="1"/>
                <w:szCs w:val="1"/>
                <w:color w:val="auto"/>
              </w:rPr>
            </w:pPr>
          </w:p>
        </w:tc>
      </w:tr>
      <w:tr>
        <w:trPr>
          <w:trHeight w:val="221"/>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attributable to common shareholders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Cash, Cash Equivalents, and Restricted Cash</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 reconciliation of the Company’s cash and cash equivalents in the Condensed Consolidated Balance Sheets to cash, cash equivalents and restricted cash in the Condensed Consolidated Statements of Cash Flows as of June 30, 2023 and December 31, 2022 is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2023</w:t>
            </w: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December 31, 2022</w:t>
            </w:r>
          </w:p>
        </w:tc>
      </w:tr>
      <w:tr>
        <w:trPr>
          <w:trHeight w:val="209"/>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denominated in United States dollars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16,344</w:t>
            </w: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Cash denominated in currency other than United States dollars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2,686</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2,562</w:t>
            </w: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16"/>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Credit and debit card receivables</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1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19,789</w:t>
            </w:r>
          </w:p>
        </w:tc>
      </w:tr>
      <w:tr>
        <w:trPr>
          <w:trHeight w:val="20"/>
        </w:trPr>
        <w:tc>
          <w:tcPr>
            <w:tcW w:w="5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places its cash and temporary cash investments with credit quality institutions. At times, such cash denominated in United States dollars may be in excess of the Federal Deposit Insurance Corporation (“FDIC”) insurance limit. As of June 30, 2023 and December 31, 2022, deposits in excess of FDIC limits were $3,552 and $16,069, respectively. As of June 30, 2023 and December 31, 2022, the Company held cash balances in overseas accounts, totaling $2,686 and $2,562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Arial" w:cs="Arial" w:eastAsia="Arial" w:hAnsi="Arial"/>
                <w:sz w:val="18"/>
                <w:szCs w:val="18"/>
                <w:b w:val="1"/>
                <w:bCs w:val="1"/>
                <w:color w:val="auto"/>
              </w:rPr>
              <w:t>Note 5. Other current 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7400" w:type="dxa"/>
            <w:vAlign w:val="bottom"/>
            <w:gridSpan w:val="4"/>
          </w:tcPr>
          <w:p>
            <w:pPr>
              <w:spacing w:after="0"/>
              <w:rPr>
                <w:sz w:val="20"/>
                <w:szCs w:val="20"/>
                <w:color w:val="auto"/>
              </w:rPr>
            </w:pPr>
            <w:r>
              <w:rPr>
                <w:rFonts w:ascii="Arial" w:cs="Arial" w:eastAsia="Arial" w:hAnsi="Arial"/>
                <w:sz w:val="18"/>
                <w:szCs w:val="18"/>
                <w:color w:val="auto"/>
                <w:w w:val="99"/>
              </w:rPr>
              <w:t>As of June 30, 2023 and December 31, 2022, other current assets consisted of the following:</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5"/>
        </w:trPr>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2023</w:t>
            </w:r>
          </w:p>
        </w:tc>
        <w:tc>
          <w:tcPr>
            <w:tcW w:w="2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 2022</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Contract assets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9"/>
        </w:trPr>
        <w:tc>
          <w:tcPr>
            <w:tcW w:w="5880" w:type="dxa"/>
            <w:vAlign w:val="bottom"/>
          </w:tcPr>
          <w:p>
            <w:pPr>
              <w:spacing w:after="0"/>
              <w:rPr>
                <w:sz w:val="20"/>
                <w:szCs w:val="20"/>
                <w:color w:val="auto"/>
              </w:rPr>
            </w:pPr>
            <w:r>
              <w:rPr>
                <w:rFonts w:ascii="Arial" w:cs="Arial" w:eastAsia="Arial" w:hAnsi="Arial"/>
                <w:sz w:val="18"/>
                <w:szCs w:val="18"/>
                <w:color w:val="auto"/>
              </w:rPr>
              <w:t>Total other current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r>
      <w:tr>
        <w:trPr>
          <w:trHeight w:val="20"/>
        </w:trPr>
        <w:tc>
          <w:tcPr>
            <w:tcW w:w="5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Intangible Assets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provides information regarding the Company’s intangible assets subject to amortization, which consist of the following:</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w w:val="95"/>
              </w:rPr>
              <w:t>June 30, 2023</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0"/>
              </w:rPr>
              <w:t>December 31, 2022</w:t>
            </w:r>
          </w:p>
        </w:tc>
        <w:tc>
          <w:tcPr>
            <w:tcW w:w="580" w:type="dxa"/>
            <w:vAlign w:val="bottom"/>
            <w:tcBorders>
              <w:bottom w:val="single" w:sz="8" w:color="auto"/>
            </w:tcBorders>
          </w:tcPr>
          <w:p>
            <w:pPr>
              <w:spacing w:after="0"/>
              <w:rPr>
                <w:sz w:val="20"/>
                <w:szCs w:val="20"/>
                <w:color w:val="auto"/>
              </w:rPr>
            </w:pPr>
          </w:p>
        </w:tc>
      </w:tr>
      <w:tr>
        <w:trPr>
          <w:trHeight w:val="191"/>
        </w:trPr>
        <w:tc>
          <w:tcPr>
            <w:tcW w:w="2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8"/>
              </w:rPr>
              <w:t>Gross</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320" w:type="dxa"/>
            <w:vAlign w:val="bottom"/>
          </w:tcPr>
          <w:p>
            <w:pPr>
              <w:spacing w:after="0"/>
              <w:rPr>
                <w:sz w:val="18"/>
                <w:szCs w:val="18"/>
                <w:color w:val="auto"/>
              </w:rPr>
            </w:pPr>
          </w:p>
        </w:tc>
        <w:tc>
          <w:tcPr>
            <w:tcW w:w="6580" w:type="dxa"/>
            <w:vAlign w:val="bottom"/>
            <w:gridSpan w:val="20"/>
          </w:tcPr>
          <w:p>
            <w:pPr>
              <w:ind w:left="680"/>
              <w:spacing w:after="0"/>
              <w:rPr>
                <w:sz w:val="20"/>
                <w:szCs w:val="20"/>
                <w:color w:val="auto"/>
              </w:rPr>
            </w:pPr>
            <w:r>
              <w:rPr>
                <w:rFonts w:ascii="Arial" w:cs="Arial" w:eastAsia="Arial" w:hAnsi="Arial"/>
                <w:sz w:val="18"/>
                <w:szCs w:val="18"/>
                <w:b w:val="1"/>
                <w:bCs w:val="1"/>
                <w:color w:val="auto"/>
              </w:rPr>
              <w:t>Carrying  Accumulated  Carrying  Carrying  Accumulated  Carrying</w:t>
            </w:r>
          </w:p>
        </w:tc>
      </w:tr>
      <w:tr>
        <w:trPr>
          <w:trHeight w:val="234"/>
        </w:trPr>
        <w:tc>
          <w:tcPr>
            <w:tcW w:w="2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300" w:type="dxa"/>
            <w:vAlign w:val="bottom"/>
            <w:gridSpan w:val="4"/>
          </w:tcPr>
          <w:p>
            <w:pPr>
              <w:ind w:left="18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r>
      <w:tr>
        <w:trPr>
          <w:trHeight w:val="216"/>
        </w:trPr>
        <w:tc>
          <w:tcPr>
            <w:tcW w:w="2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Licenses</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r>
      <w:tr>
        <w:trPr>
          <w:trHeight w:val="20"/>
        </w:trPr>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Company’s intangible assets are amortized over their expected useful lives. The Company recorded amortization expense of $377 and $471 during the three months ended June 30, 2023 and 2022, respectively, and $759 and $864 during the six months ended June 30, 2023 and 2022, respectively.</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Based on the intangible assets balance as of June 30, 2023, the estimated amortization expense for the remainder of the calendar year and each of the succeeding calendar years is as follows:</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Amount</w:t>
            </w: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1,666</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2026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3,710</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Variable Interest Entities</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Through its XpresCheck Wellness and Treat Centers the Company provided services pursuant to contracts with PLLCs which, in turn contracts with physicians and other medical professional providers to render COVID-19 and other medical diagnostic testing services to airline employees, contractors, concessionaire employees, TSA officers and U.S. Customs and Border Protection agents, and the traveling public. The PLLCs collectively represent the Company’s affiliated medical group. The PLLCs were designed and structured to comply with the relevant laws and regulations governing professional medical practice, which generally prohibits the practice of medicine by lay persons or entities. All of the issued and outstanding equity interests of the PLLCs are owned by a licensed medical professional nominated by the Company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“Nominee Shareholder”). Upon formation of the PLLCs, and initial issuance of equity interests, the Nominee Shareholder contributes a nominal amount of capital in exchange for their interest in the PLLC. The Company then executes with each PLLC a MSA, which provides for various administrative services, management services and day-to-day activities of the practice to be rendered by the Company through its XpresCheck Wellness Centers.</w:t>
      </w:r>
    </w:p>
    <w:p>
      <w:pPr>
        <w:spacing w:after="0" w:line="17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also had exclusive responsibility for the provision of all non-medical services including contracting with customers who access the PLLCs for a medical visit, handling all financial transactions and day-to-day operations of each PLLC, overseeing the establishment of COVID-19 and other medical diagnostic testing services policies, and making recommendations to the PLLC in establishing the guidelines for the employment and compensation of the physicians and other employees of the PLLCs.</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Notwithstanding their legal form of ownership of equity interests in the PLLC, the primary beneficiary of the affiliated medical group is the Company as it meets both of the following criteria: (i) has the power to make decisions that most significantly affect the economic performance of the affiliated medical group; and (ii) has the obligation to absorb losses or the right to receive benefits that in either case could potentially be significant to the affiliated medical group. The Company consolidated the PLLCs under the VIE model since the Company has the power to direct activities that most significantly impact the PLLCs’ economic performance and the right to receive benefits or the obligation to absorb losses that could potentially be significant to the PLLCs.</w:t>
      </w:r>
    </w:p>
    <w:p>
      <w:pPr>
        <w:spacing w:after="0" w:line="19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 xml:space="preserve">The total revenue included on the condensed consolidated statements of operations and comprehensive loss for the PLLCs after elimination of intercompany transactions was $17 and $148 for the three and six months ended June 30, 2023, respectively, and $7,732 and $27,121, for the three and six months ended June 2022, respectively. The aggregate carrying value of total assets and total liabilities included on the condensed balance sheets for the PLLCs after elimination of intercompany transactions were $275, included in </w:t>
      </w:r>
      <w:r>
        <w:rPr>
          <w:rFonts w:ascii="Arial" w:cs="Arial" w:eastAsia="Arial" w:hAnsi="Arial"/>
          <w:sz w:val="17"/>
          <w:szCs w:val="17"/>
          <w:i w:val="1"/>
          <w:iCs w:val="1"/>
          <w:color w:val="auto"/>
        </w:rPr>
        <w:t>cash and cash equivalents,</w:t>
      </w:r>
      <w:r>
        <w:rPr>
          <w:rFonts w:ascii="Arial" w:cs="Arial" w:eastAsia="Arial" w:hAnsi="Arial"/>
          <w:sz w:val="17"/>
          <w:szCs w:val="17"/>
          <w:color w:val="auto"/>
        </w:rPr>
        <w:t xml:space="preserve"> and $146, included in </w:t>
      </w:r>
      <w:r>
        <w:rPr>
          <w:rFonts w:ascii="Arial" w:cs="Arial" w:eastAsia="Arial" w:hAnsi="Arial"/>
          <w:sz w:val="17"/>
          <w:szCs w:val="17"/>
          <w:i w:val="1"/>
          <w:iCs w:val="1"/>
          <w:color w:val="auto"/>
        </w:rPr>
        <w:t>accrued expenses and</w:t>
      </w:r>
      <w:r>
        <w:rPr>
          <w:rFonts w:ascii="Arial" w:cs="Arial" w:eastAsia="Arial" w:hAnsi="Arial"/>
          <w:sz w:val="17"/>
          <w:szCs w:val="17"/>
          <w:color w:val="auto"/>
        </w:rPr>
        <w:t xml:space="preserve">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respectively, as of December 31, 2022.</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Accrued expenses and other current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of June 30, 2023 and December 31, 2022, accrued expenses and other current liabilities consisted of the following:</w:t>
      </w: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June 30, 2023</w:t>
            </w:r>
          </w:p>
        </w:tc>
        <w:tc>
          <w:tcPr>
            <w:tcW w:w="24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2022</w:t>
            </w: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Litigation accrual</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1,749</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Tax-related liabilities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Common area maintenance accruals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Gift certificates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Credit card processing fees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miscellaneous accruals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r>
      <w:tr>
        <w:trPr>
          <w:trHeight w:val="210"/>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2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w:t>
            </w:r>
          </w:p>
        </w:tc>
      </w:tr>
      <w:tr>
        <w:trPr>
          <w:trHeight w:val="20"/>
        </w:trPr>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Leases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leases its retail and diagnostic testing locations at various domestic and international airports. Additionally, the Company leases its corporate office in New York City. During 2022 the Company commenced new leases at Istanbul Airport in Turkey &amp; Salt Lake City International Airport in Utah. At inception, the Company determines if a lease qualifies under ASC 842. Certain of the Company’s lease arrangements contain fixed payments throughout the term of the lease, while others involve a variable component to determine the lease obligation wherein a certain percentage of sales is used to calculate the lease payment.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All qualifying leases held by the Company are classified as operating leases. Operating lease right of use assets represent the Company’s right to use an underlying asset for the lease term and operating lease liabilities represent its obligation to make lease payments arising from the lease. Operating lease right of use assets and operating lease liabilities are recognized as of the commencement date based on the present value of lease payments over the lease term. The Company records its operating lease right of use assets and operating lease liabilities based on required guaranteed payments under each lease agreement. The Company uses its incremental borrowing rate as of the commencement date of the lease, which approximates the rate at which the Company can borrow funds on a secured basis, in determining the present value of the guaranteed lease payments.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reviews all of its existing lease agreements on a quarterly basis to determine whether there were any modifications to existing lease agreements and to assess if any leases should be accounted for pursuant to the guidance in ASC 842. The Company recalculates the right of use asset and lease liability based on the modified lease terms and adjusts both balances accordingly.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Supplemental cash flow information related to leases for the six months ended June 30, 2023 and 2022 were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8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920" w:type="dxa"/>
            <w:vAlign w:val="bottom"/>
            <w:tcBorders>
              <w:bottom w:val="single" w:sz="8" w:color="CCEEFF"/>
            </w:tcBorders>
          </w:tcPr>
          <w:p>
            <w:pPr>
              <w:spacing w:after="0"/>
              <w:rPr>
                <w:sz w:val="18"/>
                <w:szCs w:val="18"/>
                <w:color w:val="auto"/>
              </w:rPr>
            </w:pPr>
          </w:p>
        </w:tc>
        <w:tc>
          <w:tcPr>
            <w:tcW w:w="56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2023</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09"/>
        </w:trPr>
        <w:tc>
          <w:tcPr>
            <w:tcW w:w="6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620" w:type="dxa"/>
            <w:vAlign w:val="bottom"/>
            <w:gridSpan w:val="3"/>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(2,031)</w:t>
            </w:r>
          </w:p>
        </w:tc>
      </w:tr>
      <w:tr>
        <w:trPr>
          <w:trHeight w:val="216"/>
        </w:trPr>
        <w:tc>
          <w:tcPr>
            <w:tcW w:w="6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8"/>
              </w:rPr>
              <w:t>Leased assets obtained in exchange for new and modified operating lease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r>
      <w:tr>
        <w:trPr>
          <w:trHeight w:val="648"/>
        </w:trPr>
        <w:tc>
          <w:tcPr>
            <w:tcW w:w="6620" w:type="dxa"/>
            <w:vAlign w:val="bottom"/>
            <w:gridSpan w:val="3"/>
          </w:tcPr>
          <w:p>
            <w:pPr>
              <w:ind w:left="20"/>
              <w:spacing w:after="0"/>
              <w:rPr>
                <w:sz w:val="20"/>
                <w:szCs w:val="20"/>
                <w:color w:val="auto"/>
              </w:rPr>
            </w:pPr>
            <w:r>
              <w:rPr>
                <w:rFonts w:ascii="Arial" w:cs="Arial" w:eastAsia="Arial" w:hAnsi="Arial"/>
                <w:sz w:val="18"/>
                <w:szCs w:val="18"/>
                <w:color w:val="auto"/>
                <w:w w:val="91"/>
              </w:rPr>
              <w:t>As of June 30, 2023, operating leases contain the following future minimum commitments: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5"/>
        </w:trPr>
        <w:tc>
          <w:tcPr>
            <w:tcW w:w="6620" w:type="dxa"/>
            <w:vAlign w:val="bottom"/>
            <w:gridSpan w:val="3"/>
          </w:tcPr>
          <w:p>
            <w:pPr>
              <w:ind w:left="900"/>
              <w:spacing w:after="0"/>
              <w:rPr>
                <w:sz w:val="20"/>
                <w:szCs w:val="20"/>
                <w:color w:val="auto"/>
              </w:rPr>
            </w:pPr>
            <w:r>
              <w:rPr>
                <w:rFonts w:ascii="Arial" w:cs="Arial" w:eastAsia="Arial" w:hAnsi="Arial"/>
                <w:sz w:val="18"/>
                <w:szCs w:val="18"/>
                <w:b w:val="1"/>
                <w:bCs w:val="1"/>
                <w:color w:val="auto"/>
              </w:rPr>
              <w:t>Calendar Years ending December 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0"/>
        </w:trPr>
        <w:tc>
          <w:tcPr>
            <w:tcW w:w="920" w:type="dxa"/>
            <w:vAlign w:val="bottom"/>
          </w:tcPr>
          <w:p>
            <w:pPr>
              <w:spacing w:after="0"/>
              <w:rPr>
                <w:sz w:val="18"/>
                <w:szCs w:val="18"/>
                <w:color w:val="auto"/>
              </w:rPr>
            </w:pPr>
          </w:p>
        </w:tc>
        <w:tc>
          <w:tcPr>
            <w:tcW w:w="5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3,002</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1,634</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2028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1,132</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88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Total future lease payments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14,880</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 expense at incremental borrowing rate</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880" w:type="dxa"/>
            <w:vAlign w:val="bottom"/>
          </w:tcPr>
          <w:p>
            <w:pPr>
              <w:spacing w:after="0"/>
              <w:rPr>
                <w:sz w:val="18"/>
                <w:szCs w:val="18"/>
                <w:color w:val="auto"/>
              </w:rPr>
            </w:pPr>
          </w:p>
        </w:tc>
      </w:tr>
      <w:tr>
        <w:trPr>
          <w:trHeight w:val="210"/>
        </w:trPr>
        <w:tc>
          <w:tcPr>
            <w:tcW w:w="6620" w:type="dxa"/>
            <w:vAlign w:val="bottom"/>
            <w:gridSpan w:val="3"/>
          </w:tcPr>
          <w:p>
            <w:pPr>
              <w:ind w:left="900"/>
              <w:spacing w:after="0"/>
              <w:rPr>
                <w:sz w:val="20"/>
                <w:szCs w:val="20"/>
                <w:color w:val="auto"/>
              </w:rPr>
            </w:pPr>
            <w:r>
              <w:rPr>
                <w:rFonts w:ascii="Arial" w:cs="Arial" w:eastAsia="Arial" w:hAnsi="Arial"/>
                <w:sz w:val="18"/>
                <w:szCs w:val="18"/>
                <w:color w:val="auto"/>
              </w:rPr>
              <w:t>Net present value of lease liabilities</w:t>
            </w: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12,564</w:t>
            </w:r>
          </w:p>
        </w:tc>
        <w:tc>
          <w:tcPr>
            <w:tcW w:w="88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assumptions and pertinent information related to the Company’s accounting for operating leases are:</w:t>
      </w:r>
    </w:p>
    <w:p>
      <w:pPr>
        <w:spacing w:after="0" w:line="253"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6.15 years</w:t>
            </w:r>
          </w:p>
        </w:tc>
      </w:tr>
      <w:tr>
        <w:trPr>
          <w:trHeight w:val="202"/>
        </w:trPr>
        <w:tc>
          <w:tcPr>
            <w:tcW w:w="6160" w:type="dxa"/>
            <w:vAlign w:val="bottom"/>
          </w:tcPr>
          <w:p>
            <w:pPr>
              <w:spacing w:after="0" w:line="201" w:lineRule="exact"/>
              <w:rPr>
                <w:sz w:val="20"/>
                <w:szCs w:val="20"/>
                <w:color w:val="auto"/>
              </w:rPr>
            </w:pPr>
            <w:r>
              <w:rPr>
                <w:rFonts w:ascii="Arial" w:cs="Arial" w:eastAsia="Arial" w:hAnsi="Arial"/>
                <w:sz w:val="18"/>
                <w:szCs w:val="18"/>
                <w:color w:val="auto"/>
                <w:w w:val="92"/>
              </w:rPr>
              <w:t>Weighted average discount rate used to determine present value of operating lease</w:t>
            </w:r>
          </w:p>
        </w:tc>
        <w:tc>
          <w:tcPr>
            <w:tcW w:w="1040" w:type="dxa"/>
            <w:vAlign w:val="bottom"/>
          </w:tcPr>
          <w:p>
            <w:pPr>
              <w:spacing w:after="0"/>
              <w:rPr>
                <w:sz w:val="17"/>
                <w:szCs w:val="17"/>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liability:</w:t>
            </w:r>
          </w:p>
        </w:tc>
        <w:tc>
          <w:tcPr>
            <w:tcW w:w="1040" w:type="dxa"/>
            <w:vAlign w:val="bottom"/>
          </w:tcPr>
          <w:p>
            <w:pPr>
              <w:ind w:left="240"/>
              <w:spacing w:after="0"/>
              <w:rPr>
                <w:sz w:val="20"/>
                <w:szCs w:val="20"/>
                <w:color w:val="auto"/>
              </w:rPr>
            </w:pPr>
            <w:r>
              <w:rPr>
                <w:rFonts w:ascii="Arial" w:cs="Arial" w:eastAsia="Arial" w:hAnsi="Arial"/>
                <w:sz w:val="18"/>
                <w:szCs w:val="18"/>
                <w:color w:val="auto"/>
              </w:rPr>
              <w:t>7.40 %</w:t>
            </w: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Cash paid for minimum annual rental obligations during the three and six months ended June 30, 2023 was $598 and $1,259, respectively. Cash paid for minimum annual rental obligations during the three and six months ended June 30, 2022 was $349 and $620, respectively.</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Variable lease payments calculated monthly as a percentage of product and services revenue, were $365 and $324 for the three months ended June 30, 2023 and 2022, respectively, and $711 and $689 for the six months ended June 30, 2023 and 2022,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Note 10. Other Assets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5920" w:type="dxa"/>
            <w:vAlign w:val="bottom"/>
          </w:tcPr>
          <w:p>
            <w:pPr>
              <w:ind w:left="20"/>
              <w:spacing w:after="0"/>
              <w:rPr>
                <w:sz w:val="20"/>
                <w:szCs w:val="20"/>
                <w:color w:val="auto"/>
              </w:rPr>
            </w:pPr>
            <w:r>
              <w:rPr>
                <w:rFonts w:ascii="Arial" w:cs="Arial" w:eastAsia="Arial" w:hAnsi="Arial"/>
                <w:sz w:val="18"/>
                <w:szCs w:val="18"/>
                <w:color w:val="auto"/>
                <w:w w:val="93"/>
              </w:rPr>
              <w:t>As of June 30, 2023 and December 31, 2022, assets consisted of the following:</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5"/>
        </w:trPr>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2023</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w w:val="88"/>
              </w:rPr>
              <w:t>December 31, 2022</w:t>
            </w:r>
          </w:p>
        </w:tc>
      </w:tr>
      <w:tr>
        <w:trPr>
          <w:trHeight w:val="210"/>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Lease deposits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1,549</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09"/>
        </w:trPr>
        <w:tc>
          <w:tcPr>
            <w:tcW w:w="59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20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r>
      <w:tr>
        <w:trPr>
          <w:trHeight w:val="20"/>
        </w:trPr>
        <w:tc>
          <w:tcPr>
            <w:tcW w:w="5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represents the activity related to the Company’s warrants during the six months ended June 30, 2023.</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Weighted average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8"/>
                <w:szCs w:val="18"/>
                <w:b w:val="1"/>
                <w:bCs w:val="1"/>
                <w:color w:val="auto"/>
                <w:w w:val="99"/>
              </w:rPr>
              <w:t>Exercise</w:t>
            </w:r>
          </w:p>
        </w:tc>
      </w:tr>
      <w:tr>
        <w:trPr>
          <w:trHeight w:val="234"/>
        </w:trPr>
        <w:tc>
          <w:tcPr>
            <w:tcW w:w="49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1"/>
              </w:rPr>
              <w:t>No. of Warrants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exercise price</w:t>
            </w: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w w:val="88"/>
              </w:rPr>
              <w:t>price range</w:t>
            </w:r>
          </w:p>
        </w:tc>
      </w:tr>
      <w:tr>
        <w:trPr>
          <w:trHeight w:val="223"/>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1,172,088</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1.7 - 2.125</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36"/>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(1,168,088)</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2.01</w:t>
            </w:r>
          </w:p>
        </w:tc>
        <w:tc>
          <w:tcPr>
            <w:tcW w:w="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1.7 - 2.125</w:t>
            </w:r>
          </w:p>
        </w:tc>
      </w:tr>
      <w:tr>
        <w:trPr>
          <w:trHeight w:val="216"/>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2.125</w:t>
            </w:r>
          </w:p>
        </w:tc>
      </w:tr>
      <w:tr>
        <w:trPr>
          <w:trHeight w:val="20"/>
        </w:trPr>
        <w:tc>
          <w:tcPr>
            <w:tcW w:w="4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August 31, 2021, the Company’s board of directors initially authorized a stock repurchase program that permitted the purchase and repurchase of up to 15 million shares of its common stock through September 15, 2022. In May 2022, the Board increased the share repurchase program by an additional 10 million shares and extended its effectiveness through September 15, 2023. Under this stock repurchase program, management has discretion in determining the conditions under which shares may be purchased from time to time. The program does not require us to repurchase any specific number of shares, and may be modified, suspended or terminated at any time without prior notice. Under the program, the Company purchased 8,480,850 shares for $12,116 and retired 7,142,446 of these purchased shares during the six months ended June 30, 2022, and the remaining 1,338,404 shares were retired on August 3, 2022.</w:t>
      </w:r>
    </w:p>
    <w:p>
      <w:pPr>
        <w:spacing w:after="0" w:line="165" w:lineRule="exact"/>
        <w:rPr>
          <w:sz w:val="20"/>
          <w:szCs w:val="20"/>
          <w:color w:val="auto"/>
        </w:rPr>
      </w:pPr>
    </w:p>
    <w:p>
      <w:pPr>
        <w:jc w:val="both"/>
        <w:ind w:left="60" w:right="59"/>
        <w:spacing w:after="0" w:line="315" w:lineRule="auto"/>
        <w:rPr>
          <w:sz w:val="20"/>
          <w:szCs w:val="20"/>
          <w:color w:val="auto"/>
        </w:rPr>
      </w:pPr>
      <w:r>
        <w:rPr>
          <w:rFonts w:ascii="Arial" w:cs="Arial" w:eastAsia="Arial" w:hAnsi="Arial"/>
          <w:sz w:val="16"/>
          <w:szCs w:val="16"/>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 September 2020, the Board of Directors approved a new stock-based compensation plan available to grant stock options, restricted stock and Restricted Stock Units (“RSU’s”) aggregating to 5,000,000 shares of Common Stock, to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Company’s directors, employees and consultants. Shareholder approval of the plan was subsequently obtained on October 28, 2020. On October 4, 2022, shareholders approved the amendment to the 2020 Plan to increase the number of shares authorized for issuance under the 2020 Plan by 7,500,000 shares of Common Stock to an aggregate of 12,500,000 shares. Under the 2020 Equity Incentive Plan (the “2020 Plan”), a maximum of 4,321,334 shares of Common Stock may be issued as of June 30, 2023. The Company’s previous Employee, Director and Consultant Equity Incentive Plan (the “2012 Plan”) was terminated upon receipt of shareholder approval of the 2020 Plan.</w:t>
      </w:r>
    </w:p>
    <w:p>
      <w:pPr>
        <w:spacing w:after="0" w:line="16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6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September 2020, XpresTest created a stock-based compensation plan available to grant stock options, Restricted Stock Awards (“RSAs”) and RSU’s to XpresTest’s directors, employees and consultants. Under the XpresTest 2020 Equity Incentive Plan (the “XpresTest Plan”), a maximum of 200 shares of XpresTest common stock may be awarded, which would represent 20% of the total number of shares of common stock of XpresTest as of June 30, 2023. Certain named executive officers, consultants, and directors of the Company are eligible to participate in the XpresTest Plan. As of June 30, 2023, there is $144 of unrecognized stock-based compensation related to the XpresTest Plan.</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The following variables were used as inputs in the model:</w:t>
            </w:r>
          </w:p>
        </w:tc>
        <w:tc>
          <w:tcPr>
            <w:tcW w:w="1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5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of the Company’s Common Stock on the grant date:</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1"/>
              </w:rPr>
              <w:t>- 0.41</w:t>
            </w: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0.36</w:t>
            </w:r>
          </w:p>
        </w:tc>
        <w:tc>
          <w:tcPr>
            <w:tcW w:w="1020" w:type="dxa"/>
            <w:vAlign w:val="bottom"/>
          </w:tcPr>
          <w:p>
            <w:pPr>
              <w:jc w:val="right"/>
              <w:ind w:right="490"/>
              <w:spacing w:after="0"/>
              <w:rPr>
                <w:sz w:val="20"/>
                <w:szCs w:val="20"/>
                <w:color w:val="auto"/>
              </w:rPr>
            </w:pPr>
            <w:r>
              <w:rPr>
                <w:rFonts w:ascii="Arial" w:cs="Arial" w:eastAsia="Arial" w:hAnsi="Arial"/>
                <w:sz w:val="18"/>
                <w:szCs w:val="18"/>
                <w:color w:val="auto"/>
                <w:w w:val="91"/>
              </w:rPr>
              <w:t>- 0.41</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3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119.41-121.04 %</w:t>
            </w: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0 %</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average risk-free rate:</w:t>
            </w:r>
          </w:p>
        </w:tc>
        <w:tc>
          <w:tcPr>
            <w:tcW w:w="1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2"/>
              </w:rPr>
              <w:t>- 3.96 %</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6.32</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w w:val="88"/>
              </w:rPr>
              <w:t>- 6.41 years</w:t>
            </w:r>
          </w:p>
        </w:tc>
      </w:tr>
    </w:tbl>
    <w:p>
      <w:pPr>
        <w:spacing w:after="0" w:line="200" w:lineRule="exact"/>
        <w:rPr>
          <w:sz w:val="20"/>
          <w:szCs w:val="20"/>
          <w:color w:val="auto"/>
        </w:rPr>
      </w:pPr>
    </w:p>
    <w:p>
      <w:pPr>
        <w:spacing w:after="0" w:line="203"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Total stock-based compensation for the three months ended June 30, 2023 and 2022 is $626 and $1,320, respectively, and for the six months ended June 30, 2023 and 2022 is $1,238 and $2,863, respectively. The Company had $2,437 and $2,506 of unrecognized stock-based compensation related to the XWELL Stock Options, as of June 30, 2023 and December 31, 2022,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sets forth the Company’s Equity Incentive activities for the six months ended June 30, 2023:</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p>
        </w:tc>
        <w:tc>
          <w:tcPr>
            <w:tcW w:w="17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RSUs</w:t>
            </w:r>
          </w:p>
        </w:tc>
        <w:tc>
          <w:tcPr>
            <w:tcW w:w="180" w:type="dxa"/>
            <w:vAlign w:val="bottom"/>
          </w:tcPr>
          <w:p>
            <w:pPr>
              <w:spacing w:after="0"/>
              <w:rPr>
                <w:sz w:val="20"/>
                <w:szCs w:val="20"/>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XpresTest RSAs</w:t>
            </w:r>
          </w:p>
        </w:tc>
        <w:tc>
          <w:tcPr>
            <w:tcW w:w="820" w:type="dxa"/>
            <w:vAlign w:val="bottom"/>
          </w:tcPr>
          <w:p>
            <w:pPr>
              <w:spacing w:after="0"/>
              <w:rPr>
                <w:sz w:val="20"/>
                <w:szCs w:val="20"/>
                <w:color w:val="auto"/>
              </w:rPr>
            </w:pPr>
          </w:p>
        </w:tc>
        <w:tc>
          <w:tcPr>
            <w:tcW w:w="212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w w:val="95"/>
              </w:rPr>
              <w:t>Stock options</w:t>
            </w:r>
          </w:p>
        </w:tc>
        <w:tc>
          <w:tcPr>
            <w:tcW w:w="0" w:type="dxa"/>
            <w:vAlign w:val="bottom"/>
          </w:tcPr>
          <w:p>
            <w:pPr>
              <w:spacing w:after="0"/>
              <w:rPr>
                <w:sz w:val="1"/>
                <w:szCs w:val="1"/>
                <w:color w:val="auto"/>
              </w:rPr>
            </w:pPr>
          </w:p>
        </w:tc>
      </w:tr>
      <w:tr>
        <w:trPr>
          <w:trHeight w:val="191"/>
        </w:trPr>
        <w:tc>
          <w:tcPr>
            <w:tcW w:w="23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3"/>
          </w:tcPr>
          <w:p>
            <w:pPr>
              <w:ind w:left="180"/>
              <w:spacing w:after="0" w:line="191" w:lineRule="exact"/>
              <w:rPr>
                <w:sz w:val="20"/>
                <w:szCs w:val="20"/>
                <w:color w:val="auto"/>
              </w:rPr>
            </w:pPr>
            <w:r>
              <w:rPr>
                <w:rFonts w:ascii="Arial" w:cs="Arial" w:eastAsia="Arial" w:hAnsi="Arial"/>
                <w:sz w:val="18"/>
                <w:szCs w:val="18"/>
                <w:b w:val="1"/>
                <w:bCs w:val="1"/>
                <w:color w:val="auto"/>
                <w:w w:val="91"/>
              </w:rPr>
              <w:t>Weighted</w:t>
            </w: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average</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average</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No. of</w:t>
            </w:r>
          </w:p>
        </w:tc>
        <w:tc>
          <w:tcPr>
            <w:tcW w:w="98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1"/>
              </w:rPr>
              <w:t>grant date</w:t>
            </w: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 of</w:t>
            </w:r>
          </w:p>
        </w:tc>
        <w:tc>
          <w:tcPr>
            <w:tcW w:w="118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grant date</w:t>
            </w: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No. of</w:t>
            </w:r>
          </w:p>
        </w:tc>
        <w:tc>
          <w:tcPr>
            <w:tcW w:w="18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exercise</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price</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RSUs</w:t>
            </w:r>
          </w:p>
        </w:tc>
        <w:tc>
          <w:tcPr>
            <w:tcW w:w="18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fair value</w:t>
            </w: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1"/>
              </w:rPr>
              <w:t>RSAs</w:t>
            </w:r>
          </w:p>
        </w:tc>
        <w:tc>
          <w:tcPr>
            <w:tcW w:w="200" w:type="dxa"/>
            <w:vAlign w:val="bottom"/>
          </w:tcPr>
          <w:p>
            <w:pPr>
              <w:spacing w:after="0"/>
              <w:rPr>
                <w:sz w:val="20"/>
                <w:szCs w:val="20"/>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fair value</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price</w:t>
            </w:r>
          </w:p>
        </w:tc>
        <w:tc>
          <w:tcPr>
            <w:tcW w:w="1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range</w:t>
            </w:r>
          </w:p>
        </w:tc>
        <w:tc>
          <w:tcPr>
            <w:tcW w:w="0" w:type="dxa"/>
            <w:vAlign w:val="bottom"/>
          </w:tcPr>
          <w:p>
            <w:pPr>
              <w:spacing w:after="0"/>
              <w:rPr>
                <w:sz w:val="1"/>
                <w:szCs w:val="1"/>
                <w:color w:val="auto"/>
              </w:rPr>
            </w:pPr>
          </w:p>
        </w:tc>
      </w:tr>
      <w:tr>
        <w:trPr>
          <w:trHeight w:val="182"/>
        </w:trPr>
        <w:tc>
          <w:tcPr>
            <w:tcW w:w="2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Outstanding as of December</w:t>
            </w: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31, 2022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47,570</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4,830,029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$ 0.65 - 2,460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238,888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0.32</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2,886,388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0.36 - 0.41</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Exercised/Vested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(187,500)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Forfeited</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(49,919)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0.40 - 1.61</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1.53 - 1,908</w:t>
            </w:r>
          </w:p>
        </w:tc>
        <w:tc>
          <w:tcPr>
            <w:tcW w:w="0" w:type="dxa"/>
            <w:vAlign w:val="bottom"/>
          </w:tcPr>
          <w:p>
            <w:pPr>
              <w:spacing w:after="0"/>
              <w:rPr>
                <w:sz w:val="1"/>
                <w:szCs w:val="1"/>
                <w:color w:val="auto"/>
              </w:rPr>
            </w:pPr>
          </w:p>
        </w:tc>
      </w:tr>
      <w:tr>
        <w:trPr>
          <w:trHeight w:val="182"/>
        </w:trPr>
        <w:tc>
          <w:tcPr>
            <w:tcW w:w="2380" w:type="dxa"/>
            <w:vAlign w:val="bottom"/>
          </w:tcPr>
          <w:p>
            <w:pPr>
              <w:spacing w:after="0" w:line="182" w:lineRule="exact"/>
              <w:rPr>
                <w:sz w:val="20"/>
                <w:szCs w:val="20"/>
                <w:color w:val="auto"/>
              </w:rPr>
            </w:pPr>
            <w:r>
              <w:rPr>
                <w:rFonts w:ascii="Arial" w:cs="Arial" w:eastAsia="Arial" w:hAnsi="Arial"/>
                <w:sz w:val="18"/>
                <w:szCs w:val="18"/>
                <w:color w:val="auto"/>
              </w:rPr>
              <w:t>Outstanding as of</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332,638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2"/>
              </w:rPr>
              <w:t>7,641,697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380" w:type="dxa"/>
            <w:vAlign w:val="bottom"/>
          </w:tcPr>
          <w:p>
            <w:pPr>
              <w:spacing w:after="0"/>
              <w:rPr>
                <w:sz w:val="20"/>
                <w:szCs w:val="20"/>
                <w:color w:val="auto"/>
              </w:rPr>
            </w:pPr>
            <w:r>
              <w:rPr>
                <w:rFonts w:ascii="Arial" w:cs="Arial" w:eastAsia="Arial" w:hAnsi="Arial"/>
                <w:sz w:val="18"/>
                <w:szCs w:val="18"/>
                <w:color w:val="auto"/>
              </w:rPr>
              <w:t>June 30, 2023</w:t>
            </w:r>
          </w:p>
        </w:tc>
        <w:tc>
          <w:tcPr>
            <w:tcW w:w="760" w:type="dxa"/>
            <w:vAlign w:val="bottom"/>
            <w:vMerge w:val="continue"/>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0.41</w:t>
            </w:r>
          </w:p>
        </w:tc>
        <w:tc>
          <w:tcPr>
            <w:tcW w:w="660" w:type="dxa"/>
            <w:vAlign w:val="bottom"/>
            <w:gridSpan w:val="2"/>
            <w:vMerge w:val="continue"/>
          </w:tcPr>
          <w:p>
            <w:pPr>
              <w:spacing w:after="0"/>
              <w:rPr>
                <w:sz w:val="22"/>
                <w:szCs w:val="22"/>
                <w:color w:val="auto"/>
              </w:rPr>
            </w:pPr>
          </w:p>
        </w:tc>
        <w:tc>
          <w:tcPr>
            <w:tcW w:w="2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47,570</w:t>
            </w:r>
          </w:p>
        </w:tc>
        <w:tc>
          <w:tcPr>
            <w:tcW w:w="2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$ 0.36 - 2,460</w:t>
            </w:r>
          </w:p>
        </w:tc>
        <w:tc>
          <w:tcPr>
            <w:tcW w:w="0" w:type="dxa"/>
            <w:vAlign w:val="bottom"/>
          </w:tcPr>
          <w:p>
            <w:pPr>
              <w:spacing w:after="0"/>
              <w:rPr>
                <w:sz w:val="1"/>
                <w:szCs w:val="1"/>
                <w:color w:val="auto"/>
              </w:rPr>
            </w:pPr>
          </w:p>
        </w:tc>
      </w:tr>
      <w:tr>
        <w:trPr>
          <w:trHeight w:val="155"/>
        </w:trPr>
        <w:tc>
          <w:tcPr>
            <w:tcW w:w="23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Exercisable as of</w:t>
            </w:r>
          </w:p>
        </w:tc>
        <w:tc>
          <w:tcPr>
            <w:tcW w:w="7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3,962,957</w:t>
            </w: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2023</w:t>
            </w: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1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$ 0.40- 2,460</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 for the three and six months ended June 30, 2023 reflect an estimated global annual effective tax rate of approximately 0% from continuing operations. Discontinued operations for the three and six months ended June 30, 2023 reflected an annual effective tax rate of 0%.</w:t>
      </w:r>
    </w:p>
    <w:p>
      <w:pPr>
        <w:spacing w:after="0" w:line="16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As of June 30, 2023, deferred tax assets generated from the Company’s U.S. activities were offset by a valuation allowance because realization depends on generating future taxable income, which, in the Company’s estimation, is not more likely than not to be generated before such net operating loss carryforwards expire. Net operating loss carryforwards generated after December 31, 2017 do not expire. The Company expects its effective tax rate for its current fiscal year to be significantly lower than the statutory rate as a result of a full valuation allowance; therefore, any loss before income taxes does not generate a corresponding income tax benefit. Income tax expense/(benefit) for the three and six months ended June 30, 2023 was $0 which was attributed to state taxing jurisdictions in which a measure of income is utilized to determine a tax liability. The final annual tax rate cannot be determined until the end of the fiscal year; therefore, the actual tax rate could differ from current estimates.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Certain of the Company’s outstanding legal matters include speculative claims for substantial or indeterminate amounts of damages. The Company regularly evaluates developments in its legal matters that could affect the amount of any potential liability and adjusts as appropriate. A significant judgment is required to determine both the likelihood of there being any potential liability and the estimated amount of a loss related to the Company’s legal matters.</w:t>
      </w:r>
    </w:p>
    <w:p>
      <w:pPr>
        <w:spacing w:after="0" w:line="171"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$449 and $963 as of June 30, 2023 and December 31, 2022, respectively, which is included in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xml:space="preserve"> in the condensed consolidated balance sheets.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Kyle Collins v. Spa Products Import &amp; Distribution Co., LLC et al</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This is a combined class action and California Private Attorney’s General Act (“PAGA”) action. Plaintiff seeks to recover wages, penalties and PAGA penalties for claims for (1) failure to provide meal periods, (2) failure to provide rest breaks,</w:t>
      </w:r>
    </w:p>
    <w:p>
      <w:pPr>
        <w:jc w:val="both"/>
        <w:ind w:left="60" w:right="59" w:hanging="10"/>
        <w:spacing w:after="0" w:line="252"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pay overtime, (4) inaccurate wage statements, (5) waiting time penalties, and (6) PAGA penalties of $0.1 per employee per pay period per violation. There are approximately 240 current and former employees in the litigation class. The parties agreed to mediation on May 26, 2020, however, due to COVID-19, the parties subsequently stayed all proceedings. The mediation session occurred on March 18, 2021, and the parties reached a settlement which was approved on September 20, 2022 for the amount of $517 and additional payroll taxes of $4. Funding of the settlement amount occurred on January 26, 2023.</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OTG Management PHL B v. XpresSpa Philadelphia Terminal B et al.</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May 9, 2022, a lawsuit was filed in the Philadelphia Court of Common Pleas by OTG Management at Philadelphia International Airport, claiming that XWELL improperly backed out of its sublease for space at Terminal B and now owes between $864 and $2,250 in accelerated rent for the 12-year contract. They claim that by refusing to complete the project, failing to commence and maintain operations, refusing to pay rent and improperly purporting to terminate the lease (among other acts and omissions), XWELL breached the lease. OTG Management has agreed to extend XWELL’s time to respond to the Complaint to September 5, 2023.</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the event that an action is brought against the Company or one of its subsidiaries, the Company will investigate the allegation and vigorously defend itself.</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Leases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XWELL is contingently liable to a surety company under certain general indemnity agreements required by various airports relating to its lease agreements. XWELL agrees to indemnify the surety for any payments made on contracts of suretyship, guaranty, or indemnity. The Company believes that all contingent liabilities will be satisfied by its performance under the specified lease agreements.</w:t>
      </w:r>
    </w:p>
    <w:p>
      <w:pPr>
        <w:spacing w:after="0" w:line="2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Segment Information</w:t>
      </w:r>
    </w:p>
    <w:p>
      <w:pPr>
        <w:spacing w:after="0" w:line="12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As a result of the Company’s transition to a pure-play health and wellness services company, the Company currently has four reportable operating segments: XpresSpa, XpresTest, Treat and HyperPointe, acquired in January 2022. The Company analyzes the results of the Company’s business through the four reportable segments. The XpresSpa segment provides travelers premium spa services, including massage, nail and skin care, as well as spa and travel products. The XpresTest segment provides diagnostic COVID-19 tests at XpresCheck Wellness Centers in airports, to airport employees and to the traveling public. The Treat segment provides access to integrated care which can seamlessly fit into a post-pandemic world and is designed to deliver on-demand access to integrated healthcare through technology and personalized services, positioned for a traveler to access health care, records and real-time information all in one place, as well as book appointments in the Company’s on-site wellness centers as they reopen. The HyperPointe segment provides a broad range of service and support options for its customers, including technical support services and advanced services. The chief operating decision maker evaluates the operating results and performance of the Company’s segments through operating income. Expenses that can be specifically identified with a segment have been included as deductions in determining operating income. Any remaining expenses and other charges are included in Corporate and Other.</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34"/>
        </w:trPr>
        <w:tc>
          <w:tcPr>
            <w:tcW w:w="6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09"/>
        </w:trPr>
        <w:tc>
          <w:tcPr>
            <w:tcW w:w="6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2022</w:t>
            </w:r>
          </w:p>
        </w:tc>
      </w:tr>
      <w:tr>
        <w:trPr>
          <w:trHeight w:val="21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5,228</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3,290</w:t>
            </w: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w:t>
            </w: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Treat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r>
      <w:tr>
        <w:trPr>
          <w:trHeight w:val="210"/>
        </w:trPr>
        <w:tc>
          <w:tcPr>
            <w:tcW w:w="618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8,175</w:t>
            </w: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13,597</w:t>
            </w: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(2,822)</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(1,958)</w:t>
            </w: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Treat</w:t>
            </w: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(360)</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(1,460)</w:t>
            </w: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(2,137)</w:t>
            </w:r>
          </w:p>
        </w:tc>
      </w:tr>
      <w:tr>
        <w:trPr>
          <w:trHeight w:val="209"/>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loss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(7,767)</w:t>
            </w: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6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&amp; Amortization</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Treat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6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Depreciation &amp; Amortization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w w:val="95"/>
              </w:rPr>
              <w:t>For the six months ended</w:t>
            </w:r>
          </w:p>
        </w:tc>
      </w:tr>
      <w:tr>
        <w:trPr>
          <w:trHeight w:val="234"/>
        </w:trPr>
        <w:tc>
          <w:tcPr>
            <w:tcW w:w="6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5"/>
              </w:rPr>
              <w:t>June 30,</w:t>
            </w:r>
          </w:p>
        </w:tc>
        <w:tc>
          <w:tcPr>
            <w:tcW w:w="980" w:type="dxa"/>
            <w:vAlign w:val="bottom"/>
            <w:tcBorders>
              <w:bottom w:val="single" w:sz="8" w:color="auto"/>
            </w:tcBorders>
          </w:tcPr>
          <w:p>
            <w:pPr>
              <w:spacing w:after="0"/>
              <w:rPr>
                <w:sz w:val="20"/>
                <w:szCs w:val="20"/>
                <w:color w:val="auto"/>
              </w:rPr>
            </w:pPr>
          </w:p>
        </w:tc>
      </w:tr>
      <w:tr>
        <w:trPr>
          <w:trHeight w:val="210"/>
        </w:trPr>
        <w:tc>
          <w:tcPr>
            <w:tcW w:w="6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2022</w:t>
            </w:r>
          </w:p>
        </w:tc>
      </w:tr>
      <w:tr>
        <w:trPr>
          <w:trHeight w:val="21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9,727</w:t>
            </w:r>
          </w:p>
        </w:tc>
        <w:tc>
          <w:tcPr>
            <w:tcW w:w="7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5,933</w:t>
            </w: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29,849</w:t>
            </w: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Treat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r>
      <w:tr>
        <w:trPr>
          <w:trHeight w:val="210"/>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15,238</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37,645</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0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XpresSpa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(5,954)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(6,413)</w:t>
            </w: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XpresTest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Treat</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(804)</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(2,756)</w:t>
            </w:r>
          </w:p>
        </w:tc>
      </w:tr>
      <w:tr>
        <w:trPr>
          <w:trHeight w:val="216"/>
        </w:trPr>
        <w:tc>
          <w:tcPr>
            <w:tcW w:w="6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HyperPointe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16"/>
        </w:trPr>
        <w:tc>
          <w:tcPr>
            <w:tcW w:w="618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(4,456)</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(4,765)</w:t>
            </w:r>
          </w:p>
        </w:tc>
      </w:tr>
      <w:tr>
        <w:trPr>
          <w:trHeight w:val="210"/>
        </w:trPr>
        <w:tc>
          <w:tcPr>
            <w:tcW w:w="6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loss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(10,218)</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tbl>
      <w:tblPr>
        <w:tblLayout w:type="fixed"/>
        <w:tblInd w:w="40" w:type="dxa"/>
        <w:tblCellMar>
          <w:top w:w="0" w:type="dxa"/>
          <w:left w:w="0" w:type="dxa"/>
          <w:bottom w:w="0" w:type="dxa"/>
          <w:right w:w="0" w:type="dxa"/>
        </w:tblCellMar>
      </w:tblPr>
      <w:tr>
        <w:trPr>
          <w:trHeight w:val="207"/>
        </w:trPr>
        <w:tc>
          <w:tcPr>
            <w:tcW w:w="3500" w:type="dxa"/>
            <w:vAlign w:val="bottom"/>
            <w:gridSpan w:val="3"/>
          </w:tcPr>
          <w:p>
            <w:pPr>
              <w:ind w:left="20"/>
              <w:spacing w:after="0"/>
              <w:rPr>
                <w:sz w:val="20"/>
                <w:szCs w:val="20"/>
                <w:color w:val="auto"/>
              </w:rPr>
            </w:pPr>
            <w:r>
              <w:rPr>
                <w:rFonts w:ascii="Arial" w:cs="Arial" w:eastAsia="Arial" w:hAnsi="Arial"/>
                <w:sz w:val="18"/>
                <w:szCs w:val="18"/>
                <w:color w:val="0000EE"/>
              </w:rPr>
              <w:t>Table of Contents</w:t>
            </w:r>
          </w:p>
        </w:tc>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6"/>
          </w:tcPr>
          <w:p>
            <w:pPr>
              <w:ind w:left="18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5"/>
              </w:rPr>
              <w:t>June 30,</w:t>
            </w: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2220" w:type="dxa"/>
            <w:vAlign w:val="bottom"/>
            <w:tcBorders>
              <w:bottom w:val="single" w:sz="8" w:color="CCEEFF"/>
            </w:tcBorders>
          </w:tcPr>
          <w:p>
            <w:pPr>
              <w:spacing w:after="0"/>
              <w:rPr>
                <w:sz w:val="18"/>
                <w:szCs w:val="18"/>
                <w:color w:val="auto"/>
              </w:rPr>
            </w:pPr>
          </w:p>
        </w:tc>
        <w:tc>
          <w:tcPr>
            <w:tcW w:w="2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&amp; amortization</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Arial" w:cs="Arial" w:eastAsia="Arial" w:hAnsi="Arial"/>
                <w:sz w:val="18"/>
                <w:szCs w:val="18"/>
                <w:color w:val="auto"/>
              </w:rPr>
              <w:t>XpresSpa</w:t>
            </w:r>
          </w:p>
        </w:tc>
        <w:tc>
          <w:tcPr>
            <w:tcW w:w="290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854</w:t>
            </w:r>
          </w:p>
        </w:tc>
        <w:tc>
          <w:tcPr>
            <w:tcW w:w="7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XpresTest</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Arial" w:cs="Arial" w:eastAsia="Arial" w:hAnsi="Arial"/>
                <w:sz w:val="18"/>
                <w:szCs w:val="18"/>
                <w:color w:val="auto"/>
              </w:rPr>
              <w:t>Treat</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HyperPointe</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Corporate and other</w:t>
            </w:r>
          </w:p>
        </w:tc>
        <w:tc>
          <w:tcPr>
            <w:tcW w:w="2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depreciation &amp; amortization</w:t>
            </w:r>
          </w:p>
        </w:tc>
        <w:tc>
          <w:tcPr>
            <w:tcW w:w="2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2220" w:type="dxa"/>
            <w:vAlign w:val="bottom"/>
            <w:tcBorders>
              <w:bottom w:val="single" w:sz="8" w:color="CCEEFF"/>
            </w:tcBorders>
          </w:tcPr>
          <w:p>
            <w:pPr>
              <w:spacing w:after="0"/>
              <w:rPr>
                <w:sz w:val="24"/>
                <w:szCs w:val="24"/>
                <w:color w:val="auto"/>
              </w:rPr>
            </w:pPr>
          </w:p>
        </w:tc>
        <w:tc>
          <w:tcPr>
            <w:tcW w:w="26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Arial" w:cs="Arial" w:eastAsia="Arial" w:hAnsi="Arial"/>
                <w:sz w:val="18"/>
                <w:szCs w:val="18"/>
                <w:color w:val="auto"/>
              </w:rPr>
              <w:t>XpresSpa</w:t>
            </w:r>
          </w:p>
        </w:tc>
        <w:tc>
          <w:tcPr>
            <w:tcW w:w="290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1,445</w:t>
            </w:r>
          </w:p>
        </w:tc>
        <w:tc>
          <w:tcPr>
            <w:tcW w:w="7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XpresTest</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Arial" w:cs="Arial" w:eastAsia="Arial" w:hAnsi="Arial"/>
                <w:sz w:val="18"/>
                <w:szCs w:val="18"/>
                <w:color w:val="auto"/>
              </w:rPr>
              <w:t>Treat</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HyperPointe</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Corporate and other</w:t>
            </w:r>
          </w:p>
        </w:tc>
        <w:tc>
          <w:tcPr>
            <w:tcW w:w="2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 expenditures</w:t>
            </w:r>
          </w:p>
        </w:tc>
        <w:tc>
          <w:tcPr>
            <w:tcW w:w="2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40" w:type="dxa"/>
            <w:vAlign w:val="bottom"/>
            <w:gridSpan w:val="7"/>
          </w:tcPr>
          <w:p>
            <w:pPr>
              <w:spacing w:after="0"/>
              <w:rPr>
                <w:sz w:val="20"/>
                <w:szCs w:val="20"/>
                <w:color w:val="auto"/>
              </w:rPr>
            </w:pPr>
            <w:r>
              <w:rPr>
                <w:rFonts w:ascii="Arial" w:cs="Arial" w:eastAsia="Arial" w:hAnsi="Arial"/>
                <w:sz w:val="18"/>
                <w:szCs w:val="18"/>
                <w:b w:val="1"/>
                <w:bCs w:val="1"/>
                <w:color w:val="auto"/>
                <w:w w:val="94"/>
              </w:rPr>
              <w:t>June 30, 2023  December 31, 2022</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Long-lived Assets</w:t>
            </w:r>
          </w:p>
        </w:tc>
        <w:tc>
          <w:tcPr>
            <w:tcW w:w="2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Arial" w:cs="Arial" w:eastAsia="Arial" w:hAnsi="Arial"/>
                <w:sz w:val="18"/>
                <w:szCs w:val="18"/>
                <w:color w:val="auto"/>
              </w:rPr>
              <w:t>XpresSpa</w:t>
            </w:r>
          </w:p>
        </w:tc>
        <w:tc>
          <w:tcPr>
            <w:tcW w:w="290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10,031</w:t>
            </w:r>
          </w:p>
        </w:tc>
        <w:tc>
          <w:tcPr>
            <w:tcW w:w="7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XpresTest</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Arial" w:cs="Arial" w:eastAsia="Arial" w:hAnsi="Arial"/>
                <w:sz w:val="18"/>
                <w:szCs w:val="18"/>
                <w:color w:val="auto"/>
              </w:rPr>
              <w:t>Treat</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HyperPointe</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Corporate and other</w:t>
            </w:r>
          </w:p>
        </w:tc>
        <w:tc>
          <w:tcPr>
            <w:tcW w:w="2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long-lived Assets</w:t>
            </w:r>
          </w:p>
        </w:tc>
        <w:tc>
          <w:tcPr>
            <w:tcW w:w="2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40" w:type="dxa"/>
            <w:vAlign w:val="bottom"/>
            <w:gridSpan w:val="7"/>
          </w:tcPr>
          <w:p>
            <w:pPr>
              <w:spacing w:after="0"/>
              <w:rPr>
                <w:sz w:val="20"/>
                <w:szCs w:val="20"/>
                <w:color w:val="auto"/>
              </w:rPr>
            </w:pPr>
            <w:r>
              <w:rPr>
                <w:rFonts w:ascii="Arial" w:cs="Arial" w:eastAsia="Arial" w:hAnsi="Arial"/>
                <w:sz w:val="18"/>
                <w:szCs w:val="18"/>
                <w:b w:val="1"/>
                <w:bCs w:val="1"/>
                <w:color w:val="auto"/>
                <w:w w:val="94"/>
              </w:rPr>
              <w:t>June 30, 2023  December 31, 2022</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Arial" w:cs="Arial" w:eastAsia="Arial" w:hAnsi="Arial"/>
                <w:sz w:val="18"/>
                <w:szCs w:val="18"/>
                <w:color w:val="auto"/>
              </w:rPr>
              <w:t>XpresSpa</w:t>
            </w:r>
          </w:p>
        </w:tc>
        <w:tc>
          <w:tcPr>
            <w:tcW w:w="290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19,861</w:t>
            </w:r>
          </w:p>
        </w:tc>
        <w:tc>
          <w:tcPr>
            <w:tcW w:w="7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XpresTest</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Arial" w:cs="Arial" w:eastAsia="Arial" w:hAnsi="Arial"/>
                <w:sz w:val="18"/>
                <w:szCs w:val="18"/>
                <w:color w:val="auto"/>
              </w:rPr>
              <w:t>Treat</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HyperPointe</w:t>
            </w: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Corporate and other</w:t>
            </w:r>
          </w:p>
        </w:tc>
        <w:tc>
          <w:tcPr>
            <w:tcW w:w="26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25,236</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6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56,587</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80" w:type="dxa"/>
            <w:vAlign w:val="bottom"/>
            <w:vMerge w:val="restart"/>
          </w:tcPr>
          <w:p>
            <w:pPr>
              <w:ind w:left="88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2022 filed on April 17, 2023, as subsequently amended on May 1, 2023 (the “Annual Report”), our Quarterly Report on Form 10-Q for the three months ended March 31, 2023,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390"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XWELL, Inc., a Delaware corporation, and its consolidated subsidiaries.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October 25, 2022, we changed our name to XWELL, Inc. (“XWELL” or the “Company”) from XpresSpa Group, Inc. Our common stock, par value $0.01 per share, which had previously been listed under the trading symbol “XSPA” on the Nasdaq Capital Market, now trades under the trading symbol “XWEL” since the opening of the trading market on October 25, 2022. We filed an amended and restated certificate of incorporation with the Delaware Secretary of State on October 24, 2022 (the “Amended and Restated Certificate”) reflecting the name change. Rebranding to XWELL aligned our corporate strategy to build a pure-play health and wellness services company, in both the airport and off airport marketplaces.</w:t>
      </w:r>
    </w:p>
    <w:p>
      <w:pPr>
        <w:spacing w:after="0" w:line="195" w:lineRule="exact"/>
        <w:rPr>
          <w:sz w:val="20"/>
          <w:szCs w:val="20"/>
          <w:color w:val="auto"/>
        </w:rPr>
      </w:pPr>
    </w:p>
    <w:p>
      <w:pPr>
        <w:jc w:val="both"/>
        <w:ind w:left="60" w:right="79"/>
        <w:spacing w:after="0" w:line="293" w:lineRule="auto"/>
        <w:rPr>
          <w:sz w:val="20"/>
          <w:szCs w:val="20"/>
          <w:color w:val="auto"/>
        </w:rPr>
      </w:pPr>
      <w:r>
        <w:rPr>
          <w:rFonts w:ascii="Arial" w:cs="Arial" w:eastAsia="Arial" w:hAnsi="Arial"/>
          <w:sz w:val="16"/>
          <w:szCs w:val="16"/>
          <w:color w:val="auto"/>
        </w:rPr>
        <w:t>On August 4, 2023, we filed Form S-3 with the United States Securities and Exchange Commission (“SEC”). This Form S-3 which is a Registration Statement under the Securities Act of 1933, when accepted by the SEC, would enable us to issue, from time to time at prices and on terms to be determined at or prior to the time of the offering, up to $200,000 of any combination of the securities described in the registration,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or rights.</w:t>
      </w:r>
    </w:p>
    <w:p>
      <w:pPr>
        <w:spacing w:after="0" w:line="164" w:lineRule="exact"/>
        <w:rPr>
          <w:sz w:val="20"/>
          <w:szCs w:val="20"/>
          <w:color w:val="auto"/>
        </w:rPr>
      </w:pPr>
    </w:p>
    <w:p>
      <w:pPr>
        <w:jc w:val="both"/>
        <w:ind w:left="60" w:right="79"/>
        <w:spacing w:after="0" w:line="282" w:lineRule="auto"/>
        <w:rPr>
          <w:sz w:val="20"/>
          <w:szCs w:val="20"/>
          <w:color w:val="auto"/>
        </w:rPr>
      </w:pPr>
      <w:r>
        <w:rPr>
          <w:rFonts w:ascii="Arial" w:cs="Arial" w:eastAsia="Arial" w:hAnsi="Arial"/>
          <w:sz w:val="18"/>
          <w:szCs w:val="18"/>
          <w:color w:val="auto"/>
        </w:rPr>
        <w:t>XWELL is a global travel health and wellness services holding company. XWELL currently has four reportable operating segments: XpresSpa</w:t>
      </w:r>
      <w:r>
        <w:rPr>
          <w:rFonts w:ascii="Arial" w:cs="Arial" w:eastAsia="Arial" w:hAnsi="Arial"/>
          <w:sz w:val="20"/>
          <w:szCs w:val="20"/>
          <w:color w:val="auto"/>
          <w:vertAlign w:val="superscript"/>
        </w:rPr>
        <w:t>®</w:t>
      </w:r>
      <w:r>
        <w:rPr>
          <w:rFonts w:ascii="Arial" w:cs="Arial" w:eastAsia="Arial" w:hAnsi="Arial"/>
          <w:sz w:val="18"/>
          <w:szCs w:val="18"/>
          <w:color w:val="auto"/>
        </w:rPr>
        <w:t>, XpresTest</w:t>
      </w:r>
      <w:r>
        <w:rPr>
          <w:rFonts w:ascii="Arial" w:cs="Arial" w:eastAsia="Arial" w:hAnsi="Arial"/>
          <w:sz w:val="20"/>
          <w:szCs w:val="20"/>
          <w:color w:val="auto"/>
          <w:vertAlign w:val="superscript"/>
        </w:rPr>
        <w:t>®</w:t>
      </w:r>
      <w:r>
        <w:rPr>
          <w:rFonts w:ascii="Arial" w:cs="Arial" w:eastAsia="Arial" w:hAnsi="Arial"/>
          <w:sz w:val="18"/>
          <w:szCs w:val="18"/>
          <w:color w:val="auto"/>
        </w:rPr>
        <w:t>, Treat</w:t>
      </w:r>
      <w:r>
        <w:rPr>
          <w:rFonts w:ascii="Arial" w:cs="Arial" w:eastAsia="Arial" w:hAnsi="Arial"/>
          <w:sz w:val="26"/>
          <w:szCs w:val="26"/>
          <w:color w:val="auto"/>
          <w:vertAlign w:val="superscript"/>
        </w:rPr>
        <w:t>™</w:t>
      </w:r>
      <w:r>
        <w:rPr>
          <w:rFonts w:ascii="Arial" w:cs="Arial" w:eastAsia="Arial" w:hAnsi="Arial"/>
          <w:sz w:val="18"/>
          <w:szCs w:val="18"/>
          <w:color w:val="auto"/>
        </w:rPr>
        <w:t>, and HyperPointe which was acquired in January 2022.</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XpresSpa</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XWELL’s subsidiary, XpresSpa Holdings, LLC (“XpresSpa”) has been a global airport retailer of spa services through our XpresSpa spa locations, offering travelers premium spa services, including massage, nail and skin care, as well as spa and travel products.</w:t>
      </w:r>
    </w:p>
    <w:p>
      <w:pPr>
        <w:spacing w:after="0" w:line="184"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As of June 30, 2023, there were 25 operating XpresSpa domestic locations. During 2022, we sold one location in Austin-Bergstrom International Airport to our franchisee which now operates both locations at this airport. As we continue to monitor fluctuating airport volumes, we will also continue to review operating hours to optimize revenue opportunity.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also had 10 international locations operating as of June 30, 2023, including two XpresSpa locations in Dubai International Airport in the United Arab Emirates, three XpresSpa locations in Schiphol Amsterdam Airport in the Netherlands and five XpresSpa locations in Istanbul Airport in Turkey.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XpresTest</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We, in partnership with certain COVID-19 testing partners, successfully launched our XpresCheck Wellness Centers through our XpresTest, Inc. subsidiary (“XpresTest”), offering testing services, also in airports. During 2022, as countries continued to relax their testing requirements resulting in rapid decline of testing volumes at our XpresCheck locations, we closed all but one XpresCheck Wellness Center. As of June 30, 2023, all our XpresCheck locations have ceased operations.</w:t>
      </w:r>
    </w:p>
    <w:p>
      <w:pPr>
        <w:spacing w:after="0" w:line="15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XpresTest began conducting biosurveillance monitoring with the Centers for Disease Control and Prevention (CDC) in collaboration with Concentric by Ginkgo in 2021 and on January 31, 2022, we announced the extension of the initial program, bringing the total contract to $5,534. As of August 2022, the program was renewed in partnership with Ginkgo BioWorks for a new two-year contract term which represents approximately $7,331 in revenue (for the first year) for the XpresTest segment. On August 11, 2023, the revenue for the second year was determined to be approximately $6,000.</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Treat</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Treat segment, which is operating through XWELL’s subsidiary Treat, Inc. (“Treat”) is a travel health and wellness brand that provides access to health and wellness services for travelers at on-site centers (currently located in JFK International Airport and in Salt Lake City International Airport).</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2022, our Treat brand opened new locations in Phoenix Sky Harbor International Airport (pre-security) and Salt Lake City International Airport. With respect to these locations in Phoenix and Salt Lake City, agreements had already been executed with the airports and the decision was made to convert these locations to Treat.</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By the third quarter of 2022, it became clear that the Treat business required a change in strategy and as a result, we began to retool the offerings within the Treat locations by providing additional retail as part of our retail strategy expansion as well as lay the foundation to bring more spa-like services into the Treat location in an attempt to unify our core offering.</w:t>
      </w:r>
    </w:p>
    <w:p>
      <w:pPr>
        <w:spacing w:after="0" w:line="14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By the fourth quarter of 2022, the decision was made to close the pre-security Treat location at Phoenix Sky Harbor Airport. As of June 30, 2023, the Treat brand operates in two locations (JFK International Airport and Salt Lake City International Airport). These remaining Treat locations offer a full retail product offering and a suite of wellness and spa services.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HyperPointe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HyperPointe segment, which the Company acquired in January 2022, provides a broad range of service and support options for our customers, including technical support services and advanced services.</w:t>
      </w:r>
    </w:p>
    <w:p>
      <w:pPr>
        <w:spacing w:after="0" w:line="170"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Although we recognize four segments of business, our strategy for the future is to create and leverage a fully integrated set of products and services that are both profitable and scalable across our portfolio of brands. Additionally, we are expanding our retail strategy, not only adding more products for sale but aligning those products more efficiently to our service offerings. This product strategy includes, for example, adding muscle relaxation patches to a neck or back massage to continue treatment after the delivery of the service.</w:t>
      </w:r>
    </w:p>
    <w:p>
      <w:pPr>
        <w:spacing w:after="0" w:line="18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also plan to build our capability for delivering health and wellness services outside the airport. We believe operating outside of the airport complements our offering and represents the fastest way to scale the XWELL family of brands. We will be looking to further expand internationally. With international travel slowly returning to pre-pandemic levels, we continue to be opportunistic in our approach, by taking advantage of the current market growth. We believe a strategy for international expansion further advances our ability to expand our other brands including biosurveillance outside of the US.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These strategic imperatives will be accomplished through development of an infrastructure specifically focused on enabling scalable and efficient growth.</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14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recognize revenue from the sale of XpresSpa services when they are rendered at our stores and from the sale of products at the time goods are purchased at our stores or online (usually by credit card), net of discounts and applicable sales taxes.</w:t>
      </w:r>
    </w:p>
    <w:p>
      <w:pPr>
        <w:spacing w:after="0" w:line="11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have entered into managed services agreements with professional medical services companies that provide healthcare services to patients in our XpresCheck and Treat Wellness Centers. The medical services companies will pay XpresTest and Treat, a monthly management fee to operate in the XpresCheck and Treat Wellness Centers.</w:t>
      </w:r>
    </w:p>
    <w:p>
      <w:pPr>
        <w:spacing w:after="0" w:line="9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HyperPointe segment provides a broad range of service and support options for our customers, including technical support services and advanced services. Technical support services represent the majority of these offerings which are distinct performance obligations that are satisfied over time with revenue recognized ratably over the contract term.</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sales</w:t>
      </w:r>
    </w:p>
    <w:p>
      <w:pPr>
        <w:spacing w:after="0" w:line="16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Cost of sales for our XpresSpa segment consists of store-level costs. Store-level costs include all costs that are directly attributable to the store operations, primarily payroll and related benefit costs for store personnel, occupancy costs and cost of products sold. Cost of sales of our XpresTest and Treat segments include costs related to the XpresCheck and Treat Medical Office business, and consists of expenses directly attributable to the clinic operations under the terms of the MSAs, primarily payroll and related benefit costs for personnel, occupancy costs and cost of supplies used to administer the diagnostic COVID-19 tests and a suite of health and wellness services.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general and administrative expenses</w:t>
      </w:r>
    </w:p>
    <w:p>
      <w:pPr>
        <w:spacing w:after="0" w:line="14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Other general and administrative expenses include management and administrative personnel, overhead and occupancy costs, insurance and various professional fees, as well as stock-based compensation for directors, management and administrative personnel.</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June 30, 2023 compared to the three months ended June 30, 2022</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4"/>
        </w:trPr>
        <w:tc>
          <w:tcPr>
            <w:tcW w:w="5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7"/>
          </w:tcPr>
          <w:p>
            <w:pPr>
              <w:ind w:left="200"/>
              <w:spacing w:after="0"/>
              <w:rPr>
                <w:sz w:val="20"/>
                <w:szCs w:val="20"/>
                <w:color w:val="auto"/>
              </w:rPr>
            </w:pPr>
            <w:r>
              <w:rPr>
                <w:rFonts w:ascii="Arial" w:cs="Arial" w:eastAsia="Arial" w:hAnsi="Arial"/>
                <w:sz w:val="18"/>
                <w:szCs w:val="18"/>
                <w:b w:val="1"/>
                <w:bCs w:val="1"/>
                <w:color w:val="auto"/>
              </w:rPr>
              <w:t>Three months ended June 30,</w:t>
            </w:r>
          </w:p>
        </w:tc>
      </w:tr>
      <w:tr>
        <w:trPr>
          <w:trHeight w:val="210"/>
        </w:trPr>
        <w:tc>
          <w:tcPr>
            <w:tcW w:w="58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Inc/(Dec)</w:t>
            </w:r>
          </w:p>
        </w:tc>
        <w:tc>
          <w:tcPr>
            <w:tcW w:w="20" w:type="dxa"/>
            <w:vAlign w:val="bottom"/>
          </w:tcPr>
          <w:p>
            <w:pPr>
              <w:spacing w:after="0"/>
              <w:rPr>
                <w:sz w:val="18"/>
                <w:szCs w:val="18"/>
                <w:color w:val="auto"/>
              </w:rPr>
            </w:pPr>
          </w:p>
        </w:tc>
      </w:tr>
      <w:tr>
        <w:trPr>
          <w:trHeight w:val="209"/>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13,597</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(5,422)</w:t>
            </w:r>
          </w:p>
        </w:tc>
        <w:tc>
          <w:tcPr>
            <w:tcW w:w="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decrease in revenue of $5,422 or 40%, was primarily due to the reduction in patient service revenue triggered by the rapid decline of the XpresTest segment as countries continued to relax their testing requirements and we experienced decreased testing volumes at our now closed XpresCheck locations.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7"/>
          </w:tcPr>
          <w:p>
            <w:pPr>
              <w:ind w:left="18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58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Inc/(Dec)</w:t>
            </w:r>
          </w:p>
        </w:tc>
        <w:tc>
          <w:tcPr>
            <w:tcW w:w="20" w:type="dxa"/>
            <w:vAlign w:val="bottom"/>
          </w:tcPr>
          <w:p>
            <w:pPr>
              <w:spacing w:after="0"/>
              <w:rPr>
                <w:sz w:val="18"/>
                <w:szCs w:val="18"/>
                <w:color w:val="auto"/>
              </w:rPr>
            </w:pPr>
          </w:p>
        </w:tc>
      </w:tr>
      <w:tr>
        <w:trPr>
          <w:trHeight w:val="21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12,357</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(5,372)</w:t>
            </w:r>
          </w:p>
        </w:tc>
        <w:tc>
          <w:tcPr>
            <w:tcW w:w="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decrease in cost of sales of $5,372 or 43%, is commensurate with the decrease in revenues offset by the reopening of certain XpresSpa locations that were temporarily closed during Q2 2022. We had 35 open spa locations as of June 30, 2023, and 22 open Spa locations as of June 30, 2022. The largest component in the cost of sales are costs of testing kits and labor costs at the location-level. Cost of sales also includes rent and related occupancy costs, which can primarily include rent based on percentage of sales, as well as other product costs directly associated with the procurement of retail inventory, and other operating costs.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89"/>
              </w:rPr>
              <w:t>Three months ended June 30,</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decrease in depreciation and amortization of approximately 60% was primarily due to the write-off of the stores that were permanently closed since June 30, 2022. Fewer locations resulted in lower amortization of leasehold improvements. Depreciation and amortization expense also decreased because of the impairments and disposals of fixed assets during the year ended December 31, 2022.</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Impairment/loss on disposal of assets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Three months ended June 30,</w:t>
            </w:r>
          </w:p>
        </w:tc>
        <w:tc>
          <w:tcPr>
            <w:tcW w:w="280" w:type="dxa"/>
            <w:vAlign w:val="bottom"/>
            <w:tcBorders>
              <w:bottom w:val="single" w:sz="8" w:color="auto"/>
            </w:tcBorders>
          </w:tcPr>
          <w:p>
            <w:pPr>
              <w:spacing w:after="0"/>
              <w:rPr>
                <w:sz w:val="24"/>
                <w:szCs w:val="24"/>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on disposal of assets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on disposal of assets pertains to demolition costs of closed XpresCheck locations.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general and administrative expenses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89"/>
              </w:rPr>
              <w:t>Three months ended June 30,</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general and administrative expenses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decrease of approximately 11% was primarily due to right-sizing our existing business and optimizing our cost structure as well as reduction of functional costs associated with the operations of now closed XpresCheck Wellness Centers. We have significantly reduced operating and overhead expenses since the second half of 2022, while we continue to focus on returning to overall profitability.</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non-operating expense, net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Three months ended June 30,</w:t>
            </w:r>
          </w:p>
        </w:tc>
        <w:tc>
          <w:tcPr>
            <w:tcW w:w="280" w:type="dxa"/>
            <w:vAlign w:val="bottom"/>
            <w:tcBorders>
              <w:bottom w:val="single" w:sz="8" w:color="auto"/>
            </w:tcBorders>
          </w:tcPr>
          <w:p>
            <w:pPr>
              <w:spacing w:after="0"/>
              <w:rPr>
                <w:sz w:val="24"/>
                <w:szCs w:val="24"/>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is a summary of the transactions included in other non-operating expense, net for the three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2023 and 2022:</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8"/>
                <w:szCs w:val="18"/>
                <w:b w:val="1"/>
                <w:bCs w:val="1"/>
                <w:color w:val="auto"/>
                <w:w w:val="88"/>
              </w:rPr>
              <w:t>Three months ended June 30,</w:t>
            </w:r>
          </w:p>
        </w:tc>
      </w:tr>
      <w:tr>
        <w:trPr>
          <w:trHeight w:val="210"/>
        </w:trPr>
        <w:tc>
          <w:tcPr>
            <w:tcW w:w="6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equity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Bank fees and financing charges</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40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0"/>
        </w:trPr>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Realized and unrealized foreign exchange loss</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5600" w:type="dxa"/>
            <w:vAlign w:val="bottom"/>
          </w:tcPr>
          <w:p>
            <w:pPr>
              <w:spacing w:after="0"/>
              <w:rPr>
                <w:sz w:val="24"/>
                <w:szCs w:val="24"/>
                <w:color w:val="auto"/>
              </w:rPr>
            </w:pPr>
          </w:p>
        </w:tc>
        <w:tc>
          <w:tcPr>
            <w:tcW w:w="3320" w:type="dxa"/>
            <w:vAlign w:val="bottom"/>
            <w:gridSpan w:val="8"/>
          </w:tcPr>
          <w:p>
            <w:pPr>
              <w:ind w:left="50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56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Inc/(Dec)</w:t>
            </w:r>
          </w:p>
        </w:tc>
        <w:tc>
          <w:tcPr>
            <w:tcW w:w="20" w:type="dxa"/>
            <w:vAlign w:val="bottom"/>
          </w:tcPr>
          <w:p>
            <w:pPr>
              <w:spacing w:after="0"/>
              <w:rPr>
                <w:sz w:val="18"/>
                <w:szCs w:val="18"/>
                <w:color w:val="auto"/>
              </w:rPr>
            </w:pPr>
          </w:p>
        </w:tc>
      </w:tr>
      <w:tr>
        <w:trPr>
          <w:trHeight w:val="21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and unrealized foreign exchange loss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(1,141)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Foreign exchange loss during 2023 primarily pertains to remeasurement of foreign currency transactions at our newly opened Turkish locations.</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Interest income, net</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78"/>
        </w:trPr>
        <w:tc>
          <w:tcPr>
            <w:tcW w:w="5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Three months ended June 30,</w:t>
            </w:r>
          </w:p>
        </w:tc>
        <w:tc>
          <w:tcPr>
            <w:tcW w:w="300" w:type="dxa"/>
            <w:vAlign w:val="bottom"/>
            <w:tcBorders>
              <w:bottom w:val="single" w:sz="8" w:color="auto"/>
            </w:tcBorders>
          </w:tcPr>
          <w:p>
            <w:pPr>
              <w:spacing w:after="0"/>
              <w:rPr>
                <w:sz w:val="24"/>
                <w:szCs w:val="24"/>
                <w:color w:val="auto"/>
              </w:rPr>
            </w:pPr>
          </w:p>
        </w:tc>
      </w:tr>
      <w:tr>
        <w:trPr>
          <w:trHeight w:val="209"/>
        </w:trPr>
        <w:tc>
          <w:tcPr>
            <w:tcW w:w="5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Interest income, net increased because of increased interest rates and elimination of interest expense since the beginning of May 2022.</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Six months ended June 30, 2023 compared to the Six months ended June 30, 2022</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7"/>
          </w:tcPr>
          <w:p>
            <w:pPr>
              <w:ind w:left="32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58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Inc/(Dec)</w:t>
            </w:r>
          </w:p>
        </w:tc>
        <w:tc>
          <w:tcPr>
            <w:tcW w:w="20" w:type="dxa"/>
            <w:vAlign w:val="bottom"/>
          </w:tcPr>
          <w:p>
            <w:pPr>
              <w:spacing w:after="0"/>
              <w:rPr>
                <w:sz w:val="18"/>
                <w:szCs w:val="18"/>
                <w:color w:val="auto"/>
              </w:rPr>
            </w:pPr>
          </w:p>
        </w:tc>
      </w:tr>
      <w:tr>
        <w:trPr>
          <w:trHeight w:val="21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15,238</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37,645</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(22,407)</w:t>
            </w:r>
          </w:p>
        </w:tc>
        <w:tc>
          <w:tcPr>
            <w:tcW w:w="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decrease in revenue of $22,407, or 60%, was primarily due to the reduction in patient service revenue triggered by the rapid decline of the XpresTest segment as countries continued to relax their testing requirements and we experienced decreased testing volumes at our now closed XpresCheck locations.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7"/>
          </w:tcPr>
          <w:p>
            <w:pPr>
              <w:ind w:left="30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58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Inc/(Dec)</w:t>
            </w:r>
          </w:p>
        </w:tc>
        <w:tc>
          <w:tcPr>
            <w:tcW w:w="20" w:type="dxa"/>
            <w:vAlign w:val="bottom"/>
          </w:tcPr>
          <w:p>
            <w:pPr>
              <w:spacing w:after="0"/>
              <w:rPr>
                <w:sz w:val="18"/>
                <w:szCs w:val="18"/>
                <w:color w:val="auto"/>
              </w:rPr>
            </w:pPr>
          </w:p>
        </w:tc>
      </w:tr>
      <w:tr>
        <w:trPr>
          <w:trHeight w:val="21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27,404</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(13,878)</w:t>
            </w:r>
          </w:p>
        </w:tc>
        <w:tc>
          <w:tcPr>
            <w:tcW w:w="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decrease in cost of sales of $13,878 or 51%, is commensurate with the decrease in revenues offset by the reopening of certain XpresSpa locations that were temporarily closed during Q1 2022. We had 35 open spa locations as of June 30, 2023, and 22 open Spa locations as of June 30, 2022. The largest component in the cost of sales are costs of testing kits and labor costs at the location-level. Cost of sales also includes rent and related occupancy costs, which can primarily include rent based on percentage of sales, as well as other product costs directly associated with the procurement of retail inventory, and other operating costs.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(1,585)</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decrease in depreciation and amortization of approximately 57% was primarily due to the write-off of the stores that were permanently closed since June 30, 2022. Fewer locations resulted in lower amortization of leasehold improvements. Depreciation and amortization expenses also decreased because of the impairments and disposals of fixed assets during the year ended December 31, 2022.</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Impairment/loss on disposal of assets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78"/>
        </w:trPr>
        <w:tc>
          <w:tcPr>
            <w:tcW w:w="5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left="30"/>
              <w:spacing w:after="0"/>
              <w:rPr>
                <w:sz w:val="20"/>
                <w:szCs w:val="20"/>
                <w:color w:val="auto"/>
              </w:rPr>
            </w:pPr>
            <w:r>
              <w:rPr>
                <w:rFonts w:ascii="Arial" w:cs="Arial" w:eastAsia="Arial" w:hAnsi="Arial"/>
                <w:sz w:val="18"/>
                <w:szCs w:val="18"/>
                <w:b w:val="1"/>
                <w:bCs w:val="1"/>
                <w:color w:val="auto"/>
                <w:w w:val="87"/>
              </w:rPr>
              <w:t>Six months ended June 30,</w:t>
            </w:r>
          </w:p>
        </w:tc>
        <w:tc>
          <w:tcPr>
            <w:tcW w:w="360" w:type="dxa"/>
            <w:vAlign w:val="bottom"/>
            <w:tcBorders>
              <w:bottom w:val="single" w:sz="8" w:color="auto"/>
            </w:tcBorders>
          </w:tcPr>
          <w:p>
            <w:pPr>
              <w:spacing w:after="0"/>
              <w:rPr>
                <w:sz w:val="24"/>
                <w:szCs w:val="24"/>
                <w:color w:val="auto"/>
              </w:rPr>
            </w:pPr>
          </w:p>
        </w:tc>
      </w:tr>
      <w:tr>
        <w:trPr>
          <w:trHeight w:val="210"/>
        </w:trPr>
        <w:tc>
          <w:tcPr>
            <w:tcW w:w="59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(gain) on disposal of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Loss on disposal of assets pertains to demolition costs of closed XpresCheck locations.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general and administrative expenses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4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09"/>
        </w:trPr>
        <w:tc>
          <w:tcPr>
            <w:tcW w:w="59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general and administrative expenses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10,298</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13,407</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(3,109)</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The decrease of approximately 23% in other general and administrative expenses was primarily due to right-sizing our existing business and optimizing our cost structure as well as reduction of functional costs associated with the operations of now closed XpresCheck Wellness Centers. We have significantly reduced operating and overhead expenses since the second half of 2022, while we continue to focus on returning to overall profitability.</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non-operating expense, net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center"/>
              <w:ind w:left="90"/>
              <w:spacing w:after="0"/>
              <w:rPr>
                <w:sz w:val="20"/>
                <w:szCs w:val="20"/>
                <w:color w:val="auto"/>
              </w:rPr>
            </w:pPr>
            <w:r>
              <w:rPr>
                <w:rFonts w:ascii="Arial" w:cs="Arial" w:eastAsia="Arial" w:hAnsi="Arial"/>
                <w:sz w:val="18"/>
                <w:szCs w:val="18"/>
                <w:b w:val="1"/>
                <w:bCs w:val="1"/>
                <w:color w:val="auto"/>
                <w:w w:val="87"/>
              </w:rPr>
              <w:t>Six months ended June 30,</w:t>
            </w:r>
          </w:p>
        </w:tc>
        <w:tc>
          <w:tcPr>
            <w:tcW w:w="380" w:type="dxa"/>
            <w:vAlign w:val="bottom"/>
            <w:tcBorders>
              <w:bottom w:val="single" w:sz="8" w:color="auto"/>
            </w:tcBorders>
          </w:tcPr>
          <w:p>
            <w:pPr>
              <w:spacing w:after="0"/>
              <w:rPr>
                <w:sz w:val="24"/>
                <w:szCs w:val="24"/>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 net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is a summary of the transactions included in other non-operating expense, net for the six months ended June 30, 2023 and 2022:</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8"/>
                <w:szCs w:val="18"/>
                <w:b w:val="1"/>
                <w:bCs w:val="1"/>
                <w:color w:val="auto"/>
                <w:w w:val="88"/>
              </w:rPr>
              <w:t>Six months ended June 30,</w:t>
            </w:r>
          </w:p>
        </w:tc>
      </w:tr>
      <w:tr>
        <w:trPr>
          <w:trHeight w:val="210"/>
        </w:trPr>
        <w:tc>
          <w:tcPr>
            <w:tcW w:w="6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equity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Bank fees and financing charges</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4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Realized and unrealized foreign exchange loss</w:t>
      </w:r>
    </w:p>
    <w:p>
      <w:pPr>
        <w:spacing w:after="0" w:line="239"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100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7" w:lineRule="exact"/>
        <w:rPr>
          <w:sz w:val="20"/>
          <w:szCs w:val="20"/>
          <w:color w:val="auto"/>
        </w:rPr>
      </w:pPr>
    </w:p>
    <w:p>
      <w:pPr>
        <w:ind w:left="5900"/>
        <w:spacing w:after="0"/>
        <w:tabs>
          <w:tab w:leader="none" w:pos="6960" w:val="left"/>
          <w:tab w:leader="none" w:pos="806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r>
        <w:rPr>
          <w:sz w:val="20"/>
          <w:szCs w:val="20"/>
          <w:color w:val="auto"/>
        </w:rPr>
        <w:tab/>
      </w:r>
      <w:r>
        <w:rPr>
          <w:rFonts w:ascii="Arial" w:cs="Arial" w:eastAsia="Arial" w:hAnsi="Arial"/>
          <w:sz w:val="16"/>
          <w:szCs w:val="16"/>
          <w:b w:val="1"/>
          <w:bCs w:val="1"/>
          <w:color w:val="auto"/>
        </w:rPr>
        <w:t>Inc/(Dec)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5620" w:val="left"/>
          <w:tab w:leader="none" w:pos="5960" w:val="left"/>
          <w:tab w:leader="none" w:pos="6680" w:val="left"/>
          <w:tab w:leader="none" w:pos="7400" w:val="left"/>
          <w:tab w:leader="none" w:pos="8400" w:val="left"/>
        </w:tabs>
        <w:rPr>
          <w:sz w:val="20"/>
          <w:szCs w:val="20"/>
          <w:color w:val="auto"/>
        </w:rPr>
      </w:pPr>
      <w:r>
        <w:rPr>
          <w:rFonts w:ascii="Arial" w:cs="Arial" w:eastAsia="Arial" w:hAnsi="Arial"/>
          <w:sz w:val="18"/>
          <w:szCs w:val="18"/>
          <w:color w:val="auto"/>
        </w:rPr>
        <w:t>Realized and unrealized foreign exchange loss</w:t>
      </w:r>
      <w:r>
        <w:rPr>
          <w:sz w:val="20"/>
          <w:szCs w:val="20"/>
          <w:color w:val="auto"/>
        </w:rPr>
        <w:tab/>
      </w:r>
      <w:r>
        <w:rPr>
          <w:rFonts w:ascii="Arial" w:cs="Arial" w:eastAsia="Arial" w:hAnsi="Arial"/>
          <w:sz w:val="18"/>
          <w:szCs w:val="18"/>
          <w:u w:val="single" w:color="auto"/>
          <w:color w:val="auto"/>
        </w:rPr>
        <w:t>$</w:t>
        <w:tab/>
        <w:t>(1,056)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 $</w:t>
      </w:r>
      <w:r>
        <w:rPr>
          <w:sz w:val="20"/>
          <w:szCs w:val="20"/>
          <w:color w:val="auto"/>
        </w:rPr>
        <w:tab/>
      </w:r>
      <w:r>
        <w:rPr>
          <w:rFonts w:ascii="Arial" w:cs="Arial" w:eastAsia="Arial" w:hAnsi="Arial"/>
          <w:sz w:val="16"/>
          <w:szCs w:val="16"/>
          <w:color w:val="auto"/>
        </w:rPr>
        <w:t>(1,051)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31750</wp:posOffset>
            </wp:positionV>
            <wp:extent cx="2100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4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Foreign exchange loss during 2023 primarily pertains to remeasurement of foreign currency transactions at our newly opened Turkish locations.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Interest income, net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center"/>
              <w:ind w:left="90"/>
              <w:spacing w:after="0"/>
              <w:rPr>
                <w:sz w:val="20"/>
                <w:szCs w:val="20"/>
                <w:color w:val="auto"/>
              </w:rPr>
            </w:pPr>
            <w:r>
              <w:rPr>
                <w:rFonts w:ascii="Arial" w:cs="Arial" w:eastAsia="Arial" w:hAnsi="Arial"/>
                <w:sz w:val="18"/>
                <w:szCs w:val="18"/>
                <w:b w:val="1"/>
                <w:bCs w:val="1"/>
                <w:color w:val="auto"/>
                <w:w w:val="87"/>
              </w:rPr>
              <w:t>Six months ended June 30,</w:t>
            </w:r>
          </w:p>
        </w:tc>
        <w:tc>
          <w:tcPr>
            <w:tcW w:w="380" w:type="dxa"/>
            <w:vAlign w:val="bottom"/>
            <w:tcBorders>
              <w:bottom w:val="single" w:sz="8" w:color="auto"/>
            </w:tcBorders>
          </w:tcPr>
          <w:p>
            <w:pPr>
              <w:spacing w:after="0"/>
              <w:rPr>
                <w:sz w:val="24"/>
                <w:szCs w:val="24"/>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Interest income, net increased because of increased interest rates and elimination of interest expense since the beginning of May 2022.</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of June 30, 2023, we had approximately $6,378 of cash and cash equivalents (excluding restricted cash), $25,526 in marketable securities, and total current assets of $36,128. Our total current liabilities balance, which includes accounts payable, deferred revenue, accrued expenses, and operating lease liabilities was approximately $9,266 as of June 30, 2023 and $10,956 as of December 31, 2022. The working capital surplus was $26,862 as of June 30, 2023, compared to a working capital surplus of $36,376 as of December 31, 2022.</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carried out an assessment of our ability to continue as a going concern. As of the date of the report, we believe that our Company has sufficient liquidity to fund operations for the next twelve months. Our primary liquidity and capital requirements are for the maintenance of our current XpresSpa and Treat locations and brand, as well as the expansion outside the airports. During the six months ended June 30, 2023 and 2022, we used $8,618 and $8,615 in operations, respectively.</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August 31, 2021, our board of directors initially authorized a stock repurchase program that permitted the purchase and repurchase of up to 15 million shares of our common stock through September 15, 2022. In May 2022, the Board increased the share repurchase program by an additional 10 million shares and extended its effectiveness through September 15, 2023. Under this stock repurchase program, management has discretion in determining the conditions under which shares may be purchased from time to time. The program does not require us to repurchase any specific number of shares, and may be modified, suspended or terminated at any time without prior notice.</w:t>
      </w:r>
    </w:p>
    <w:p>
      <w:pPr>
        <w:spacing w:after="0" w:line="17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Pursuant to our share repurchase program, we purchased 8,480,850 shares for $12,116 and retired 7,142,446 of these purchased shares during the six months ended June 30, 2022, and the remaining 1,338,404 shares were retired on August 3, 2022. We did not repurchase any shares during the six months ended June 30, 2023. As of June 30, 2023, we were permitted to repurchase approximately 0.8 million additional shares under this program.</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included in our Annual Report on Form 10-K for the year ended December 31, 2022, as amended, filed with the SEC which includes a description of our critical accounting estimates that involve subjective and complex judgments that could potentially affect reported results. There have been no material changes to our critical accounting estimates as to the methodologies or assumptions we apply under them. We continue to monitor such methodologies and assumptions.</w:t>
      </w:r>
    </w:p>
    <w:p>
      <w:pPr>
        <w:spacing w:after="0" w:line="157"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(Principal Financial and Accounting Officer), as appropriate, to allow timely decisions regarding required disclosure.</w:t>
      </w:r>
    </w:p>
    <w:p>
      <w:pPr>
        <w:spacing w:after="0" w:line="13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June 30, 2023, we carried out an evaluation, under the supervision and with the participation of our management, including our Chief Executive Officer and Interim Chief Financial Officer, of the effectiveness of the design and operation of our disclosure controls and procedures.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This type of evaluation is performed on a quarterly basis so that conclusions of management, including our Chief Executive Officer and the Interim Chief Financial Officer, concerning the effectiveness of the disclosure controls can be reported in</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periodic reports on Form 10-Q and Form 10-K. The overall goals of these evaluation activities are to monitor our disclosure controls and to modify them as necessary. We intend to maintain the disclosure controls as dynamic systems that we adjust as circumstances merit. Based on the foregoing, our Chief Executive Officer and the Interim Chief Financial Officer concluded that our disclosure controls and procedures were not effective as of June 30, 2023.</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Remediation Plan for Material Weakness in Internal Control over Financial Reporting</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Management is committed to the remediation of the Company’s material weaknesses, as well as the continued improvement of the Company’s internal control over financial reporting. Management has implemented, and continues to implement, the actions described below to remediate the underlying causes of the control deficiencies that gave rise to the material weaknesses. Until the remediation efforts described below, including any additional measures management identifies as necessary, are completed, the material weaknesses described above will continue to exist. We cannot provide any assurance that the below remediation efforts will be successful or that our internal control over financial reporting will be effective as a result of these efforts. Management has commenced the following actions and will continue to assess additional opportunities for remediation on an ongoing basis:</w:t>
      </w:r>
    </w:p>
    <w:p>
      <w:pPr>
        <w:spacing w:after="0" w:line="178"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turned on the multi-currency features related to its cloud-based accounting systems.</w:t>
      </w:r>
    </w:p>
    <w:p>
      <w:pPr>
        <w:spacing w:after="0" w:line="225"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has engaged outside service providers to assist with the valuation, accounting, and recording of key reporting areas such as leases, revenue recognition and stock compensation expense.</w:t>
      </w:r>
    </w:p>
    <w:p>
      <w:pPr>
        <w:spacing w:after="0" w:line="14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utilizes independent consulting firms to assist with the preparation of the Financial Statements and U.S. GAAP accounting research.</w:t>
      </w:r>
    </w:p>
    <w:p>
      <w:pPr>
        <w:spacing w:after="0" w:line="170"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has engaged outside service providers to review the applicable complementary user entity controls described in the service organizations’ reports for their potential impact on the Company’s financial reporting.</w:t>
      </w:r>
    </w:p>
    <w:p>
      <w:pPr>
        <w:spacing w:after="0" w:line="123" w:lineRule="exact"/>
        <w:rPr>
          <w:rFonts w:ascii="Arial" w:cs="Arial" w:eastAsia="Arial" w:hAnsi="Arial"/>
          <w:sz w:val="16"/>
          <w:szCs w:val="16"/>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10, 2023, the Company hired a new permanent Chief Financial Officer.</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Other than as set forth in the foregoing paragraph, there have been no changes in our internal control over financial reporting that occurred during the three months ended June 30,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For information regarding legal proceedings, 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our notes to the condensed consolidated financial statements included in “Item 1. Condensed Consolidated Financial Statements (Unaudited).”</w:t>
      </w:r>
    </w:p>
    <w:p>
      <w:pPr>
        <w:spacing w:after="0" w:line="180"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33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There have been no material changes to the risk factors discussed in Item 1A. Risk Factors in our Annual Report on Form 10-K for the year ended December 31,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060" w:type="dxa"/>
            <w:vAlign w:val="bottom"/>
            <w:gridSpan w:val="8"/>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8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840" w:type="dxa"/>
            <w:vAlign w:val="bottom"/>
            <w:tcBorders>
              <w:bottom w:val="single" w:sz="8" w:color="auto"/>
            </w:tcBorders>
            <w:gridSpan w:val="6"/>
          </w:tcPr>
          <w:p>
            <w:pPr>
              <w:ind w:left="3480"/>
              <w:spacing w:after="0"/>
              <w:rPr>
                <w:sz w:val="20"/>
                <w:szCs w:val="20"/>
                <w:color w:val="auto"/>
              </w:rPr>
            </w:pPr>
            <w:r>
              <w:rPr>
                <w:rFonts w:ascii="Arial" w:cs="Arial" w:eastAsia="Arial" w:hAnsi="Arial"/>
                <w:sz w:val="18"/>
                <w:szCs w:val="18"/>
                <w:b w:val="1"/>
                <w:bCs w:val="1"/>
                <w:color w:val="auto"/>
              </w:rPr>
              <w:t>Description</w:t>
            </w:r>
          </w:p>
        </w:tc>
      </w:tr>
      <w:tr>
        <w:trPr>
          <w:trHeight w:val="283"/>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700" w:type="dxa"/>
            <w:vAlign w:val="bottom"/>
            <w:tcBorders>
              <w:bottom w:val="single" w:sz="8" w:color="0000EE"/>
            </w:tcBorders>
            <w:gridSpan w:val="4"/>
          </w:tcPr>
          <w:p>
            <w:pPr>
              <w:spacing w:after="0"/>
              <w:rPr>
                <w:rFonts w:ascii="Arial" w:cs="Arial" w:eastAsia="Arial" w:hAnsi="Arial"/>
                <w:sz w:val="18"/>
                <w:szCs w:val="18"/>
                <w:color w:val="0000EE"/>
                <w:w w:val="89"/>
              </w:rPr>
            </w:pPr>
            <w:hyperlink r:id="rId45">
              <w:r>
                <w:rPr>
                  <w:rFonts w:ascii="Arial" w:cs="Arial" w:eastAsia="Arial" w:hAnsi="Arial"/>
                  <w:sz w:val="18"/>
                  <w:szCs w:val="18"/>
                  <w:color w:val="0000EE"/>
                  <w:w w:val="89"/>
                </w:rPr>
                <w:t>Offer letter dated June 26, 2023, between the Company and Suzanne A. Scrabis (incorporated by reference</w:t>
              </w:r>
            </w:hyperlink>
          </w:p>
        </w:tc>
        <w:tc>
          <w:tcPr>
            <w:tcW w:w="140" w:type="dxa"/>
            <w:vAlign w:val="bottom"/>
            <w:gridSpan w:val="2"/>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to Exhibit 10.1 to our Current Report on Form 8-K filed with the SEC on June 28, 2023)</w:t>
              </w:r>
            </w:hyperlink>
          </w:p>
        </w:tc>
        <w:tc>
          <w:tcPr>
            <w:tcW w:w="1460" w:type="dxa"/>
            <w:vAlign w:val="bottom"/>
            <w:gridSpan w:val="3"/>
          </w:tcPr>
          <w:p>
            <w:pPr>
              <w:spacing w:after="0"/>
              <w:rPr>
                <w:sz w:val="17"/>
                <w:szCs w:val="17"/>
                <w:color w:val="auto"/>
              </w:rPr>
            </w:pPr>
          </w:p>
        </w:tc>
      </w:tr>
      <w:tr>
        <w:trPr>
          <w:trHeight w:val="41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Certification of Principal Executive Officer pursuant to Exchange Act, Rules 13a – 14(a) and 15d – 14(a), as</w:t>
            </w:r>
          </w:p>
        </w:tc>
        <w:tc>
          <w:tcPr>
            <w:tcW w:w="20" w:type="dxa"/>
            <w:vAlign w:val="bottom"/>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adopted pursuant to Section 302 of the Sarbanes-Oxley Act of 2002</w:t>
            </w:r>
          </w:p>
        </w:tc>
        <w:tc>
          <w:tcPr>
            <w:tcW w:w="2960" w:type="dxa"/>
            <w:vAlign w:val="bottom"/>
            <w:gridSpan w:val="5"/>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6"/>
          </w:tcPr>
          <w:p>
            <w:pPr>
              <w:spacing w:after="0"/>
              <w:rPr>
                <w:sz w:val="20"/>
                <w:szCs w:val="20"/>
                <w:color w:val="auto"/>
              </w:rPr>
            </w:pPr>
            <w:r>
              <w:rPr>
                <w:rFonts w:ascii="Arial" w:cs="Arial" w:eastAsia="Arial" w:hAnsi="Arial"/>
                <w:sz w:val="18"/>
                <w:szCs w:val="18"/>
                <w:color w:val="0000EE"/>
                <w:w w:val="92"/>
              </w:rPr>
              <w:t>Certification of Principal Financial Officer pursuant to Exchange Act, Rules 13a – 14(a) and 15d – 14(a), as</w:t>
            </w: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8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adopted pursuant to Section 302 of the Sarbanes-Oxley Act of 2002</w:t>
            </w:r>
          </w:p>
        </w:tc>
        <w:tc>
          <w:tcPr>
            <w:tcW w:w="29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6"/>
          </w:tcPr>
          <w:p>
            <w:pPr>
              <w:spacing w:after="0"/>
              <w:rPr>
                <w:sz w:val="20"/>
                <w:szCs w:val="20"/>
                <w:color w:val="auto"/>
              </w:rPr>
            </w:pPr>
            <w:r>
              <w:rPr>
                <w:rFonts w:ascii="Arial" w:cs="Arial" w:eastAsia="Arial" w:hAnsi="Arial"/>
                <w:sz w:val="18"/>
                <w:szCs w:val="18"/>
                <w:color w:val="0000EE"/>
              </w:rPr>
              <w:t>Certifications of Principal Executive Officer and Principal Financial Officer Pursuant to 18 U.S.C.</w:t>
            </w: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2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Section 1350, as adopted pursuant to Section 906 of the Sarbanes-Oxley Act of 2002</w:t>
            </w:r>
          </w:p>
        </w:tc>
        <w:tc>
          <w:tcPr>
            <w:tcW w:w="20" w:type="dxa"/>
            <w:vAlign w:val="bottom"/>
          </w:tcPr>
          <w:p>
            <w:pPr>
              <w:spacing w:after="0"/>
              <w:rPr>
                <w:sz w:val="17"/>
                <w:szCs w:val="17"/>
                <w:color w:val="auto"/>
              </w:rPr>
            </w:pPr>
          </w:p>
        </w:tc>
      </w:tr>
      <w:tr>
        <w:trPr>
          <w:trHeight w:val="345"/>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1740" w:type="dxa"/>
            <w:vAlign w:val="bottom"/>
            <w:gridSpan w:val="4"/>
          </w:tcPr>
          <w:p>
            <w:pPr>
              <w:spacing w:after="0"/>
              <w:rPr>
                <w:sz w:val="24"/>
                <w:szCs w:val="24"/>
                <w:color w:val="auto"/>
              </w:rPr>
            </w:pP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10"/>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4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145415</wp:posOffset>
            </wp:positionV>
            <wp:extent cx="14141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420" w:hanging="1364"/>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Management contract.</w:t>
      </w:r>
    </w:p>
    <w:p>
      <w:pPr>
        <w:sectPr>
          <w:pgSz w:w="11900" w:h="16838" w:orient="portrait"/>
          <w:cols w:equalWidth="0" w:num="1">
            <w:col w:w="9019"/>
          </w:cols>
          <w:pgMar w:left="1440" w:top="517" w:right="1440" w:bottom="1440" w:gutter="0" w:footer="0" w:header="0"/>
        </w:sectPr>
      </w:pP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Furnished herein.</w:t>
      </w:r>
    </w:p>
    <w:p>
      <w:pPr>
        <w:spacing w:after="0" w:line="222" w:lineRule="exact"/>
        <w:rPr>
          <w:sz w:val="20"/>
          <w:szCs w:val="20"/>
          <w:color w:val="auto"/>
        </w:rPr>
      </w:pPr>
    </w:p>
    <w:p>
      <w:pPr>
        <w:sectPr>
          <w:pgSz w:w="11900" w:h="16838" w:orient="portrait"/>
          <w:cols w:equalWidth="0" w:num="2">
            <w:col w:w="4340" w:space="720"/>
            <w:col w:w="395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300" w:type="dxa"/>
            <w:vAlign w:val="bottom"/>
            <w:gridSpan w:val="2"/>
          </w:tcPr>
          <w:p>
            <w:pPr>
              <w:ind w:left="260"/>
              <w:spacing w:after="0"/>
              <w:rPr>
                <w:sz w:val="20"/>
                <w:szCs w:val="20"/>
                <w:color w:val="auto"/>
              </w:rPr>
            </w:pPr>
            <w:r>
              <w:rPr>
                <w:rFonts w:ascii="Arial" w:cs="Arial" w:eastAsia="Arial" w:hAnsi="Arial"/>
                <w:sz w:val="18"/>
                <w:szCs w:val="18"/>
                <w:b w:val="1"/>
                <w:bCs w:val="1"/>
                <w:color w:val="auto"/>
              </w:rPr>
              <w:t>XWELL, Inc.</w:t>
            </w:r>
          </w:p>
        </w:tc>
      </w:tr>
      <w:tr>
        <w:trPr>
          <w:trHeight w:val="675"/>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gridSpan w:val="2"/>
          </w:tcPr>
          <w:p>
            <w:pPr>
              <w:ind w:left="60"/>
              <w:spacing w:after="0"/>
              <w:rPr>
                <w:sz w:val="20"/>
                <w:szCs w:val="20"/>
                <w:color w:val="auto"/>
              </w:rPr>
            </w:pPr>
            <w:r>
              <w:rPr>
                <w:rFonts w:ascii="Arial" w:cs="Arial" w:eastAsia="Arial" w:hAnsi="Arial"/>
                <w:sz w:val="18"/>
                <w:szCs w:val="18"/>
                <w:color w:val="auto"/>
              </w:rPr>
              <w:t>August 14, 2023</w:t>
            </w:r>
          </w:p>
        </w:tc>
        <w:tc>
          <w:tcPr>
            <w:tcW w:w="620" w:type="dxa"/>
            <w:vAlign w:val="bottom"/>
          </w:tcPr>
          <w:p>
            <w:pPr>
              <w:ind w:left="260"/>
              <w:spacing w:after="0"/>
              <w:rPr>
                <w:sz w:val="20"/>
                <w:szCs w:val="20"/>
                <w:color w:val="auto"/>
              </w:rPr>
            </w:pPr>
            <w:r>
              <w:rPr>
                <w:rFonts w:ascii="Arial" w:cs="Arial" w:eastAsia="Arial" w:hAnsi="Arial"/>
                <w:sz w:val="18"/>
                <w:szCs w:val="18"/>
                <w:color w:val="auto"/>
              </w:rPr>
              <w:t>By:</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/s/ Scott R Milford</w:t>
            </w:r>
          </w:p>
        </w:tc>
      </w:tr>
      <w:tr>
        <w:trPr>
          <w:trHeight w:val="191"/>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8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Scott R. Milford</w:t>
            </w: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648"/>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gridSpan w:val="2"/>
          </w:tcPr>
          <w:p>
            <w:pPr>
              <w:ind w:left="60"/>
              <w:spacing w:after="0"/>
              <w:rPr>
                <w:sz w:val="20"/>
                <w:szCs w:val="20"/>
                <w:color w:val="auto"/>
              </w:rPr>
            </w:pPr>
            <w:r>
              <w:rPr>
                <w:rFonts w:ascii="Arial" w:cs="Arial" w:eastAsia="Arial" w:hAnsi="Arial"/>
                <w:sz w:val="18"/>
                <w:szCs w:val="18"/>
                <w:color w:val="auto"/>
              </w:rPr>
              <w:t>August 14, 2023</w:t>
            </w:r>
          </w:p>
        </w:tc>
        <w:tc>
          <w:tcPr>
            <w:tcW w:w="620" w:type="dxa"/>
            <w:vAlign w:val="bottom"/>
          </w:tcPr>
          <w:p>
            <w:pPr>
              <w:ind w:left="300"/>
              <w:spacing w:after="0"/>
              <w:rPr>
                <w:sz w:val="20"/>
                <w:szCs w:val="20"/>
                <w:color w:val="auto"/>
              </w:rPr>
            </w:pPr>
            <w:r>
              <w:rPr>
                <w:rFonts w:ascii="Arial" w:cs="Arial" w:eastAsia="Arial" w:hAnsi="Arial"/>
                <w:sz w:val="18"/>
                <w:szCs w:val="18"/>
                <w:color w:val="auto"/>
              </w:rPr>
              <w:t>By:</w:t>
            </w:r>
          </w:p>
        </w:tc>
        <w:tc>
          <w:tcPr>
            <w:tcW w:w="2680" w:type="dxa"/>
            <w:vAlign w:val="bottom"/>
          </w:tcPr>
          <w:p>
            <w:pPr>
              <w:jc w:val="center"/>
              <w:spacing w:after="0"/>
              <w:rPr>
                <w:sz w:val="20"/>
                <w:szCs w:val="20"/>
                <w:color w:val="auto"/>
              </w:rPr>
            </w:pPr>
            <w:r>
              <w:rPr>
                <w:rFonts w:ascii="Arial" w:cs="Arial" w:eastAsia="Arial" w:hAnsi="Arial"/>
                <w:sz w:val="18"/>
                <w:szCs w:val="18"/>
                <w:color w:val="auto"/>
                <w:w w:val="88"/>
              </w:rPr>
              <w:t>/s/ Suzanne A. Scrabis</w:t>
            </w:r>
          </w:p>
        </w:tc>
      </w:tr>
      <w:tr>
        <w:trPr>
          <w:trHeight w:val="191"/>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8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Suzanne A. Scrabis</w:t>
            </w: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16"/>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Financial and</w:t>
            </w:r>
          </w:p>
        </w:tc>
      </w:t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R. Milford,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XWELL,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6"/>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308" w:lineRule="auto"/>
        <w:tabs>
          <w:tab w:leader="none" w:pos="198"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21"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2023</w:t>
      </w:r>
    </w:p>
    <w:p>
      <w:pPr>
        <w:spacing w:after="0" w:line="239" w:lineRule="exact"/>
        <w:rPr>
          <w:sz w:val="20"/>
          <w:szCs w:val="20"/>
          <w:color w:val="auto"/>
        </w:rPr>
      </w:pPr>
    </w:p>
    <w:p>
      <w:pPr>
        <w:ind w:left="3980"/>
        <w:spacing w:after="0"/>
        <w:tabs>
          <w:tab w:leader="none" w:pos="4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Suzanne A. Scrabis,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XWELL,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308" w:lineRule="auto"/>
        <w:tabs>
          <w:tab w:leader="none" w:pos="198"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2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2023</w:t>
      </w:r>
    </w:p>
    <w:p>
      <w:pPr>
        <w:spacing w:after="0" w:line="239" w:lineRule="exact"/>
        <w:rPr>
          <w:sz w:val="20"/>
          <w:szCs w:val="20"/>
          <w:color w:val="auto"/>
        </w:rPr>
      </w:pPr>
    </w:p>
    <w:p>
      <w:pPr>
        <w:ind w:left="3800"/>
        <w:spacing w:after="0"/>
        <w:tabs>
          <w:tab w:leader="none" w:pos="42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SUZANNE A. SCRABIS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left="1040" w:right="820"/>
        <w:spacing w:after="0" w:line="282"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SECTION 906 OF THE SARBANES-OXLEY ACT OF 2002</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undersigned officer of XWELL, Inc., a Delaware corporation (the “Company”), does hereby certify, to such officer’s knowledge, that: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Quarterly Report for the quarter ended June 30, 2023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25" w:lineRule="exact"/>
        <w:rPr>
          <w:sz w:val="20"/>
          <w:szCs w:val="20"/>
          <w:color w:val="auto"/>
        </w:rPr>
      </w:pPr>
    </w:p>
    <w:p>
      <w:pPr>
        <w:ind w:left="3980"/>
        <w:spacing w:after="0"/>
        <w:tabs>
          <w:tab w:leader="none" w:pos="43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Scott R.Milford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3860"/>
        <w:spacing w:after="0"/>
        <w:tabs>
          <w:tab w:leader="none" w:pos="42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SUZANNE A. SCRABIS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Suzanne A. Scrabis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5"/>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5"/>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45" Type="http://schemas.openxmlformats.org/officeDocument/2006/relationships/hyperlink" Target="https://www.sec.gov/Archives/edgar/data/1410428/000110465923075565/tm231984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2023-08-14T16:17:38Z</dcterms:created>
  <dcterms:modified xsi:type="dcterms:W3CDTF">2023-08-14T16:17:38Z</dcterms:modified>
</cp:coreProperties>
</file>