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65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6506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Keller Ashley Conrad</w:t>
              </w:r>
            </w:hyperlink>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600" w:type="dxa"/>
            <w:vAlign w:val="bottom"/>
          </w:tcPr>
          <w:p>
            <w:pPr>
              <w:ind w:left="20"/>
              <w:spacing w:after="0"/>
              <w:rPr>
                <w:sz w:val="20"/>
                <w:szCs w:val="20"/>
                <w:color w:val="auto"/>
              </w:rPr>
            </w:pPr>
            <w:r>
              <w:rPr>
                <w:rFonts w:ascii="Arial" w:cs="Arial" w:eastAsia="Arial" w:hAnsi="Arial"/>
                <w:sz w:val="13"/>
                <w:szCs w:val="13"/>
                <w:color w:val="auto"/>
              </w:rPr>
              <w:t>(Middle)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rPr>
              <w:t>C/O VRINGO, INC.</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5"/>
          </w:tcPr>
          <w:p>
            <w:pPr>
              <w:ind w:left="280"/>
              <w:spacing w:after="0"/>
              <w:rPr>
                <w:sz w:val="20"/>
                <w:szCs w:val="20"/>
                <w:color w:val="auto"/>
              </w:rPr>
            </w:pPr>
            <w:r>
              <w:rPr>
                <w:rFonts w:ascii="Arial" w:cs="Arial" w:eastAsia="Arial" w:hAnsi="Arial"/>
                <w:sz w:val="17"/>
                <w:szCs w:val="17"/>
                <w:color w:val="0000FF"/>
              </w:rPr>
              <w:t>02/11/2013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7"/>
                <w:szCs w:val="17"/>
                <w:color w:val="0000FF"/>
              </w:rPr>
              <w:t>780 THIRD AVENUE, 15TH FLOOR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3"/>
          </w:tcPr>
          <w:p>
            <w:pPr>
              <w:spacing w:after="0"/>
              <w:rPr>
                <w:sz w:val="20"/>
                <w:szCs w:val="20"/>
                <w:color w:val="auto"/>
              </w:rPr>
            </w:pPr>
            <w:r>
              <w:rPr>
                <w:rFonts w:ascii="Arial" w:cs="Arial" w:eastAsia="Arial" w:hAnsi="Arial"/>
                <w:sz w:val="17"/>
                <w:szCs w:val="17"/>
                <w:color w:val="0000FF"/>
              </w:rPr>
              <w:t>NY</w:t>
            </w:r>
          </w:p>
        </w:tc>
        <w:tc>
          <w:tcPr>
            <w:tcW w:w="600" w:type="dxa"/>
            <w:vAlign w:val="bottom"/>
          </w:tcPr>
          <w:p>
            <w:pPr>
              <w:ind w:left="20"/>
              <w:spacing w:after="0"/>
              <w:rPr>
                <w:sz w:val="20"/>
                <w:szCs w:val="20"/>
                <w:color w:val="auto"/>
              </w:rPr>
            </w:pPr>
            <w:r>
              <w:rPr>
                <w:rFonts w:ascii="Arial" w:cs="Arial" w:eastAsia="Arial" w:hAnsi="Arial"/>
                <w:sz w:val="17"/>
                <w:szCs w:val="17"/>
                <w:color w:val="0000FF"/>
              </w:rPr>
              <w:t>10017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600" w:type="dxa"/>
            <w:vAlign w:val="bottom"/>
          </w:tcPr>
          <w:p>
            <w:pPr>
              <w:ind w:left="2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3"/>
          </w:tcPr>
          <w:p>
            <w:pPr>
              <w:spacing w:after="0"/>
              <w:rPr>
                <w:sz w:val="11"/>
                <w:szCs w:val="11"/>
                <w:color w:val="auto"/>
              </w:rPr>
            </w:pPr>
          </w:p>
        </w:tc>
        <w:tc>
          <w:tcPr>
            <w:tcW w:w="2340" w:type="dxa"/>
            <w:vAlign w:val="bottom"/>
            <w:tcBorders>
              <w:bottom w:val="single" w:sz="8" w:color="2C2C2C"/>
            </w:tcBorders>
            <w:gridSpan w:val="6"/>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1"/>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5"/>
                <w:szCs w:val="15"/>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5"/>
          </w:tcPr>
          <w:p>
            <w:pPr>
              <w:ind w:left="2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8"/>
              </w:rPr>
              <w:t>Common Stock, $0.01 par value per share</w:t>
            </w:r>
          </w:p>
        </w:tc>
        <w:tc>
          <w:tcPr>
            <w:tcW w:w="1300" w:type="dxa"/>
            <w:vAlign w:val="bottom"/>
            <w:tcBorders>
              <w:bottom w:val="single" w:sz="8" w:color="2C2C2C"/>
            </w:tcBorders>
            <w:gridSpan w:val="5"/>
          </w:tcPr>
          <w:p>
            <w:pPr>
              <w:jc w:val="right"/>
              <w:ind w:right="220"/>
              <w:spacing w:after="0"/>
              <w:rPr>
                <w:sz w:val="20"/>
                <w:szCs w:val="20"/>
                <w:color w:val="auto"/>
              </w:rPr>
            </w:pPr>
            <w:r>
              <w:rPr>
                <w:rFonts w:ascii="Arial" w:cs="Arial" w:eastAsia="Arial" w:hAnsi="Arial"/>
                <w:sz w:val="17"/>
                <w:szCs w:val="17"/>
                <w:color w:val="0000FF"/>
              </w:rPr>
              <w:t>02/11/2013</w:t>
            </w: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20,000</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20,000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1"/>
          </w:tcPr>
          <w:p>
            <w:pPr>
              <w:jc w:val="center"/>
              <w:ind w:left="3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00" w:type="dxa"/>
            <w:vAlign w:val="bottom"/>
            <w:gridSpan w:val="17"/>
          </w:tcPr>
          <w:p>
            <w:pPr>
              <w:jc w:val="center"/>
              <w:ind w:right="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gridSpan w:val="2"/>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3.18</w:t>
            </w:r>
          </w:p>
        </w:tc>
        <w:tc>
          <w:tcPr>
            <w:tcW w:w="200" w:type="dxa"/>
            <w:vAlign w:val="bottom"/>
          </w:tcPr>
          <w:p>
            <w:pPr>
              <w:spacing w:after="0"/>
              <w:rPr>
                <w:sz w:val="20"/>
                <w:szCs w:val="20"/>
                <w:color w:val="auto"/>
              </w:rPr>
            </w:pPr>
          </w:p>
        </w:tc>
        <w:tc>
          <w:tcPr>
            <w:tcW w:w="1060" w:type="dxa"/>
            <w:vAlign w:val="bottom"/>
            <w:gridSpan w:val="2"/>
          </w:tcPr>
          <w:p>
            <w:pPr>
              <w:jc w:val="right"/>
              <w:ind w:right="153"/>
              <w:spacing w:after="0"/>
              <w:rPr>
                <w:sz w:val="20"/>
                <w:szCs w:val="20"/>
                <w:color w:val="auto"/>
              </w:rPr>
            </w:pPr>
            <w:r>
              <w:rPr>
                <w:rFonts w:ascii="Arial" w:cs="Arial" w:eastAsia="Arial" w:hAnsi="Arial"/>
                <w:sz w:val="13"/>
                <w:szCs w:val="13"/>
                <w:color w:val="0000FF"/>
              </w:rPr>
              <w:t>02/11/2013</w:t>
            </w: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ind w:right="480"/>
              <w:spacing w:after="0"/>
              <w:rPr>
                <w:sz w:val="20"/>
                <w:szCs w:val="20"/>
                <w:color w:val="auto"/>
              </w:rPr>
            </w:pPr>
            <w:r>
              <w:rPr>
                <w:rFonts w:ascii="Arial" w:cs="Arial" w:eastAsia="Arial" w:hAnsi="Arial"/>
                <w:sz w:val="13"/>
                <w:szCs w:val="13"/>
                <w:color w:val="0000FF"/>
              </w:rPr>
              <w:t>A</w:t>
            </w:r>
          </w:p>
        </w:tc>
        <w:tc>
          <w:tcPr>
            <w:tcW w:w="600" w:type="dxa"/>
            <w:vAlign w:val="bottom"/>
            <w:gridSpan w:val="2"/>
          </w:tcPr>
          <w:p>
            <w:pPr>
              <w:ind w:left="160"/>
              <w:spacing w:after="0"/>
              <w:rPr>
                <w:sz w:val="20"/>
                <w:szCs w:val="20"/>
                <w:color w:val="auto"/>
              </w:rPr>
            </w:pPr>
            <w:r>
              <w:rPr>
                <w:rFonts w:ascii="Arial" w:cs="Arial" w:eastAsia="Arial" w:hAnsi="Arial"/>
                <w:sz w:val="13"/>
                <w:szCs w:val="13"/>
                <w:color w:val="0000FF"/>
              </w:rPr>
              <w:t>80,000</w:t>
            </w:r>
          </w:p>
        </w:tc>
        <w:tc>
          <w:tcPr>
            <w:tcW w:w="34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02/11/2023</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0000FF"/>
                <w:w w:val="88"/>
              </w:rPr>
              <w:t>80,000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80,000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One-fourth (1/4) of the number of restricted stock units granted shall vest at the end of each calendar quarter over one (1) year, however the first and second tranches (for the first and second quarters of 2013) shall both vest at the end of the second (2nd) quarter of 2013.</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One-fourth (1/4) of the number of options granted shall vest on the last day of each calendar quarter during calendar year 2013.</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Ashley Conrad Keller</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02/13/2013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6219"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2019-12-17T07:41:58Z</dcterms:created>
  <dcterms:modified xsi:type="dcterms:W3CDTF">2019-12-17T07:41:58Z</dcterms:modified>
</cp:coreProperties>
</file>