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XpresSpa Group,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98420U703</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Check the appropriate box to designate the rule pursuant to which</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Schedule is filed:</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239" w:firstLine="8"/>
        <w:spacing w:after="0" w:line="536"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233" w:lineRule="auto"/>
        <w:rPr>
          <w:sz w:val="20"/>
          <w:szCs w:val="20"/>
          <w:color w:val="auto"/>
        </w:rPr>
      </w:pPr>
      <w:r>
        <w:rPr>
          <w:rFonts w:ascii="Courier New" w:cs="Courier New" w:eastAsia="Courier New" w:hAnsi="Courier New"/>
          <w:sz w:val="18"/>
          <w:szCs w:val="18"/>
          <w:color w:val="auto"/>
        </w:rPr>
        <w:t>__________</w:t>
      </w:r>
    </w:p>
    <w:p>
      <w:pPr>
        <w:spacing w:after="0" w:line="5" w:lineRule="exact"/>
        <w:rPr>
          <w:sz w:val="24"/>
          <w:szCs w:val="24"/>
          <w:color w:val="auto"/>
        </w:rPr>
      </w:pPr>
    </w:p>
    <w:p>
      <w:pPr>
        <w:ind w:right="2559" w:firstLine="737"/>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be deemed to be filed for the purpose of Section 18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 of</w:t>
      </w:r>
    </w:p>
    <w:p>
      <w:pPr>
        <w:spacing w:after="0" w:line="238" w:lineRule="auto"/>
        <w:rPr>
          <w:sz w:val="20"/>
          <w:szCs w:val="20"/>
          <w:color w:val="auto"/>
        </w:rPr>
      </w:pPr>
      <w:r>
        <w:rPr>
          <w:rFonts w:ascii="Courier New" w:cs="Courier New" w:eastAsia="Courier New" w:hAnsi="Courier New"/>
          <w:sz w:val="18"/>
          <w:szCs w:val="18"/>
          <w:color w:val="auto"/>
        </w:rPr>
        <w:t>that section of the Act but shall be subject to all other provisions of</w:t>
      </w:r>
    </w:p>
    <w:p>
      <w:pPr>
        <w:spacing w:after="0" w:line="238" w:lineRule="auto"/>
        <w:rPr>
          <w:sz w:val="20"/>
          <w:szCs w:val="20"/>
          <w:color w:val="auto"/>
        </w:rPr>
      </w:pPr>
      <w:r>
        <w:rPr>
          <w:rFonts w:ascii="Courier New" w:cs="Courier New" w:eastAsia="Courier New" w:hAnsi="Courier New"/>
          <w:sz w:val="18"/>
          <w:szCs w:val="18"/>
          <w:color w:val="auto"/>
        </w:rPr>
        <w:t>the Act (however, see the Notes).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98420U703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44" w:right="1440" w:bottom="0" w:gutter="0" w:footer="0" w:header="0"/>
        </w:sectPr>
      </w:pPr>
    </w:p>
    <w:bookmarkStart w:id="1" w:name="page2"/>
    <w:bookmarkEnd w:id="1"/>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ectPr>
          <w:pgSz w:w="11900" w:h="16838" w:orient="portrait"/>
          <w:cols w:equalWidth="0" w:num="1">
            <w:col w:w="10139"/>
          </w:cols>
          <w:pgMar w:left="320" w:top="144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139"/>
          </w:cols>
          <w:pgMar w:left="320" w:top="744"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Delaware,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1">
            <w:col w:w="10139"/>
          </w:cols>
          <w:pgMar w:left="320" w:top="946" w:right="1440" w:bottom="138"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OO</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ectPr>
          <w:pgSz w:w="11900" w:h="16838" w:orient="portrait"/>
          <w:cols w:equalWidth="0" w:num="1">
            <w:col w:w="10139"/>
          </w:cols>
          <w:pgMar w:left="320" w:top="946" w:right="1440" w:bottom="341"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BENEFICIALLY OWNED BY EACH REPORTING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4,691,933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4.99</w:t>
      </w:r>
    </w:p>
    <w:p>
      <w:pPr>
        <w:sectPr>
          <w:pgSz w:w="11900" w:h="16838" w:orient="portrait"/>
          <w:cols w:equalWidth="0" w:num="1">
            <w:col w:w="10139"/>
          </w:cols>
          <w:pgMar w:left="320" w:top="136"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XpresSpa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254 West 31st Street, 11th Floor</w:t>
      </w:r>
    </w:p>
    <w:p>
      <w:pPr>
        <w:spacing w:after="0" w:line="238" w:lineRule="auto"/>
        <w:rPr>
          <w:sz w:val="20"/>
          <w:szCs w:val="20"/>
          <w:color w:val="auto"/>
        </w:rPr>
      </w:pPr>
      <w:r>
        <w:rPr>
          <w:rFonts w:ascii="Courier New" w:cs="Courier New" w:eastAsia="Courier New" w:hAnsi="Courier New"/>
          <w:sz w:val="18"/>
          <w:szCs w:val="18"/>
          <w:color w:val="auto"/>
        </w:rPr>
        <w:t>New York, New York 10001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38" w:lineRule="auto"/>
        <w:rPr>
          <w:sz w:val="20"/>
          <w:szCs w:val="20"/>
          <w:color w:val="auto"/>
        </w:rPr>
      </w:pPr>
      <w:r>
        <w:rPr>
          <w:rFonts w:ascii="Courier New" w:cs="Courier New" w:eastAsia="Courier New" w:hAnsi="Courier New"/>
          <w:sz w:val="18"/>
          <w:szCs w:val="18"/>
          <w:color w:val="auto"/>
        </w:rPr>
        <w:t>c/o Ogier Fiduciary Services (Cayman) Limited</w:t>
      </w:r>
    </w:p>
    <w:p>
      <w:pPr>
        <w:spacing w:after="0" w:line="238" w:lineRule="auto"/>
        <w:rPr>
          <w:sz w:val="20"/>
          <w:szCs w:val="20"/>
          <w:color w:val="auto"/>
        </w:rPr>
      </w:pPr>
      <w:r>
        <w:rPr>
          <w:rFonts w:ascii="Courier New" w:cs="Courier New" w:eastAsia="Courier New" w:hAnsi="Courier New"/>
          <w:sz w:val="18"/>
          <w:szCs w:val="18"/>
          <w:color w:val="auto"/>
        </w:rPr>
        <w:t>89 Nexus Way, Camana Bay</w:t>
      </w:r>
    </w:p>
    <w:p>
      <w:pPr>
        <w:spacing w:after="0"/>
        <w:rPr>
          <w:sz w:val="20"/>
          <w:szCs w:val="20"/>
          <w:color w:val="auto"/>
        </w:rPr>
      </w:pPr>
      <w:r>
        <w:rPr>
          <w:rFonts w:ascii="Courier New" w:cs="Courier New" w:eastAsia="Courier New" w:hAnsi="Courier New"/>
          <w:sz w:val="18"/>
          <w:szCs w:val="18"/>
          <w:color w:val="auto"/>
        </w:rPr>
        <w:t>Grand Cayman KY1-9007</w:t>
      </w:r>
    </w:p>
    <w:p>
      <w:pPr>
        <w:spacing w:after="0" w:line="237" w:lineRule="auto"/>
        <w:rPr>
          <w:sz w:val="20"/>
          <w:szCs w:val="20"/>
          <w:color w:val="auto"/>
        </w:rPr>
      </w:pPr>
      <w:r>
        <w:rPr>
          <w:rFonts w:ascii="Courier New" w:cs="Courier New" w:eastAsia="Courier New" w:hAnsi="Courier New"/>
          <w:sz w:val="18"/>
          <w:szCs w:val="18"/>
          <w:color w:val="auto"/>
        </w:rPr>
        <w:t>Cayman Islands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line="238" w:lineRule="auto"/>
        <w:rPr>
          <w:sz w:val="20"/>
          <w:szCs w:val="20"/>
          <w:color w:val="auto"/>
        </w:rPr>
      </w:pPr>
      <w:r>
        <w:rPr>
          <w:rFonts w:ascii="Courier New" w:cs="Courier New" w:eastAsia="Courier New" w:hAnsi="Courier New"/>
          <w:sz w:val="18"/>
          <w:szCs w:val="18"/>
          <w:color w:val="auto"/>
        </w:rPr>
        <w:t>Upper Saddle River, New Jersey 07458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w:t>
      </w:r>
    </w:p>
    <w:p>
      <w:pPr>
        <w:spacing w:after="0" w:line="238" w:lineRule="auto"/>
        <w:rPr>
          <w:sz w:val="20"/>
          <w:szCs w:val="20"/>
          <w:color w:val="auto"/>
        </w:rPr>
      </w:pPr>
      <w:r>
        <w:rPr>
          <w:rFonts w:ascii="Courier New" w:cs="Courier New" w:eastAsia="Courier New" w:hAnsi="Courier New"/>
          <w:sz w:val="18"/>
          <w:szCs w:val="18"/>
          <w:color w:val="auto"/>
        </w:rPr>
        <w:t>c/o Sabby Management, LLC</w:t>
      </w:r>
    </w:p>
    <w:p>
      <w:pPr>
        <w:spacing w:after="0" w:line="238" w:lineRule="auto"/>
        <w:rPr>
          <w:sz w:val="20"/>
          <w:szCs w:val="20"/>
          <w:color w:val="auto"/>
        </w:rPr>
      </w:pPr>
      <w:r>
        <w:rPr>
          <w:rFonts w:ascii="Courier New" w:cs="Courier New" w:eastAsia="Courier New" w:hAnsi="Courier New"/>
          <w:sz w:val="18"/>
          <w:szCs w:val="18"/>
          <w:color w:val="auto"/>
        </w:rPr>
        <w:t>10 Mountainview Road, Suite 205</w:t>
      </w:r>
    </w:p>
    <w:p>
      <w:pPr>
        <w:spacing w:after="0"/>
        <w:rPr>
          <w:sz w:val="20"/>
          <w:szCs w:val="20"/>
          <w:color w:val="auto"/>
        </w:rPr>
      </w:pPr>
      <w:r>
        <w:rPr>
          <w:rFonts w:ascii="Courier New" w:cs="Courier New" w:eastAsia="Courier New" w:hAnsi="Courier New"/>
          <w:sz w:val="18"/>
          <w:szCs w:val="18"/>
          <w:color w:val="auto"/>
        </w:rPr>
        <w:t>Upper Saddle River, New Jersey 07458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ectPr>
          <w:pgSz w:w="11900" w:h="16838" w:orient="portrait"/>
          <w:cols w:equalWidth="0" w:num="1">
            <w:col w:w="10139"/>
          </w:cols>
          <w:pgMar w:left="320" w:top="744" w:right="1440" w:bottom="0" w:gutter="0" w:footer="0" w:header="0"/>
        </w:sectPr>
      </w:pPr>
    </w:p>
    <w:bookmarkStart w:id="7" w:name="page8"/>
    <w:bookmarkEnd w:id="7"/>
    <w:p>
      <w:pPr>
        <w:ind w:right="3919"/>
        <w:spacing w:after="0" w:line="236" w:lineRule="auto"/>
        <w:rPr>
          <w:sz w:val="20"/>
          <w:szCs w:val="20"/>
          <w:color w:val="auto"/>
        </w:rPr>
      </w:pPr>
      <w:r>
        <w:rPr>
          <w:rFonts w:ascii="Courier New" w:cs="Courier New" w:eastAsia="Courier New" w:hAnsi="Courier New"/>
          <w:sz w:val="18"/>
          <w:szCs w:val="18"/>
          <w:color w:val="auto"/>
        </w:rPr>
        <w:t>Sabby Volatility Warrant Master Fund, Ltd. - Cayman Islands Sabby Management, LLC - Delaware, USA Hal Mintz -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(the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98420U703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ind w:right="3599"/>
        <w:spacing w:after="0" w:line="290" w:lineRule="auto"/>
        <w:rPr>
          <w:sz w:val="20"/>
          <w:szCs w:val="20"/>
          <w:color w:val="auto"/>
        </w:rPr>
      </w:pPr>
      <w:r>
        <w:rPr>
          <w:rFonts w:ascii="Courier New" w:cs="Courier New" w:eastAsia="Courier New" w:hAnsi="Courier New"/>
          <w:sz w:val="16"/>
          <w:szCs w:val="16"/>
          <w:color w:val="auto"/>
        </w:rPr>
        <w:t>If This Statement is filed pursuant to Section 240.13d-1(b) or 240.13d-2(b), or (c), check whether the person filing is a</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 or dealer registered under section 15 of the Act (15 U.S.C. 78o).</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Insurance company as defined in section 3(a)(19) of the Act (15 U.S.C.</w:t>
      </w:r>
    </w:p>
    <w:p>
      <w:pPr>
        <w:spacing w:after="0"/>
        <w:rPr>
          <w:sz w:val="20"/>
          <w:szCs w:val="20"/>
          <w:color w:val="auto"/>
        </w:rPr>
      </w:pPr>
      <w:r>
        <w:rPr>
          <w:rFonts w:ascii="Courier New" w:cs="Courier New" w:eastAsia="Courier New" w:hAnsi="Courier New"/>
          <w:sz w:val="18"/>
          <w:szCs w:val="18"/>
          <w:color w:val="auto"/>
        </w:rPr>
        <w:t>78c).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investment adviser in accordance with Section 240.13d-1(b)(1)(ii)(E);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An employee benefit plan or endowment fund in accordance with Section 240.13d-1(b)(1)(ii)(F);</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ectPr>
          <w:pgSz w:w="11900" w:h="16838" w:orient="portrait"/>
          <w:cols w:equalWidth="0" w:num="1">
            <w:col w:w="10139"/>
          </w:cols>
          <w:pgMar w:left="320" w:top="749"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A savings association as defined in Section 3(b) of the Federal Deposit Insurance Act (12 U.S.C.1813);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non-U.S. institution in accordance with Section 240.13d-1(b)(1)(ii)(J);</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w:t>
      </w:r>
    </w:p>
    <w:p>
      <w:pPr>
        <w:spacing w:after="0" w:line="238" w:lineRule="auto"/>
        <w:rPr>
          <w:sz w:val="20"/>
          <w:szCs w:val="20"/>
          <w:color w:val="auto"/>
        </w:rPr>
      </w:pPr>
      <w:r>
        <w:rPr>
          <w:rFonts w:ascii="Courier New" w:cs="Courier New" w:eastAsia="Courier New" w:hAnsi="Courier New"/>
          <w:sz w:val="18"/>
          <w:szCs w:val="18"/>
          <w:color w:val="auto"/>
        </w:rPr>
        <w:t>[_]</w:t>
      </w:r>
    </w:p>
    <w:p>
      <w:pPr>
        <w:spacing w:after="0"/>
        <w:tabs>
          <w:tab w:leader="none" w:pos="6200" w:val="left"/>
        </w:tabs>
        <w:rPr>
          <w:sz w:val="20"/>
          <w:szCs w:val="20"/>
          <w:color w:val="auto"/>
        </w:rPr>
      </w:pPr>
      <w:r>
        <w:rPr>
          <w:rFonts w:ascii="Courier New" w:cs="Courier New" w:eastAsia="Courier New" w:hAnsi="Courier New"/>
          <w:sz w:val="18"/>
          <w:szCs w:val="18"/>
          <w:color w:val="auto"/>
        </w:rPr>
        <w:t>Group, in accordance with Section 240.13d-1(b)(1)(ii)(K).</w:t>
      </w:r>
      <w:r>
        <w:rPr>
          <w:sz w:val="20"/>
          <w:szCs w:val="20"/>
          <w:color w:val="auto"/>
        </w:rPr>
        <w:tab/>
      </w:r>
      <w:r>
        <w:rPr>
          <w:rFonts w:ascii="Courier New" w:cs="Courier New" w:eastAsia="Courier New" w:hAnsi="Courier New"/>
          <w:sz w:val="16"/>
          <w:szCs w:val="16"/>
          <w:color w:val="auto"/>
        </w:rPr>
        <w:t>If filing as</w:t>
      </w:r>
    </w:p>
    <w:p>
      <w:pPr>
        <w:spacing w:after="0" w:line="5"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a non-U.S. institution in accordance with Section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10"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Sabby Volatility Warrant Master Fund, Ltd. -</w:t>
      </w:r>
      <w:r>
        <w:rPr>
          <w:sz w:val="20"/>
          <w:szCs w:val="20"/>
          <w:color w:val="auto"/>
        </w:rPr>
        <w:tab/>
      </w:r>
      <w:r>
        <w:rPr>
          <w:rFonts w:ascii="Courier New" w:cs="Courier New" w:eastAsia="Courier New" w:hAnsi="Courier New"/>
          <w:sz w:val="16"/>
          <w:szCs w:val="16"/>
          <w:color w:val="auto"/>
        </w:rPr>
        <w:t>4,691,933</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Sabby Management, LLC -</w:t>
      </w:r>
      <w:r>
        <w:rPr>
          <w:sz w:val="20"/>
          <w:szCs w:val="20"/>
          <w:color w:val="auto"/>
        </w:rPr>
        <w:tab/>
      </w:r>
      <w:r>
        <w:rPr>
          <w:rFonts w:ascii="Courier New" w:cs="Courier New" w:eastAsia="Courier New" w:hAnsi="Courier New"/>
          <w:sz w:val="16"/>
          <w:szCs w:val="16"/>
          <w:color w:val="auto"/>
        </w:rPr>
        <w:t>4,691,933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- 4,691,933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 - 4.99%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 - 4.99%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Hal Mintz - 4.99%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541" w:right="1440" w:bottom="3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4,691,933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33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4,691,933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4,691,933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33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4,691,933</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946" w:right="1440" w:bottom="138"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Hal Mintz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line="238" w:lineRule="auto"/>
        <w:rPr>
          <w:sz w:val="20"/>
          <w:szCs w:val="20"/>
          <w:color w:val="auto"/>
        </w:rPr>
      </w:pPr>
      <w:r>
        <w:rPr>
          <w:rFonts w:ascii="Courier New" w:cs="Courier New" w:eastAsia="Courier New" w:hAnsi="Courier New"/>
          <w:sz w:val="18"/>
          <w:szCs w:val="18"/>
          <w:color w:val="auto"/>
        </w:rPr>
        <w:t>4,691,933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(iv)</w:t>
      </w:r>
    </w:p>
    <w:p>
      <w:pPr>
        <w:spacing w:after="0" w:line="4" w:lineRule="exact"/>
        <w:rPr>
          <w:sz w:val="20"/>
          <w:szCs w:val="20"/>
          <w:color w:val="auto"/>
        </w:rPr>
      </w:pPr>
    </w:p>
    <w:p>
      <w:pPr>
        <w:ind w:left="120" w:right="4339" w:hanging="104"/>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4,691,933</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339"/>
        <w:spacing w:after="0" w:line="270" w:lineRule="auto"/>
        <w:rPr>
          <w:sz w:val="20"/>
          <w:szCs w:val="20"/>
          <w:color w:val="auto"/>
        </w:rPr>
      </w:pPr>
      <w:r>
        <w:rPr>
          <w:rFonts w:ascii="Courier New" w:cs="Courier New" w:eastAsia="Courier New" w:hAnsi="Courier New"/>
          <w:sz w:val="16"/>
          <w:szCs w:val="16"/>
          <w:color w:val="auto"/>
        </w:rPr>
        <w:t>As calculated in accordance with Rule 13d-3 of the Securities Exchange Act of 1934, as amended, (i) Sabby Volatility Warrant Master Fund, Ltd. beneficially owns 4,691,933 shares of the Issuer's common stock (Common Stock), representing approximately 4.99% of the Common Stock, and (ii) Sabby Management, LLC and Hal Mintz each beneficially own 4,691,933 shares of the Common Stock, representing approximately 4.99% of the Common Stock. Sabby Management, LLC and Hal Mintz do not directly own any shares of Common Stock, but each indirectly owns 4,691,933 shares of Common Stock. Sabby Management, LLC, a Delaware limited liability company, indirectly owns 4,691,933 shares of Common Stock because it serves as the investment manager of Sabby Volatility Warrant Master Fund, Ltd. Mr.</w:t>
      </w:r>
    </w:p>
    <w:p>
      <w:pPr>
        <w:spacing w:after="0" w:line="188"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Mintz indirectly owns 4,691,933 shares of Common Stock in his capacity as manager of Sabby Management, LLC.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139"/>
          </w:cols>
          <w:pgMar w:left="320" w:top="1351" w:right="1440" w:bottom="341"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6.</w:t>
      </w:r>
    </w:p>
    <w:p>
      <w:pPr>
        <w:spacing w:after="0" w:line="238"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10.</w:t>
      </w:r>
    </w:p>
    <w:p>
      <w:pPr>
        <w:spacing w:after="0" w:line="238" w:lineRule="auto"/>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5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7,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139"/>
          </w:cols>
          <w:pgMar w:left="320" w:top="744" w:right="1440" w:bottom="746"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8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Name:</w:t>
        <w:tab/>
        <w:t>Harry Thompson</w:t>
      </w:r>
    </w:p>
    <w:p>
      <w:pPr>
        <w:spacing w:after="0" w:line="5" w:lineRule="exact"/>
        <w:rPr>
          <w:sz w:val="20"/>
          <w:szCs w:val="20"/>
          <w:color w:val="auto"/>
        </w:rPr>
      </w:pPr>
    </w:p>
    <w:p>
      <w:pPr>
        <w:ind w:right="4759" w:firstLine="105"/>
        <w:spacing w:after="0" w:line="235" w:lineRule="auto"/>
        <w:rPr>
          <w:sz w:val="20"/>
          <w:szCs w:val="20"/>
          <w:color w:val="auto"/>
        </w:rPr>
      </w:pPr>
      <w:r>
        <w:rPr>
          <w:rFonts w:ascii="Courier New" w:cs="Courier New" w:eastAsia="Courier New" w:hAnsi="Courier New"/>
          <w:sz w:val="18"/>
          <w:szCs w:val="18"/>
          <w:color w:val="auto"/>
        </w:rPr>
        <w:t>Title: Authorized Person of TDF Management Ltd., a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Name:</w:t>
        <w:tab/>
        <w:t>Robert Grundstein</w:t>
      </w:r>
    </w:p>
    <w:p>
      <w:pPr>
        <w:ind w:left="740"/>
        <w:spacing w:after="0" w:line="238" w:lineRule="auto"/>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p>
      <w:pPr>
        <w:spacing w:after="0" w:line="207" w:lineRule="exact"/>
        <w:rPr>
          <w:sz w:val="20"/>
          <w:szCs w:val="20"/>
          <w:color w:val="auto"/>
        </w:rPr>
      </w:pPr>
    </w:p>
    <w:p>
      <w:pPr>
        <w:ind w:right="2439"/>
        <w:spacing w:after="0" w:line="290" w:lineRule="auto"/>
        <w:rPr>
          <w:sz w:val="20"/>
          <w:szCs w:val="20"/>
          <w:color w:val="auto"/>
        </w:rPr>
      </w:pPr>
      <w:r>
        <w:rPr>
          <w:rFonts w:ascii="Courier New" w:cs="Courier New" w:eastAsia="Courier New" w:hAnsi="Courier New"/>
          <w:sz w:val="16"/>
          <w:szCs w:val="16"/>
          <w:color w:val="auto"/>
        </w:rPr>
        <w:t>*This Reporting Person disclaims beneficial ownership over the securities reported herein except to the extent of its pecuniary interest therein.</w:t>
      </w:r>
    </w:p>
    <w:p>
      <w:pPr>
        <w:spacing w:after="0" w:line="169" w:lineRule="exact"/>
        <w:rPr>
          <w:sz w:val="20"/>
          <w:szCs w:val="20"/>
          <w:color w:val="auto"/>
        </w:rPr>
      </w:pPr>
    </w:p>
    <w:p>
      <w:pPr>
        <w:ind w:right="2439"/>
        <w:spacing w:after="0" w:line="270"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0"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s.240.13d-7 for other parties for whom copies are to be sent.</w:t>
      </w:r>
    </w:p>
    <w:p>
      <w:pPr>
        <w:spacing w:after="0" w:line="208"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659" w:firstLine="737"/>
        <w:spacing w:after="0" w:line="237" w:lineRule="auto"/>
        <w:rPr>
          <w:sz w:val="20"/>
          <w:szCs w:val="20"/>
          <w:color w:val="auto"/>
        </w:rPr>
      </w:pPr>
      <w:r>
        <w:rPr>
          <w:rFonts w:ascii="Courier New" w:cs="Courier New" w:eastAsia="Courier New" w:hAnsi="Courier New"/>
          <w:sz w:val="18"/>
          <w:szCs w:val="18"/>
          <w:color w:val="auto"/>
        </w:rPr>
        <w:t>The undersigned hereby agree that this Statement on Schedule 13G with respect to the beneficial ownership of shares of Common Stock of XpresSpa Group, Inc. is filed jointly, on behalf of each of them.</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7,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Sabby Volatility Warrant Master Fund,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Harry Thompson</w:t>
      </w:r>
    </w:p>
    <w:p>
      <w:pPr>
        <w:ind w:left="540"/>
        <w:spacing w:after="0" w:line="238" w:lineRule="auto"/>
        <w:tabs>
          <w:tab w:leader="none" w:pos="1260" w:val="left"/>
        </w:tabs>
        <w:rPr>
          <w:sz w:val="20"/>
          <w:szCs w:val="20"/>
          <w:color w:val="auto"/>
        </w:rPr>
      </w:pPr>
      <w:r>
        <w:rPr>
          <w:rFonts w:ascii="Courier New" w:cs="Courier New" w:eastAsia="Courier New" w:hAnsi="Courier New"/>
          <w:sz w:val="18"/>
          <w:szCs w:val="18"/>
          <w:color w:val="auto"/>
        </w:rPr>
        <w:t>Name:</w:t>
        <w:tab/>
        <w:t>Harry Thompson</w:t>
      </w:r>
    </w:p>
    <w:p>
      <w:pPr>
        <w:ind w:left="540"/>
        <w:spacing w:after="0" w:line="238" w:lineRule="auto"/>
        <w:tabs>
          <w:tab w:leader="none" w:pos="1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Person of TDF Management</w:t>
      </w:r>
    </w:p>
    <w:p>
      <w:pPr>
        <w:spacing w:after="0"/>
        <w:tabs>
          <w:tab w:leader="none" w:pos="9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a Director</w:t>
      </w:r>
    </w:p>
    <w:p>
      <w:pPr>
        <w:spacing w:after="0" w:line="237" w:lineRule="auto"/>
        <w:rPr>
          <w:sz w:val="20"/>
          <w:szCs w:val="20"/>
          <w:color w:val="auto"/>
        </w:rPr>
      </w:pPr>
      <w:r>
        <w:rPr>
          <w:rFonts w:ascii="Courier New" w:cs="Courier New" w:eastAsia="Courier New" w:hAnsi="Courier New"/>
          <w:sz w:val="18"/>
          <w:szCs w:val="18"/>
          <w:color w:val="auto"/>
        </w:rPr>
        <w:t>Sabby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Grundstein</w:t>
      </w:r>
    </w:p>
    <w:p>
      <w:pPr>
        <w:ind w:left="8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Name:</w:t>
        <w:tab/>
        <w:t>Robert Grundstein</w:t>
      </w:r>
    </w:p>
    <w:p>
      <w:pPr>
        <w:ind w:left="740"/>
        <w:spacing w:after="0" w:line="238" w:lineRule="auto"/>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Hal Mintz</w:t>
      </w:r>
    </w:p>
    <w:p>
      <w:pPr>
        <w:ind w:left="120"/>
        <w:spacing w:after="0" w:line="238" w:lineRule="auto"/>
        <w:rPr>
          <w:sz w:val="20"/>
          <w:szCs w:val="20"/>
          <w:color w:val="auto"/>
        </w:rPr>
      </w:pPr>
      <w:r>
        <w:rPr>
          <w:rFonts w:ascii="Courier New" w:cs="Courier New" w:eastAsia="Courier New" w:hAnsi="Courier New"/>
          <w:sz w:val="18"/>
          <w:szCs w:val="18"/>
          <w:color w:val="auto"/>
        </w:rPr>
        <w:t>Hal Mintz</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2021-01-07T13:45:20Z</dcterms:created>
  <dcterms:modified xsi:type="dcterms:W3CDTF">2021-01-07T13:45:20Z</dcterms:modified>
</cp:coreProperties>
</file>