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177165</wp:posOffset>
            </wp:positionV>
            <wp:extent cx="7289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Section 15(d) of the Securities Exchange Act of 1934</w:t>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February 7, 2012 (February 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203835</wp:posOffset>
            </wp:positionV>
            <wp:extent cx="728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186690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p>
      <w:pPr>
        <w:spacing w:after="0" w:line="200" w:lineRule="exact"/>
        <w:rPr>
          <w:sz w:val="24"/>
          <w:szCs w:val="24"/>
          <w:color w:val="auto"/>
        </w:rPr>
      </w:pPr>
    </w:p>
    <w:p>
      <w:pPr>
        <w:spacing w:after="0" w:line="372" w:lineRule="exact"/>
        <w:rPr>
          <w:sz w:val="24"/>
          <w:szCs w:val="24"/>
          <w:color w:val="auto"/>
        </w:rPr>
      </w:pPr>
    </w:p>
    <w:p>
      <w:pPr>
        <w:ind w:left="17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1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5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1-34785</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860" w:space="720"/>
            <w:col w:w="2680" w:space="720"/>
            <w:col w:w="2440"/>
          </w:cols>
          <w:pgMar w:left="240" w:top="472" w:right="239" w:bottom="1440" w:gutter="0" w:footer="0" w:header="0"/>
          <w:type w:val="continuous"/>
        </w:sectPr>
      </w:pPr>
    </w:p>
    <w:p>
      <w:pPr>
        <w:spacing w:after="0" w:line="22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44 W. 28</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Street</w:t>
      </w:r>
    </w:p>
    <w:p>
      <w:pPr>
        <w:spacing w:after="0" w:line="64"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0"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10001</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472" w:right="239" w:bottom="1440" w:gutter="0" w:footer="0" w:header="0"/>
          <w:type w:val="continuous"/>
        </w:sect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525-4319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189230</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1" w:lineRule="exact"/>
        <w:rPr>
          <w:sz w:val="24"/>
          <w:szCs w:val="24"/>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5" w:lineRule="exact"/>
        <w:rPr>
          <w:sz w:val="20"/>
          <w:szCs w:val="20"/>
          <w:color w:val="auto"/>
        </w:rPr>
      </w:pPr>
    </w:p>
    <w:p>
      <w:pPr>
        <w:ind w:firstLine="486"/>
        <w:spacing w:after="0" w:line="292" w:lineRule="auto"/>
        <w:rPr>
          <w:sz w:val="20"/>
          <w:szCs w:val="20"/>
          <w:color w:val="auto"/>
        </w:rPr>
      </w:pPr>
      <w:r>
        <w:rPr>
          <w:rFonts w:ascii="Arial" w:cs="Arial" w:eastAsia="Arial" w:hAnsi="Arial"/>
          <w:sz w:val="16"/>
          <w:szCs w:val="16"/>
          <w:color w:val="auto"/>
        </w:rPr>
        <w:t>On February 6, 2012, Vringo, Inc. (the “</w:t>
      </w:r>
      <w:r>
        <w:rPr>
          <w:rFonts w:ascii="Arial" w:cs="Arial" w:eastAsia="Arial" w:hAnsi="Arial"/>
          <w:sz w:val="16"/>
          <w:szCs w:val="16"/>
          <w:b w:val="1"/>
          <w:bCs w:val="1"/>
          <w:color w:val="auto"/>
        </w:rPr>
        <w:t>Company</w:t>
      </w:r>
      <w:r>
        <w:rPr>
          <w:rFonts w:ascii="Arial" w:cs="Arial" w:eastAsia="Arial" w:hAnsi="Arial"/>
          <w:sz w:val="16"/>
          <w:szCs w:val="16"/>
          <w:color w:val="auto"/>
        </w:rPr>
        <w:t>”) entered into an agreement with holders of certain of its outstanding warrants (the “</w:t>
      </w:r>
      <w:r>
        <w:rPr>
          <w:rFonts w:ascii="Arial" w:cs="Arial" w:eastAsia="Arial" w:hAnsi="Arial"/>
          <w:sz w:val="16"/>
          <w:szCs w:val="16"/>
          <w:b w:val="1"/>
          <w:bCs w:val="1"/>
          <w:color w:val="auto"/>
        </w:rPr>
        <w:t>Holders</w:t>
      </w:r>
      <w:r>
        <w:rPr>
          <w:rFonts w:ascii="Arial" w:cs="Arial" w:eastAsia="Arial" w:hAnsi="Arial"/>
          <w:sz w:val="16"/>
          <w:szCs w:val="16"/>
          <w:color w:val="auto"/>
        </w:rPr>
        <w:t>”), pursuant to which the Holders agreed to immediately exercise warrants to purchase 2,444,866 shares of the Company’s common stock (the “</w:t>
      </w:r>
      <w:r>
        <w:rPr>
          <w:rFonts w:ascii="Arial" w:cs="Arial" w:eastAsia="Arial" w:hAnsi="Arial"/>
          <w:sz w:val="16"/>
          <w:szCs w:val="16"/>
          <w:b w:val="1"/>
          <w:bCs w:val="1"/>
          <w:color w:val="auto"/>
        </w:rPr>
        <w:t>Shares</w:t>
      </w:r>
      <w:r>
        <w:rPr>
          <w:rFonts w:ascii="Arial" w:cs="Arial" w:eastAsia="Arial" w:hAnsi="Arial"/>
          <w:sz w:val="16"/>
          <w:szCs w:val="16"/>
          <w:color w:val="auto"/>
        </w:rPr>
        <w:t>”). The aggregate proceeds to be received by the Company upon the exercise of the foregoing warrants equal approximately $2.3 million. In consideration for the immediate exercise of the foregoing warrants by the Holders, the Company issued the Holders new five-year warrants to purchase an aggregate of 1,784,709 shares of common stock (the “</w:t>
      </w:r>
      <w:r>
        <w:rPr>
          <w:rFonts w:ascii="Arial" w:cs="Arial" w:eastAsia="Arial" w:hAnsi="Arial"/>
          <w:sz w:val="16"/>
          <w:szCs w:val="16"/>
          <w:b w:val="1"/>
          <w:bCs w:val="1"/>
          <w:color w:val="auto"/>
        </w:rPr>
        <w:t>Warrants</w:t>
      </w:r>
      <w:r>
        <w:rPr>
          <w:rFonts w:ascii="Arial" w:cs="Arial" w:eastAsia="Arial" w:hAnsi="Arial"/>
          <w:sz w:val="16"/>
          <w:szCs w:val="16"/>
          <w:color w:val="auto"/>
        </w:rPr>
        <w:t>”). The Warrants have an exercise price of $1.76 per share and are redeemable by the Company in the event its common stock exceeds $5.00 for twenty of thirty trading days. The Warrants were offered and sold to accredited investors pursuant to an exemption from the registration requirements under Section 4(2) of the Securities Act of 1933, as amended, and Rule 506 of Regulation D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525780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877"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60"/>
        <w:spacing w:after="0"/>
        <w:tabs>
          <w:tab w:leader="none" w:pos="5700" w:val="left"/>
        </w:tabs>
        <w:rPr>
          <w:sz w:val="20"/>
          <w:szCs w:val="20"/>
          <w:color w:val="auto"/>
        </w:rPr>
      </w:pPr>
      <w:r>
        <w:rPr>
          <w:rFonts w:ascii="Arial" w:cs="Arial" w:eastAsia="Arial" w:hAnsi="Arial"/>
          <w:sz w:val="18"/>
          <w:szCs w:val="18"/>
          <w:color w:val="auto"/>
        </w:rPr>
        <w:t>Dated: February 7, 2012</w:t>
      </w:r>
      <w:r>
        <w:rPr>
          <w:sz w:val="20"/>
          <w:szCs w:val="20"/>
          <w:color w:val="auto"/>
        </w:rPr>
        <w:tab/>
      </w:r>
      <w:r>
        <w:rPr>
          <w:rFonts w:ascii="Arial" w:cs="Arial" w:eastAsia="Arial" w:hAnsi="Arial"/>
          <w:sz w:val="18"/>
          <w:szCs w:val="18"/>
          <w:b w:val="1"/>
          <w:bCs w:val="1"/>
          <w:color w:val="auto"/>
        </w:rPr>
        <w:t>VRINGO, INC.</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Ellen Cohl</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Ellen Cohl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8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2019-12-09T19:50:00Z</dcterms:created>
  <dcterms:modified xsi:type="dcterms:W3CDTF">2019-12-09T19:50:00Z</dcterms:modified>
</cp:coreProperties>
</file>