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Simon Ralph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01/20/2008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01/20/2014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8"/>
              </w:rPr>
              <w:t>1,667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06/01/2009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8"/>
              </w:rPr>
              <w:t>2,667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25,000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30,000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January 20, 2008. One-fourth of the grant became exercisable six months after the date of the grant, with the remainder becoming exercisable in equal monthly installments over the following three years.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June 25, 2009. One-fourth of the grant became exercisable six months after the respective vesting commencement date, with the remainder becoming exercisable in equal monthly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Ralph Simon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5166"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2019-12-17T14:47:49Z</dcterms:created>
  <dcterms:modified xsi:type="dcterms:W3CDTF">2019-12-17T14:47:49Z</dcterms:modified>
</cp:coreProperties>
</file>