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Sinclair H. Van</w:t>
              </w:r>
            </w:hyperlink>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VRINGO, INC.,</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8"/>
                <w:szCs w:val="18"/>
                <w:color w:val="0000FF"/>
                <w:w w:val="99"/>
              </w:rPr>
              <w:t>03/31/2014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780 THIRD AVENUE, 15TH FLOOR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0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0000FF"/>
              </w:rPr>
              <w:t>03/31/2014</w:t>
            </w: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9,375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3.4857</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293,204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gridSpan w:val="15"/>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112,500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500"/>
        <w:spacing w:after="0" w:line="239" w:lineRule="auto"/>
        <w:rPr>
          <w:sz w:val="20"/>
          <w:szCs w:val="20"/>
          <w:color w:val="auto"/>
        </w:rPr>
      </w:pPr>
      <w:r>
        <w:rPr>
          <w:rFonts w:ascii="Arial" w:cs="Arial" w:eastAsia="Arial" w:hAnsi="Arial"/>
          <w:sz w:val="14"/>
          <w:szCs w:val="14"/>
          <w:color w:val="008000"/>
        </w:rPr>
        <w:t>As of the reporting date, the reporting person holds 325,000 vested and unvested options and 112,500 vested and unvested restricted stock units. In addition, the reporting person owns 180,704 shares of common stock and 49,709 warrants. The total number of securities listed is 667,913.</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9"/>
              </w:rPr>
              <w:t>/s/ H. Van Sinclair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921"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2019-12-17T07:37:20Z</dcterms:created>
  <dcterms:modified xsi:type="dcterms:W3CDTF">2019-12-17T07:37:20Z</dcterms:modified>
</cp:coreProperties>
</file>