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760"/>
        <w:spacing w:after="0"/>
        <w:rPr>
          <w:sz w:val="20"/>
          <w:szCs w:val="20"/>
          <w:color w:val="auto"/>
        </w:rPr>
      </w:pPr>
      <w:r>
        <w:rPr>
          <w:rFonts w:ascii="Arial" w:cs="Arial" w:eastAsia="Arial" w:hAnsi="Arial"/>
          <w:sz w:val="16"/>
          <w:szCs w:val="16"/>
          <w:b w:val="1"/>
          <w:bCs w:val="1"/>
          <w:color w:val="auto"/>
        </w:rPr>
        <w:t>Filed Pursuant to Rule 424(b)(5)</w:t>
      </w:r>
    </w:p>
    <w:p>
      <w:pPr>
        <w:spacing w:after="0" w:line="50" w:lineRule="exact"/>
        <w:rPr>
          <w:sz w:val="24"/>
          <w:szCs w:val="24"/>
          <w:color w:val="auto"/>
        </w:rPr>
      </w:pPr>
    </w:p>
    <w:p>
      <w:pPr>
        <w:ind w:left="8240"/>
        <w:spacing w:after="0"/>
        <w:rPr>
          <w:sz w:val="20"/>
          <w:szCs w:val="20"/>
          <w:color w:val="auto"/>
        </w:rPr>
      </w:pPr>
      <w:r>
        <w:rPr>
          <w:rFonts w:ascii="Arial" w:cs="Arial" w:eastAsia="Arial" w:hAnsi="Arial"/>
          <w:sz w:val="16"/>
          <w:szCs w:val="16"/>
          <w:b w:val="1"/>
          <w:bCs w:val="1"/>
          <w:color w:val="auto"/>
        </w:rPr>
        <w:t>Registration Statement No. 333-232764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July 30, 2019)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7,614,700 Shares of Common Stock</w:t>
      </w:r>
    </w:p>
    <w:p>
      <w:pPr>
        <w:spacing w:after="0" w:line="229" w:lineRule="exact"/>
        <w:rPr>
          <w:sz w:val="24"/>
          <w:szCs w:val="24"/>
          <w:color w:val="auto"/>
        </w:rPr>
      </w:pPr>
    </w:p>
    <w:p>
      <w:pPr>
        <w:jc w:val="both"/>
        <w:spacing w:after="0" w:line="293" w:lineRule="auto"/>
        <w:rPr>
          <w:sz w:val="20"/>
          <w:szCs w:val="20"/>
          <w:color w:val="auto"/>
        </w:rPr>
      </w:pPr>
      <w:r>
        <w:rPr>
          <w:rFonts w:ascii="Arial" w:cs="Arial" w:eastAsia="Arial" w:hAnsi="Arial"/>
          <w:sz w:val="16"/>
          <w:szCs w:val="16"/>
          <w:color w:val="auto"/>
        </w:rPr>
        <w:t>We are offering an aggregate of 7,614,700 shares of our common stock, par value $0.01 per share (the “Common Stock”) at a purchase price equal to $5.253 per share. In a concurrent private placement, we are also selling to purchasers of our Common Stock in this offering, warrants to purchase 7,614,700 shares of our Common Stock (the “Warrants”). The Warrants are exercisable immediately and will expire 21 months from the date of issuance. The Warrants and the shares of our Common Stock issuable upon the exercise of the Warrants are not being registered under the Securities Act of 1933, as amended (the “Securities Act”), are not being offered pursuant to this prospectus supplement and the accompanying prospectus and are being offered pursuant to the exemption provided in Section 4(a)(2) under the Securities Act and Rule 506(b) promulgated thereunder.</w:t>
      </w:r>
    </w:p>
    <w:p>
      <w:pPr>
        <w:spacing w:after="0" w:line="16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Capital Market, or Nasdaq, under the symbol “XSPA.” The last reported sale price of our Common Stock on June 16, 2020 was $5.35 per share.</w:t>
      </w:r>
    </w:p>
    <w:p>
      <w:pPr>
        <w:spacing w:after="0" w:line="17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You should read this prospectus supplement and the accompanying prospectus and the documents incorporated by reference in this prospectus supplement carefully before you invest.</w:t>
      </w:r>
    </w:p>
    <w:p>
      <w:pPr>
        <w:spacing w:after="0" w:line="166"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See “Risk Factors” on page S-7 of this prospectus supplement to read about factors you should consider before buying shares of our Common Stock.</w:t>
      </w:r>
    </w:p>
    <w:p>
      <w:pPr>
        <w:spacing w:after="0" w:line="162" w:lineRule="exact"/>
        <w:rPr>
          <w:sz w:val="24"/>
          <w:szCs w:val="24"/>
          <w:color w:val="auto"/>
        </w:rPr>
      </w:pPr>
    </w:p>
    <w:p>
      <w:pPr>
        <w:jc w:val="both"/>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4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We have engaged H.C. Wainwright &amp; Co., LLC, or the placement agent, as our exclusive placement agent in connection with this offering. The placement agent has no obligation to buy any of the securities from us or to arrange for the purchase or sale of any specific number or dollar amount of securities. We have agreed to pay the placement agent the placement agent fees set forth in the table below. Pursuant to this prospectus supplement and the accompanying prospectus, we will also issue warrants to purchase up to 609,176 shares of our common stock (the “Placement Agent Warrants”) to the placement agent, or its designees, as part of the compensation payable to the placement agent. The Placement Agent Warrants will have an exercise price of $6.56625 per share and will expire 21 months from the date of issuance. See “Plan of Distribution” beginning on page S-23 of this prospectus supplement for more information regarding these arrangements.</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Per Share of Common</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Stock</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09"/>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8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8"/>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40,000,019.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10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Placement Agent fees(1)</w:t>
            </w:r>
          </w:p>
        </w:tc>
        <w:tc>
          <w:tcPr>
            <w:tcW w:w="3180" w:type="dxa"/>
            <w:vAlign w:val="bottom"/>
            <w:gridSpan w:val="2"/>
          </w:tcPr>
          <w:p>
            <w:pPr>
              <w:jc w:val="right"/>
              <w:ind w:right="218"/>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0.393975</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3,000,001.43</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18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4.859025</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37,000,017.67</w:t>
            </w:r>
          </w:p>
        </w:tc>
      </w:tr>
    </w:tbl>
    <w:p>
      <w:pPr>
        <w:spacing w:after="0" w:line="200" w:lineRule="exact"/>
        <w:rPr>
          <w:sz w:val="24"/>
          <w:szCs w:val="24"/>
          <w:color w:val="auto"/>
        </w:rPr>
      </w:pPr>
    </w:p>
    <w:p>
      <w:pPr>
        <w:spacing w:after="0" w:line="218" w:lineRule="exact"/>
        <w:rPr>
          <w:sz w:val="24"/>
          <w:szCs w:val="24"/>
          <w:color w:val="auto"/>
        </w:rPr>
      </w:pPr>
    </w:p>
    <w:p>
      <w:pPr>
        <w:ind w:right="20" w:firstLine="8"/>
        <w:spacing w:after="0" w:line="277"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we have agreed to pay a management fee of 1.0% of the gross proceeds raised in this offering. See “Plan of Distribution” beginning on page S-23 for more information regarding the placement agent’s compensation.</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Delivery of the shares of our Common Stock being offered pursuant to this prospectus supplement and the accompanying prospectus is expected to be made on or about June 19, 2020.</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H.C. Wainwright &amp; Co.</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June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120" w:type="dxa"/>
            <w:vAlign w:val="bottom"/>
          </w:tcPr>
          <w:p>
            <w:pPr>
              <w:jc w:val="center"/>
              <w:ind w:left="1030"/>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20"/>
                <w:szCs w:val="20"/>
                <w:color w:val="auto"/>
              </w:rPr>
            </w:pPr>
          </w:p>
        </w:tc>
      </w:tr>
      <w:tr>
        <w:trPr>
          <w:trHeight w:val="432"/>
        </w:trPr>
        <w:tc>
          <w:tcPr>
            <w:tcW w:w="10120" w:type="dxa"/>
            <w:vAlign w:val="bottom"/>
          </w:tcPr>
          <w:p>
            <w:pPr>
              <w:jc w:val="center"/>
              <w:ind w:left="1030"/>
              <w:spacing w:after="0"/>
              <w:rPr>
                <w:sz w:val="20"/>
                <w:szCs w:val="20"/>
                <w:color w:val="auto"/>
              </w:rPr>
            </w:pPr>
            <w:r>
              <w:rPr>
                <w:rFonts w:ascii="Arial" w:cs="Arial" w:eastAsia="Arial" w:hAnsi="Arial"/>
                <w:sz w:val="18"/>
                <w:szCs w:val="18"/>
                <w:b w:val="1"/>
                <w:bCs w:val="1"/>
                <w:color w:val="auto"/>
                <w:w w:val="87"/>
              </w:rPr>
              <w:t>Prospectus Supplement</w:t>
            </w:r>
          </w:p>
        </w:tc>
        <w:tc>
          <w:tcPr>
            <w:tcW w:w="1120" w:type="dxa"/>
            <w:vAlign w:val="bottom"/>
          </w:tcPr>
          <w:p>
            <w:pPr>
              <w:spacing w:after="0"/>
              <w:rPr>
                <w:sz w:val="24"/>
                <w:szCs w:val="24"/>
                <w:color w:val="auto"/>
              </w:rPr>
            </w:pPr>
          </w:p>
        </w:tc>
      </w:tr>
      <w:tr>
        <w:trPr>
          <w:trHeight w:val="432"/>
        </w:trPr>
        <w:tc>
          <w:tcPr>
            <w:tcW w:w="10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09"/>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 SUPPLEMENT</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S-ii</w:t>
              </w:r>
            </w:hyperlink>
          </w:p>
        </w:tc>
      </w:tr>
      <w:tr>
        <w:trPr>
          <w:trHeight w:val="216"/>
        </w:trPr>
        <w:tc>
          <w:tcPr>
            <w:tcW w:w="101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SPECIAL NOTE REGARDING FORWARD-LOOKING STATEMENTS</w:t>
              </w:r>
            </w:hyperlink>
          </w:p>
        </w:tc>
        <w:tc>
          <w:tcPr>
            <w:tcW w:w="1120" w:type="dxa"/>
            <w:vAlign w:val="bottom"/>
          </w:tcPr>
          <w:p>
            <w:pPr>
              <w:jc w:val="cente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S-iii</w:t>
              </w:r>
            </w:hyperlink>
          </w:p>
        </w:tc>
      </w:tr>
      <w:tr>
        <w:trPr>
          <w:trHeight w:val="216"/>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PROSPECTUS SUPPLEMENT SUMMARY</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85"/>
              </w:rPr>
            </w:pPr>
            <w:hyperlink w:anchor="page7">
              <w:r>
                <w:rPr>
                  <w:rFonts w:ascii="Arial" w:cs="Arial" w:eastAsia="Arial" w:hAnsi="Arial"/>
                  <w:sz w:val="18"/>
                  <w:szCs w:val="18"/>
                  <w:u w:val="single" w:color="auto"/>
                  <w:color w:val="0000EE"/>
                  <w:w w:val="85"/>
                </w:rPr>
                <w:t>S-1</w:t>
              </w:r>
            </w:hyperlink>
          </w:p>
        </w:tc>
      </w:tr>
      <w:tr>
        <w:trPr>
          <w:trHeight w:val="216"/>
        </w:trPr>
        <w:tc>
          <w:tcPr>
            <w:tcW w:w="1012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SUMMARY OF THE OFFERING</w:t>
              </w:r>
            </w:hyperlink>
          </w:p>
        </w:tc>
        <w:tc>
          <w:tcPr>
            <w:tcW w:w="1120" w:type="dxa"/>
            <w:vAlign w:val="bottom"/>
          </w:tcPr>
          <w:p>
            <w:pPr>
              <w:jc w:val="center"/>
              <w:spacing w:after="0"/>
              <w:rPr>
                <w:rFonts w:ascii="Arial" w:cs="Arial" w:eastAsia="Arial" w:hAnsi="Arial"/>
                <w:sz w:val="18"/>
                <w:szCs w:val="18"/>
                <w:u w:val="single" w:color="auto"/>
                <w:color w:val="0000EE"/>
                <w:w w:val="85"/>
              </w:rPr>
            </w:pPr>
            <w:hyperlink w:anchor="page11">
              <w:r>
                <w:rPr>
                  <w:rFonts w:ascii="Arial" w:cs="Arial" w:eastAsia="Arial" w:hAnsi="Arial"/>
                  <w:sz w:val="18"/>
                  <w:szCs w:val="18"/>
                  <w:u w:val="single" w:color="auto"/>
                  <w:color w:val="0000EE"/>
                  <w:w w:val="85"/>
                </w:rPr>
                <w:t>S-5</w:t>
              </w:r>
            </w:hyperlink>
          </w:p>
        </w:tc>
      </w:tr>
      <w:tr>
        <w:trPr>
          <w:trHeight w:val="216"/>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RISK FACTORS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85"/>
              </w:rPr>
            </w:pPr>
            <w:hyperlink w:anchor="page13">
              <w:r>
                <w:rPr>
                  <w:rFonts w:ascii="Arial" w:cs="Arial" w:eastAsia="Arial" w:hAnsi="Arial"/>
                  <w:sz w:val="18"/>
                  <w:szCs w:val="18"/>
                  <w:u w:val="single" w:color="auto"/>
                  <w:color w:val="0000EE"/>
                  <w:w w:val="85"/>
                </w:rPr>
                <w:t>S-7</w:t>
              </w:r>
            </w:hyperlink>
          </w:p>
        </w:tc>
      </w:tr>
      <w:tr>
        <w:trPr>
          <w:trHeight w:val="216"/>
        </w:trPr>
        <w:tc>
          <w:tcPr>
            <w:tcW w:w="1012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USE OF PROCEEDS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23">
              <w:r>
                <w:rPr>
                  <w:rFonts w:ascii="Arial" w:cs="Arial" w:eastAsia="Arial" w:hAnsi="Arial"/>
                  <w:sz w:val="18"/>
                  <w:szCs w:val="18"/>
                  <w:u w:val="single" w:color="auto"/>
                  <w:color w:val="0000EE"/>
                  <w:w w:val="89"/>
                </w:rPr>
                <w:t>S-17</w:t>
              </w:r>
            </w:hyperlink>
          </w:p>
        </w:tc>
      </w:tr>
      <w:tr>
        <w:trPr>
          <w:trHeight w:val="216"/>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DIVIDEND POLICY</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24">
              <w:r>
                <w:rPr>
                  <w:rFonts w:ascii="Arial" w:cs="Arial" w:eastAsia="Arial" w:hAnsi="Arial"/>
                  <w:sz w:val="18"/>
                  <w:szCs w:val="18"/>
                  <w:u w:val="single" w:color="auto"/>
                  <w:color w:val="0000EE"/>
                  <w:w w:val="89"/>
                </w:rPr>
                <w:t>S-18</w:t>
              </w:r>
            </w:hyperlink>
          </w:p>
        </w:tc>
      </w:tr>
      <w:tr>
        <w:trPr>
          <w:trHeight w:val="216"/>
        </w:trPr>
        <w:tc>
          <w:tcPr>
            <w:tcW w:w="1012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DILUTION</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25">
              <w:r>
                <w:rPr>
                  <w:rFonts w:ascii="Arial" w:cs="Arial" w:eastAsia="Arial" w:hAnsi="Arial"/>
                  <w:sz w:val="18"/>
                  <w:szCs w:val="18"/>
                  <w:u w:val="single" w:color="auto"/>
                  <w:color w:val="0000EE"/>
                  <w:w w:val="89"/>
                </w:rPr>
                <w:t>S-19</w:t>
              </w:r>
            </w:hyperlink>
          </w:p>
        </w:tc>
      </w:tr>
      <w:tr>
        <w:trPr>
          <w:trHeight w:val="216"/>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DESCRIPTION OF THE SECURITIES WE ARE OFFERING</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27">
              <w:r>
                <w:rPr>
                  <w:rFonts w:ascii="Arial" w:cs="Arial" w:eastAsia="Arial" w:hAnsi="Arial"/>
                  <w:sz w:val="18"/>
                  <w:szCs w:val="18"/>
                  <w:u w:val="single" w:color="auto"/>
                  <w:color w:val="0000EE"/>
                  <w:w w:val="89"/>
                </w:rPr>
                <w:t>S-21</w:t>
              </w:r>
            </w:hyperlink>
          </w:p>
        </w:tc>
      </w:tr>
      <w:tr>
        <w:trPr>
          <w:trHeight w:val="216"/>
        </w:trPr>
        <w:tc>
          <w:tcPr>
            <w:tcW w:w="1012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PRIVATE PLACEMENT</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28">
              <w:r>
                <w:rPr>
                  <w:rFonts w:ascii="Arial" w:cs="Arial" w:eastAsia="Arial" w:hAnsi="Arial"/>
                  <w:sz w:val="18"/>
                  <w:szCs w:val="18"/>
                  <w:u w:val="single" w:color="auto"/>
                  <w:color w:val="0000EE"/>
                  <w:w w:val="89"/>
                </w:rPr>
                <w:t>S-22</w:t>
              </w:r>
            </w:hyperlink>
          </w:p>
        </w:tc>
      </w:tr>
      <w:tr>
        <w:trPr>
          <w:trHeight w:val="216"/>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PLAN OF DISTRIBUTION</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S-23</w:t>
              </w:r>
            </w:hyperlink>
          </w:p>
        </w:tc>
      </w:tr>
      <w:tr>
        <w:trPr>
          <w:trHeight w:val="216"/>
        </w:trPr>
        <w:tc>
          <w:tcPr>
            <w:tcW w:w="1012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LEGAL MATTERS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S-24</w:t>
              </w:r>
            </w:hyperlink>
          </w:p>
        </w:tc>
      </w:tr>
      <w:tr>
        <w:trPr>
          <w:trHeight w:val="216"/>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EXPERTS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S-24</w:t>
              </w:r>
            </w:hyperlink>
          </w:p>
        </w:tc>
      </w:tr>
      <w:tr>
        <w:trPr>
          <w:trHeight w:val="216"/>
        </w:trPr>
        <w:tc>
          <w:tcPr>
            <w:tcW w:w="1012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WHERE YOU CAN FIND MORE INFORMATION</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S-24</w:t>
              </w:r>
            </w:hyperlink>
          </w:p>
        </w:tc>
      </w:tr>
      <w:tr>
        <w:trPr>
          <w:trHeight w:val="216"/>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INCORPORATION OF CERTAIN INFORMATION BY REFERENCE</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S-25</w:t>
              </w:r>
            </w:hyperlink>
          </w:p>
        </w:tc>
      </w:tr>
      <w:tr>
        <w:trPr>
          <w:trHeight w:val="432"/>
        </w:trPr>
        <w:tc>
          <w:tcPr>
            <w:tcW w:w="10120" w:type="dxa"/>
            <w:vAlign w:val="bottom"/>
          </w:tcPr>
          <w:p>
            <w:pPr>
              <w:jc w:val="center"/>
              <w:ind w:left="1030"/>
              <w:spacing w:after="0"/>
              <w:rPr>
                <w:sz w:val="20"/>
                <w:szCs w:val="20"/>
                <w:color w:val="auto"/>
              </w:rPr>
            </w:pPr>
            <w:r>
              <w:rPr>
                <w:rFonts w:ascii="Arial" w:cs="Arial" w:eastAsia="Arial" w:hAnsi="Arial"/>
                <w:sz w:val="18"/>
                <w:szCs w:val="18"/>
                <w:b w:val="1"/>
                <w:bCs w:val="1"/>
                <w:color w:val="auto"/>
                <w:w w:val="85"/>
              </w:rPr>
              <w:t>Prospectus</w:t>
            </w:r>
          </w:p>
        </w:tc>
        <w:tc>
          <w:tcPr>
            <w:tcW w:w="1120" w:type="dxa"/>
            <w:vAlign w:val="bottom"/>
          </w:tcPr>
          <w:p>
            <w:pPr>
              <w:spacing w:after="0"/>
              <w:rPr>
                <w:sz w:val="24"/>
                <w:szCs w:val="24"/>
                <w:color w:val="auto"/>
              </w:rPr>
            </w:pPr>
          </w:p>
        </w:tc>
      </w:tr>
      <w:tr>
        <w:trPr>
          <w:trHeight w:val="216"/>
        </w:trPr>
        <w:tc>
          <w:tcPr>
            <w:tcW w:w="10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iv</w:t>
              </w:r>
            </w:hyperlink>
          </w:p>
        </w:tc>
      </w:tr>
      <w:tr>
        <w:trPr>
          <w:trHeight w:val="216"/>
        </w:trPr>
        <w:tc>
          <w:tcPr>
            <w:tcW w:w="101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1120" w:type="dxa"/>
            <w:vAlign w:val="bottom"/>
          </w:tcPr>
          <w:p>
            <w:pPr>
              <w:jc w:val="center"/>
              <w:spacing w:after="0"/>
              <w:rPr>
                <w:rFonts w:ascii="Arial" w:cs="Arial" w:eastAsia="Arial" w:hAnsi="Arial"/>
                <w:sz w:val="18"/>
                <w:szCs w:val="18"/>
                <w:u w:val="single" w:color="auto"/>
                <w:color w:val="0000EE"/>
                <w:w w:val="79"/>
              </w:rPr>
            </w:pPr>
            <w:hyperlink w:anchor="page4">
              <w:r>
                <w:rPr>
                  <w:rFonts w:ascii="Arial" w:cs="Arial" w:eastAsia="Arial" w:hAnsi="Arial"/>
                  <w:sz w:val="18"/>
                  <w:szCs w:val="18"/>
                  <w:u w:val="single" w:color="auto"/>
                  <w:color w:val="0000EE"/>
                  <w:w w:val="79"/>
                </w:rPr>
                <w:t>1</w:t>
              </w:r>
            </w:hyperlink>
          </w:p>
        </w:tc>
      </w:tr>
      <w:tr>
        <w:trPr>
          <w:trHeight w:val="216"/>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 FACTORS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79"/>
              </w:rPr>
            </w:pPr>
            <w:hyperlink w:anchor="page7">
              <w:r>
                <w:rPr>
                  <w:rFonts w:ascii="Arial" w:cs="Arial" w:eastAsia="Arial" w:hAnsi="Arial"/>
                  <w:sz w:val="18"/>
                  <w:szCs w:val="18"/>
                  <w:u w:val="single" w:color="auto"/>
                  <w:color w:val="0000EE"/>
                  <w:w w:val="79"/>
                </w:rPr>
                <w:t>2</w:t>
              </w:r>
            </w:hyperlink>
          </w:p>
        </w:tc>
      </w:tr>
      <w:tr>
        <w:trPr>
          <w:trHeight w:val="216"/>
        </w:trPr>
        <w:tc>
          <w:tcPr>
            <w:tcW w:w="1012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SPECIAL NOTE REGARDING FORWARD-LOOKING STATEMENTS</w:t>
              </w:r>
            </w:hyperlink>
          </w:p>
        </w:tc>
        <w:tc>
          <w:tcPr>
            <w:tcW w:w="1120" w:type="dxa"/>
            <w:vAlign w:val="bottom"/>
          </w:tcPr>
          <w:p>
            <w:pPr>
              <w:jc w:val="center"/>
              <w:spacing w:after="0"/>
              <w:rPr>
                <w:rFonts w:ascii="Arial" w:cs="Arial" w:eastAsia="Arial" w:hAnsi="Arial"/>
                <w:sz w:val="18"/>
                <w:szCs w:val="18"/>
                <w:u w:val="single" w:color="auto"/>
                <w:color w:val="0000EE"/>
                <w:w w:val="79"/>
              </w:rPr>
            </w:pPr>
            <w:hyperlink w:anchor="page38">
              <w:r>
                <w:rPr>
                  <w:rFonts w:ascii="Arial" w:cs="Arial" w:eastAsia="Arial" w:hAnsi="Arial"/>
                  <w:sz w:val="18"/>
                  <w:szCs w:val="18"/>
                  <w:u w:val="single" w:color="auto"/>
                  <w:color w:val="0000EE"/>
                  <w:w w:val="79"/>
                </w:rPr>
                <w:t>3</w:t>
              </w:r>
            </w:hyperlink>
          </w:p>
        </w:tc>
      </w:tr>
      <w:tr>
        <w:trPr>
          <w:trHeight w:val="216"/>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RATIO OF EARNINGS TO FIXED CHARGES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79"/>
              </w:rPr>
            </w:pPr>
            <w:hyperlink w:anchor="page40">
              <w:r>
                <w:rPr>
                  <w:rFonts w:ascii="Arial" w:cs="Arial" w:eastAsia="Arial" w:hAnsi="Arial"/>
                  <w:sz w:val="18"/>
                  <w:szCs w:val="18"/>
                  <w:u w:val="single" w:color="auto"/>
                  <w:color w:val="0000EE"/>
                  <w:w w:val="79"/>
                </w:rPr>
                <w:t>5</w:t>
              </w:r>
            </w:hyperlink>
          </w:p>
        </w:tc>
      </w:tr>
      <w:tr>
        <w:trPr>
          <w:trHeight w:val="216"/>
        </w:trPr>
        <w:tc>
          <w:tcPr>
            <w:tcW w:w="1012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USE OF PROCEEDS</w:t>
              </w:r>
            </w:hyperlink>
          </w:p>
        </w:tc>
        <w:tc>
          <w:tcPr>
            <w:tcW w:w="1120" w:type="dxa"/>
            <w:vAlign w:val="bottom"/>
          </w:tcPr>
          <w:p>
            <w:pPr>
              <w:jc w:val="center"/>
              <w:spacing w:after="0"/>
              <w:rPr>
                <w:rFonts w:ascii="Arial" w:cs="Arial" w:eastAsia="Arial" w:hAnsi="Arial"/>
                <w:sz w:val="18"/>
                <w:szCs w:val="18"/>
                <w:u w:val="single" w:color="auto"/>
                <w:color w:val="0000EE"/>
                <w:w w:val="79"/>
              </w:rPr>
            </w:pPr>
            <w:hyperlink w:anchor="page41">
              <w:r>
                <w:rPr>
                  <w:rFonts w:ascii="Arial" w:cs="Arial" w:eastAsia="Arial" w:hAnsi="Arial"/>
                  <w:sz w:val="18"/>
                  <w:szCs w:val="18"/>
                  <w:u w:val="single" w:color="auto"/>
                  <w:color w:val="0000EE"/>
                  <w:w w:val="79"/>
                </w:rPr>
                <w:t>6</w:t>
              </w:r>
            </w:hyperlink>
          </w:p>
        </w:tc>
      </w:tr>
      <w:tr>
        <w:trPr>
          <w:trHeight w:val="216"/>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PLAN OF DISTRIBUTION</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79"/>
              </w:rPr>
            </w:pPr>
            <w:hyperlink w:anchor="page42">
              <w:r>
                <w:rPr>
                  <w:rFonts w:ascii="Arial" w:cs="Arial" w:eastAsia="Arial" w:hAnsi="Arial"/>
                  <w:sz w:val="18"/>
                  <w:szCs w:val="18"/>
                  <w:u w:val="single" w:color="auto"/>
                  <w:color w:val="0000EE"/>
                  <w:w w:val="79"/>
                </w:rPr>
                <w:t>7</w:t>
              </w:r>
            </w:hyperlink>
          </w:p>
        </w:tc>
      </w:tr>
      <w:tr>
        <w:trPr>
          <w:trHeight w:val="216"/>
        </w:trPr>
        <w:tc>
          <w:tcPr>
            <w:tcW w:w="1012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DESCRIPTION OF COMMON STOCK</w:t>
              </w:r>
            </w:hyperlink>
          </w:p>
        </w:tc>
        <w:tc>
          <w:tcPr>
            <w:tcW w:w="1120" w:type="dxa"/>
            <w:vAlign w:val="bottom"/>
          </w:tcPr>
          <w:p>
            <w:pPr>
              <w:jc w:val="center"/>
              <w:spacing w:after="0"/>
              <w:rPr>
                <w:rFonts w:ascii="Arial" w:cs="Arial" w:eastAsia="Arial" w:hAnsi="Arial"/>
                <w:sz w:val="18"/>
                <w:szCs w:val="18"/>
                <w:u w:val="single" w:color="auto"/>
                <w:color w:val="0000EE"/>
                <w:w w:val="79"/>
              </w:rPr>
            </w:pPr>
            <w:hyperlink w:anchor="page44">
              <w:r>
                <w:rPr>
                  <w:rFonts w:ascii="Arial" w:cs="Arial" w:eastAsia="Arial" w:hAnsi="Arial"/>
                  <w:sz w:val="18"/>
                  <w:szCs w:val="18"/>
                  <w:u w:val="single" w:color="auto"/>
                  <w:color w:val="0000EE"/>
                  <w:w w:val="79"/>
                </w:rPr>
                <w:t>9</w:t>
              </w:r>
            </w:hyperlink>
          </w:p>
        </w:tc>
      </w:tr>
      <w:tr>
        <w:trPr>
          <w:trHeight w:val="216"/>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DESCRIPTION OF PREFERRED STOCK</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45">
              <w:r>
                <w:rPr>
                  <w:rFonts w:ascii="Arial" w:cs="Arial" w:eastAsia="Arial" w:hAnsi="Arial"/>
                  <w:sz w:val="18"/>
                  <w:szCs w:val="18"/>
                  <w:u w:val="single" w:color="auto"/>
                  <w:color w:val="0000EE"/>
                  <w:w w:val="89"/>
                </w:rPr>
                <w:t>10</w:t>
              </w:r>
            </w:hyperlink>
          </w:p>
        </w:tc>
      </w:tr>
      <w:tr>
        <w:trPr>
          <w:trHeight w:val="216"/>
        </w:trPr>
        <w:tc>
          <w:tcPr>
            <w:tcW w:w="1012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DESCRIPTION OF DEBT SECURITIES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47">
              <w:r>
                <w:rPr>
                  <w:rFonts w:ascii="Arial" w:cs="Arial" w:eastAsia="Arial" w:hAnsi="Arial"/>
                  <w:sz w:val="18"/>
                  <w:szCs w:val="18"/>
                  <w:u w:val="single" w:color="auto"/>
                  <w:color w:val="0000EE"/>
                  <w:w w:val="89"/>
                </w:rPr>
                <w:t>12</w:t>
              </w:r>
            </w:hyperlink>
          </w:p>
        </w:tc>
      </w:tr>
      <w:tr>
        <w:trPr>
          <w:trHeight w:val="216"/>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DESCRIPTION OF WARRANTS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53">
              <w:r>
                <w:rPr>
                  <w:rFonts w:ascii="Arial" w:cs="Arial" w:eastAsia="Arial" w:hAnsi="Arial"/>
                  <w:sz w:val="18"/>
                  <w:szCs w:val="18"/>
                  <w:u w:val="single" w:color="auto"/>
                  <w:color w:val="0000EE"/>
                  <w:w w:val="89"/>
                </w:rPr>
                <w:t>18</w:t>
              </w:r>
            </w:hyperlink>
          </w:p>
        </w:tc>
      </w:tr>
      <w:tr>
        <w:trPr>
          <w:trHeight w:val="216"/>
        </w:trPr>
        <w:tc>
          <w:tcPr>
            <w:tcW w:w="1012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DESCRIPTION OF RIGHTS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54">
              <w:r>
                <w:rPr>
                  <w:rFonts w:ascii="Arial" w:cs="Arial" w:eastAsia="Arial" w:hAnsi="Arial"/>
                  <w:sz w:val="18"/>
                  <w:szCs w:val="18"/>
                  <w:u w:val="single" w:color="auto"/>
                  <w:color w:val="0000EE"/>
                  <w:w w:val="89"/>
                </w:rPr>
                <w:t>19</w:t>
              </w:r>
            </w:hyperlink>
          </w:p>
        </w:tc>
      </w:tr>
      <w:tr>
        <w:trPr>
          <w:trHeight w:val="216"/>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DESCRIPTION OF UNITS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56">
              <w:r>
                <w:rPr>
                  <w:rFonts w:ascii="Arial" w:cs="Arial" w:eastAsia="Arial" w:hAnsi="Arial"/>
                  <w:sz w:val="18"/>
                  <w:szCs w:val="18"/>
                  <w:u w:val="single" w:color="auto"/>
                  <w:color w:val="0000EE"/>
                  <w:w w:val="89"/>
                </w:rPr>
                <w:t>21</w:t>
              </w:r>
            </w:hyperlink>
          </w:p>
        </w:tc>
      </w:tr>
      <w:tr>
        <w:trPr>
          <w:trHeight w:val="216"/>
        </w:trPr>
        <w:tc>
          <w:tcPr>
            <w:tcW w:w="10120" w:type="dxa"/>
            <w:vAlign w:val="bottom"/>
          </w:tcPr>
          <w:p>
            <w:pPr>
              <w:spacing w:after="0"/>
              <w:rPr>
                <w:rFonts w:ascii="Arial" w:cs="Arial" w:eastAsia="Arial" w:hAnsi="Arial"/>
                <w:sz w:val="18"/>
                <w:szCs w:val="18"/>
                <w:u w:val="single" w:color="auto"/>
                <w:color w:val="0000EE"/>
                <w:w w:val="97"/>
              </w:rPr>
            </w:pPr>
            <w:hyperlink w:anchor="page57">
              <w:r>
                <w:rPr>
                  <w:rFonts w:ascii="Arial" w:cs="Arial" w:eastAsia="Arial" w:hAnsi="Arial"/>
                  <w:sz w:val="18"/>
                  <w:szCs w:val="18"/>
                  <w:u w:val="single" w:color="auto"/>
                  <w:color w:val="0000EE"/>
                  <w:w w:val="97"/>
                </w:rPr>
                <w:t>CERTAIN PROVISIONS OF DELAWARE LAW AND OF THE COMPANY’S CERTIFICATE OF INCORPORATION AND BYLAWS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57">
              <w:r>
                <w:rPr>
                  <w:rFonts w:ascii="Arial" w:cs="Arial" w:eastAsia="Arial" w:hAnsi="Arial"/>
                  <w:sz w:val="18"/>
                  <w:szCs w:val="18"/>
                  <w:u w:val="single" w:color="auto"/>
                  <w:color w:val="0000EE"/>
                  <w:w w:val="89"/>
                </w:rPr>
                <w:t>22</w:t>
              </w:r>
            </w:hyperlink>
          </w:p>
        </w:tc>
      </w:tr>
      <w:tr>
        <w:trPr>
          <w:trHeight w:val="216"/>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LEGAL MATTERS</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59">
              <w:r>
                <w:rPr>
                  <w:rFonts w:ascii="Arial" w:cs="Arial" w:eastAsia="Arial" w:hAnsi="Arial"/>
                  <w:sz w:val="18"/>
                  <w:szCs w:val="18"/>
                  <w:u w:val="single" w:color="auto"/>
                  <w:color w:val="0000EE"/>
                  <w:w w:val="89"/>
                </w:rPr>
                <w:t>24</w:t>
              </w:r>
            </w:hyperlink>
          </w:p>
        </w:tc>
      </w:tr>
      <w:tr>
        <w:trPr>
          <w:trHeight w:val="216"/>
        </w:trPr>
        <w:tc>
          <w:tcPr>
            <w:tcW w:w="1012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EXPERTS</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59">
              <w:r>
                <w:rPr>
                  <w:rFonts w:ascii="Arial" w:cs="Arial" w:eastAsia="Arial" w:hAnsi="Arial"/>
                  <w:sz w:val="18"/>
                  <w:szCs w:val="18"/>
                  <w:u w:val="single" w:color="auto"/>
                  <w:color w:val="0000EE"/>
                  <w:w w:val="89"/>
                </w:rPr>
                <w:t>24</w:t>
              </w:r>
            </w:hyperlink>
          </w:p>
        </w:tc>
      </w:tr>
      <w:tr>
        <w:trPr>
          <w:trHeight w:val="216"/>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WHERE YOU CAN FIND MORE INFORMATION</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59">
              <w:r>
                <w:rPr>
                  <w:rFonts w:ascii="Arial" w:cs="Arial" w:eastAsia="Arial" w:hAnsi="Arial"/>
                  <w:sz w:val="18"/>
                  <w:szCs w:val="18"/>
                  <w:u w:val="single" w:color="auto"/>
                  <w:color w:val="0000EE"/>
                  <w:w w:val="89"/>
                </w:rPr>
                <w:t>24</w:t>
              </w:r>
            </w:hyperlink>
          </w:p>
        </w:tc>
      </w:tr>
      <w:tr>
        <w:trPr>
          <w:trHeight w:val="230"/>
        </w:trPr>
        <w:tc>
          <w:tcPr>
            <w:tcW w:w="1012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INCORPORATION OF DOCUMENTS BY REFERENCE</w:t>
              </w:r>
            </w:hyperlink>
          </w:p>
        </w:tc>
        <w:tc>
          <w:tcPr>
            <w:tcW w:w="1120" w:type="dxa"/>
            <w:vAlign w:val="bottom"/>
          </w:tcPr>
          <w:p>
            <w:pPr>
              <w:jc w:val="center"/>
              <w:spacing w:after="0"/>
              <w:rPr>
                <w:rFonts w:ascii="Arial" w:cs="Arial" w:eastAsia="Arial" w:hAnsi="Arial"/>
                <w:sz w:val="18"/>
                <w:szCs w:val="18"/>
                <w:u w:val="single" w:color="auto"/>
                <w:color w:val="0000EE"/>
                <w:w w:val="89"/>
              </w:rPr>
            </w:pPr>
            <w:hyperlink w:anchor="page59">
              <w:r>
                <w:rPr>
                  <w:rFonts w:ascii="Arial" w:cs="Arial" w:eastAsia="Arial" w:hAnsi="Arial"/>
                  <w:sz w:val="18"/>
                  <w:szCs w:val="18"/>
                  <w:u w:val="single" w:color="auto"/>
                  <w:color w:val="0000EE"/>
                  <w:w w:val="89"/>
                </w:rPr>
                <w:t>24</w:t>
              </w:r>
            </w:hyperlink>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document consists of two parts. The first part is this prospectus supplement, which describes the specific terms of the offering and other matters relating to us. The second part is the accompanying prospectus, which provides more general information about the securities we may offer from time to time, some of which may not apply to this offering of Common Stock. This prospectus supplement and the accompanying prospectus are part of a registration statement that we filed with the Securities and Exchange Commission (the “SEC”) using the SEC’s shelf registration rules. You should read both this prospectus supplement and the accompanying prospectus, together with the documents incorporated by reference and the additional information described under the heading “Where You Can Find More Information” in this prospectus supplement and the accompanying prospectus before making an investment decision.</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on the other hand, the information contained in this prospectus supplement shall control. If any statement in this prospectus supplement conflicts with any statement in a document that has been incorporated herein by reference, then you should consider only the statement in the more recent document. You should assume that the information contained in this prospectus supplement, the accompanying prospectus and the documents incorporated by reference is accurate only as of their respective dates.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authorized, and the placement agent has not authorized, any person to provide you with any information or to make any representation other than as contained in this prospectus supplement or in the accompanying prospectus and the information incorporated by reference herein and therein. We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distribution of this prospectus supplement and the accompanying prospectus and the offering of the Common Stock in certain jurisdictions may be restricted by law. We are not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prospectus supplement and the base prospectus and the documents incorporated by reference in this prospectus include forward-looking statements within the meaning of Section 27A of the Securities Act and Section 21E of the Securities Exchange Act of 1934, as amended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Annual Report on Form 10-K for the fiscal year ended December 31, 2019, entitled “Business,” “Risk Factors,” and “Management’s Discussion and Analysis of Financial Condition and Results of Operations,” as well as other sections in this prospectus and the documents or reports incorporated by reference in this prospectus, discuss some of the factors that could contribute to these differences. These forward-looking statements include, among other things, statements about: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decision by our Board of Directors to pursue a restructuring in the event that our process to identify and evaluate potential business alternatives is not successful;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adverse effects of public health epidemics, including the recent coronavirus outbreak, on our business, results of operations and financial condition;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lack of operating history in the diagnostic testing industry and the risks associated with novel coronavirus COVID-19 testing locations;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lack of formal contracts or relationships with COVID-19 testing suppliers;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performance by our Airport Concession Disadvantaged Business Enterprise partners on obligations set forth in our joint venture agreements;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recently passed federal tax reform bill;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loss of, or an adverse change with regard to, one or more of our significant suppliers, distributors, vendors or other business relationships;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changes in such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supplement and the base prospectus and in the documents incorporated by reference herein, particularly in the “Risk Factors” section, that we believe could cause actual results or events to differ materially from the forward-looking statements that we make. For a summary of such factors, please refer to the section entitled “Risk Factors” in this prospectus supplement and the base prospectus, as updated and supplemented by the discussion of risks and uncertainties under “Risk Factors” contained in any supplements to this prospectus supplement and the base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spacing w:after="0" w:line="293" w:lineRule="auto"/>
        <w:rPr>
          <w:sz w:val="20"/>
          <w:szCs w:val="20"/>
          <w:color w:val="auto"/>
        </w:rPr>
      </w:pPr>
      <w:r>
        <w:rPr>
          <w:rFonts w:ascii="Arial" w:cs="Arial" w:eastAsia="Arial" w:hAnsi="Arial"/>
          <w:sz w:val="16"/>
          <w:szCs w:val="16"/>
          <w:color w:val="auto"/>
        </w:rPr>
        <w:t>In light of these assumptions, risks and uncertainties, the results and events discussed in the forward-looking statements contained in this prospectus supplement and the base prospectus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is only a summary. We urge you to read the entire prospectus, including the more detailed consolidated financial statements, notes to the consolidated financial statements and other information included herein or incorporated by reference from our other filings with the Securities and Exchange Commission, or SEC. Investing in our securities involves risks. Therefore, please carefully consider the information provided under the heading “Risk Factors” starting on page S-7.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5, 2018, we changed our name to XpresSpa Group, Inc. (“XpresSpa Group” or the “Company”) from FORM Holdings Corp. We rebranded to XpresSpa Group to align our corporate strategy to build a pure-play health and wellness services company, which commenced following our acquisition of XpresSpa Holdings, LLC (“Holdings” or “XpresSpa”) on December 23, 2016 (XpresSpa Group, Inc. and Holdings consolidated is referred to as the “Company”).</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result of the transition to a pure-play health and wellness services company, we currently have one operating segment that is also our sole reporting unit, XpresSpa, the leading airport retailer of spa services. XpresSpa offers travelers premium spa services, including massage, nail and skin care, as well as spa and travel products. XpresSpa is a well-recognized airport spa brand with 51 locations, consisting of 46 domestic and 5 international locations as of December 31, 2019. During 2019 and 2018, XpresSpa generated $48,515,000 and $50,094,000 in revenue, respectively. In 2019 and 2018, approximately 82% of XpresSpa’s total revenue in both years was generated by services, primarily massage and nailcare. In 2019 and 2018, retail products and travel accessories accounted for 15% and 16%, respectively, of revenue and 3% and 2%, respectively, was other revenue.</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8, 2019, we entered into an amended and restated product sale and marketing agreement, with Calm, Inc. (“Calm”), a company that has developed the leading app for sleep, meditation and relaxation. The agreement primarily allows for the display, marketing, promotion, offer for sale and sale of Calm’s products in each of our branded stores worldwide. The agreement will remain in effect until July 31, 2021, unless terminated earlier in accordance with the terms of the agreement, and automatically renews for successive terms of six months unless either party provides written notice of termination no later than thirty days prior. On October 30, 2019, we entered into the second amendment to the agreement with Calm, which provides for the addition of other Calm branded products available for sale in XpresSpa spas.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30, 2019, we signed a strategic partnership with Persona™, a Nestlé Health Science company and leading personalized vitamin subscription program, to offer Persona’s products in all of our domestic airport locations with our staff trained on the products by Persona’s nutritionists. Customers are able to purchase three different nutrition packs designed especially for travelers to support relaxation, immunity or jet lag, with customers receiving an exclusive discount on their first order. XpresSpa launched Persona in its airport locations in December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22, 2020, we announced the signing of a contract with JFK International Air Terminal LLC (“JFKIAT”) to pilot test our concept of providing diagnostic COVID-19 tests located in Terminal 4. To facilitate the JFK pilot test, we signed an agreement with JFKIAT for a new modular constructed testing facility within the terminal that will host nine separate testing rooms with a capacity to administer over 500 tests per day. We intend to offer our services to airline employees, contractors and workers, concessionaires and their employees, TSA officers, and U.S. Customs and Border Protection agents. All COVID-19 screening and testing will be conducted by a newly launched brand, XpresCheck™, which will operate under our XpresTest® subsidiary.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Effects of Coronavirus on Business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March 24, 2020, we had temporarily closed all global spa locations, largely due to the categorization of such spa locations by local jurisdictions as “non-essential services” in connection with the recent outbreak of COVID-19. We intend to reopen our spa locations and resume normal operations once such restrictions are lifted and airport traffic returns to sufficient levels to support such operations. On March 25, 2020, we announced that, during such period as we remain unable to reopen our spa locations for normal operations, we were advancing conversations with certain COVID-19 testing partners to develop a model for testing in U.S. airports.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Similar to many businesses in the travel sector, our business has been materially adversely impacted by the recent coronavirus outbreak and associated restrictions on travel that have been implemented. The extent to which the coronavirus continues to impact our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the coronavirus has spread, we have seen a material decline in demand across all our locations and this has resulted in a materially adverse impact on our cash flows from operations and has caused an immediate liquidity crisis. Accordingly, we are seeking sources of capital to help fund our business operations during the coronavirus crisis. If we are unable to obtain additional funding in the immediate term, we may be required to curtail or terminate some or all of our business operations and cause our Board of Directors to decide to pursue a restructuring, which may include a reorganization or bankruptcy under Federal bankruptcy laws, or a dissolution, liquidation and/or winding up of the Company. Accordingly, holders of our common stock may lose their entire investment in the event of a reorganization, bankruptcy, liquidation, dissolution or winding up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Update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we had cash, cash equivalents and marketable securities of approximately $4,300,000.</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estimated cash, cash equivalents, and marketable securities as of March 31, 2020 are preliminary and may change, are based on information available to management as of the date of this prospectus supplement, and are subject to completion by management of the financial statements as of and for the quarter ended March 31, 2020. There can be no assurance that our cash, cash equivalents, and marketable securities as of March 31, 2020 will not differ from these estimates and any such changes could be material.</w:t>
      </w:r>
    </w:p>
    <w:p>
      <w:pPr>
        <w:spacing w:after="0" w:line="187"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The foregoing preliminary financial data has been prepared by, and is the responsibility of, our management. This data could change as a result of further review. Complete quarterly results will be included in our Quarterly Report on Form 10-Q for the period ended March 31, 2020 (the “Quarterly Report”).</w:t>
      </w:r>
    </w:p>
    <w:p>
      <w:pPr>
        <w:spacing w:after="0" w:line="124" w:lineRule="exact"/>
        <w:rPr>
          <w:sz w:val="20"/>
          <w:szCs w:val="20"/>
          <w:color w:val="auto"/>
        </w:rPr>
      </w:pPr>
    </w:p>
    <w:p>
      <w:pPr>
        <w:jc w:val="both"/>
        <w:ind w:right="480"/>
        <w:spacing w:after="0" w:line="279" w:lineRule="auto"/>
        <w:rPr>
          <w:sz w:val="20"/>
          <w:szCs w:val="20"/>
          <w:color w:val="auto"/>
        </w:rPr>
      </w:pPr>
      <w:r>
        <w:rPr>
          <w:rFonts w:ascii="Arial" w:cs="Arial" w:eastAsia="Arial" w:hAnsi="Arial"/>
          <w:sz w:val="17"/>
          <w:szCs w:val="17"/>
          <w:color w:val="auto"/>
        </w:rPr>
        <w:t>Due to the outbreak of coronavirus disease 2019 (“COVID-19”), we filed a Current Report on Form 8-K to avail ourselves of an extension to file the Quarterly Report, originally due on May 15, 2020, relying on an order issued by the SEC on March 25, 2020 pursuant to Section 36 of the Securities Exchange Act of 1934, as amended (Release No. 34-88465) (the “Order”) regarding exemptions granted to certain public companies. We will file the Quarterly Report by no later than June 29, 2020, 45 days after the original due date of the Quarterly Report.</w:t>
      </w:r>
    </w:p>
    <w:p>
      <w:pPr>
        <w:spacing w:after="0" w:line="171"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As noted above, the COVID-19 pandemic and related events have resulted in our management devoting significant time and attention to assessing the potential impact of COVID-19 and those events on our operations and financial position and developing operational and financial plans to address those matters, which has diverted management resources from completing all of the tasks necessary to file the Quarterly Report by its May 15, 2020 due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June 11, 2020, we effected a 1-for-3 reverse stock split, whereby every three shares of our Common Stock became one share of our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Exchanges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4, 2020, we entered into a Warrant Exchange Agreement (the “June Exchange Agreement”) with the holder of certain existing warrants to purchase shares of our Common Stock (the “June Exchanged Warrants”) to exchange the June Exchanged Warrants for shares of our Common Stock. The June Exchanged Warrants were originally acquired pursuant to a separately negotiated private transaction between the holder and a separate investor. Pursuant to the June Exchange Agreement, on the closing date the holder exchanged the June Exchanged Warrants for an aggregate of 2,062,125 shares (adjusted for the 1-for-3 reverse stock split) of our Common Stock.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spacing w:after="0" w:line="293" w:lineRule="auto"/>
        <w:rPr>
          <w:sz w:val="20"/>
          <w:szCs w:val="20"/>
          <w:color w:val="auto"/>
        </w:rPr>
      </w:pPr>
      <w:r>
        <w:rPr>
          <w:rFonts w:ascii="Arial" w:cs="Arial" w:eastAsia="Arial" w:hAnsi="Arial"/>
          <w:sz w:val="16"/>
          <w:szCs w:val="16"/>
          <w:color w:val="auto"/>
        </w:rPr>
        <w:t>On March 19, 2020, we entered into separate Warrant Exchange Agreements (the “March Exchange Agreements”) with the holders of certain existing warrants (the “March Exchanged Warrants”) to exchange warrants for shares of our Common Stock. The March Exchanged Warrants were originally issued (i) pursuant to a securities purchase agreement, dated as of May 15, 2018, and in connection with a related consent and (ii) in connection with that certain Agreement and Plan of Merger by and among us (formerly known as FORM Holdings Corp.), FHXMS, LLC, XpresSpa Holdings, LLC and Mistral XH Representative, LLC, as representative of the unitholders, dated October 25, 2016, as subsequently amended. Pursuant to the March Exchange Agreements, the holders exchanged the March Exchanged Warrants for an aggregate of 2,913,197 shares of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Sixth Amendment to Credit Agreement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March 6, 2020, XpresSpa Holdings, LLC, our wholly-owned subsidiary, entered into a sixth amendment (the “Credit Agreement Amendment”) to its existing credit agreement with B3D, LLC (“B3D”). In connection with the Credit Agreement Amendment and B3D Note (as defined below), B3D agreed to provide us with $500,000 in additional funding and to submit conversion notices to convert (i) an aggregate of $375,000 in principal under the B3D Note to Common Stock on March 6, 2020 and (ii) an additional aggregate of $375,000 in principal under the B3D Note to Common Stock on or prior to March 27, 2020. Holdings entered into the Credit Agreement Amendment in order to, among other provisions, to (i) amend and restate its existing convertible promissory note (the “B3D Note”) in order to increase the principal amount owed to B3D from $7.15 million to $7.9 million, which additional $750,000 in principal and any interest accrued thereon will be convertible, at B3D’s option, into shares of Common Stock and was approved by our stockholders on May 28, 2020 and (ii) decrease the conversion rate under the B3D Note from $2.00 per share to $0.56 per share, pursuant to the authority of our Board of Directors to voluntarily reduce the conversion rate in its discretion, which was previously approved by our stockholders on October 2,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Credit Cash Agreement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1, 2020, fifteen of our wholly-owned subsidiaries (the “Borrowers”) entered into a payoff letter (the “Payoff Letter”) with CC Funding, a division of Credit Cash NJ, LLC (the “Lender”), pursuant to which that certain accounts receivable advance agreement, dated January 9, 2020 by and among the Borrowers and the Lender (the “Advance Agreement”), was terminated. Under the Advance Agreement, the Lender agreed to make an advance of funds in the amount of $1,000,000 for aggregate fees of $160,000, for a total repayment amount of $1,160,000 (the “Collection Amount”). The Borrowers agreed to repay the Collection Amount on or before the twelve month anniversary of the funding date of the advance by authorizing the Lender to retain a fixed daily amount equal to $4,461.54 from a collection account established for such purpose. Under the Payoff Letter, we repaid $733,903.34 owed under the Advance Agreement and the Lender released all security interests held on the assets of the Borrowers, including the Borrowers’ existing and future accounts receivables and other rights to payment, including accounts receivable arising out of the Borrowers’ acceptance or other use of any credit cards, charge cards, debit cards or similar forms of payments.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19, 2020, we entered into a securities purchase agreement with certain purchasers named therein, pursuant to which we issued and sold, in a registered direct offering, (i) 1,396,281 shares of our Common Stock at an offering price of $0.525 per share and (ii) an aggregate of 698,958 pre-funded warrants exercisable for shares of Common Stock at an offering price of $0.495 per pre-funded warrant (adjusted for the 1-for-3 reverse stock split). We received gross proceeds of approximately $1.1 million in connection with this offering, before deducting financial advisory consultant fees and related offering expenses.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25, 2020, we entered into a securities purchase agreement with certain purchasers named therein, pursuant to which we issued and sold, in a registered direct offering, (i) 2,483,333 shares of Common Stock at an offering price of $0.60 per share and (ii) an aggregate of 500,000 pre-funded warrants exercisable for shares of Common Stock at an offering price of $0.59 per pre-funded warrant (adjusted for the 1-for-3 reverse stock split). We received gross proceeds of approximately $1.79 million in connection with this offering, before deducting financial advisory consultant fees and related offering expenses.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27, 2020, we entered into a securities purchase agreement with certain purchasers named therein, pursuant to which we issued and sold, in a registered direct offering (i) 2,631,666 shares of Common Stock at an offering price of $0.60 per share and (ii) an aggregate of 701,666 pre-funded warrants exercisable for shares of Common Stock at an offering price of $0.57 per pre-funded warrant (adjusted for the 1-for-3 reverse stock split). We received gross proceeds of approximately $2.0 million in connection with this offering, before deducting financial advisory consultant fees and related offering expenses.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On April 6, 2020, we entered into a securities purchase agreement with certain purchasers named therein, pursuant to which we issued and sold, in a registered direct offering (i) 4,049,573 shares of Common Stock at an offering price of $0.66 per share and (ii) an aggregate of 485,151 pre-funded warrants exercisable for shares of Common Stock at an offering price of $0.63 per pre-funded warrant (adjusted for the 1-for-3 reverse stock split). We received gross proceeds of approximately $3.05 million in connection with this offering, before deducting financial advisory consultant fees and related offering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Departure and Appointment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April 1, 2020, Andrew Heyer resigned as a member of our Board of Directors and from all committees of the Board of Directors on which he serves, effective as of that date. Effective as of April 6, 2020, Michael Lebowitz was appointed as a member of our Board of Directors by the Board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10001.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xml:space="preserve">. We also operate the website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 incorporation by reference of the information contained on the website.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SUMMARY OF THE OFFERING</w:t>
      </w:r>
    </w:p>
    <w:p>
      <w:pPr>
        <w:sectPr>
          <w:pgSz w:w="11900" w:h="16838" w:orient="portrait"/>
          <w:cols w:equalWidth="0" w:num="1">
            <w:col w:w="11240"/>
          </w:cols>
          <w:pgMar w:left="320" w:top="1120" w:right="339" w:bottom="1440" w:gutter="0" w:footer="0" w:header="0"/>
        </w:sectPr>
      </w:pP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Common Stock offered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7,614,700 shares.</w:t>
      </w:r>
    </w:p>
    <w:p>
      <w:pPr>
        <w:spacing w:after="0" w:line="475" w:lineRule="exact"/>
        <w:rPr>
          <w:sz w:val="20"/>
          <w:szCs w:val="20"/>
          <w:color w:val="auto"/>
        </w:rPr>
      </w:pPr>
    </w:p>
    <w:p>
      <w:pPr>
        <w:sectPr>
          <w:pgSz w:w="11900" w:h="16838" w:orient="portrait"/>
          <w:cols w:equalWidth="0" w:num="2">
            <w:col w:w="1140" w:space="220"/>
            <w:col w:w="9880"/>
          </w:cols>
          <w:pgMar w:left="320" w:top="1120" w:right="339" w:bottom="1440" w:gutter="0" w:footer="0" w:header="0"/>
          <w:type w:val="continuous"/>
        </w:sectPr>
      </w:pPr>
    </w:p>
    <w:p>
      <w:pPr>
        <w:spacing w:after="0"/>
        <w:rPr>
          <w:sz w:val="20"/>
          <w:szCs w:val="20"/>
          <w:color w:val="auto"/>
        </w:rPr>
      </w:pPr>
      <w:r>
        <w:rPr>
          <w:rFonts w:ascii="Arial" w:cs="Arial" w:eastAsia="Arial" w:hAnsi="Arial"/>
          <w:sz w:val="18"/>
          <w:szCs w:val="18"/>
          <w:color w:val="auto"/>
        </w:rPr>
        <w:t>Common stock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to be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after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56,473,913 shares</w:t>
      </w:r>
    </w:p>
    <w:p>
      <w:pPr>
        <w:spacing w:after="0" w:line="896" w:lineRule="exact"/>
        <w:rPr>
          <w:sz w:val="20"/>
          <w:szCs w:val="20"/>
          <w:color w:val="auto"/>
        </w:rPr>
      </w:pPr>
    </w:p>
    <w:p>
      <w:pPr>
        <w:sectPr>
          <w:pgSz w:w="11900" w:h="16838" w:orient="portrait"/>
          <w:cols w:equalWidth="0" w:num="2">
            <w:col w:w="1240" w:space="120"/>
            <w:col w:w="9880"/>
          </w:cols>
          <w:pgMar w:left="320" w:top="1120"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We expect to receive net proceeds of approximately $35.65 million from this offering, excluding any proceeds that may be received upon the cash exercise of the Warrants or the placement agent warrants, after deducting the estimated offering expenses payable by us, including the placement agent fees. We intend to use the net proceeds from this offering for general corporate purposes. See “Use of Proceeds.”</w:t>
      </w:r>
    </w:p>
    <w:p>
      <w:pPr>
        <w:spacing w:after="0" w:line="187" w:lineRule="exact"/>
        <w:rPr>
          <w:sz w:val="20"/>
          <w:szCs w:val="20"/>
          <w:color w:val="auto"/>
        </w:rPr>
      </w:pPr>
    </w:p>
    <w:p>
      <w:pPr>
        <w:sectPr>
          <w:pgSz w:w="11900" w:h="16838" w:orient="portrait"/>
          <w:cols w:equalWidth="0" w:num="2">
            <w:col w:w="1160" w:space="200"/>
            <w:col w:w="9880"/>
          </w:cols>
          <w:pgMar w:left="320" w:top="1120" w:right="339" w:bottom="1440" w:gutter="0" w:footer="0" w:header="0"/>
          <w:type w:val="continuous"/>
        </w:sectPr>
      </w:pPr>
    </w:p>
    <w:p>
      <w:pPr>
        <w:jc w:val="both"/>
        <w:spacing w:after="0" w:line="342" w:lineRule="auto"/>
        <w:rPr>
          <w:sz w:val="20"/>
          <w:szCs w:val="20"/>
          <w:color w:val="auto"/>
        </w:rPr>
      </w:pPr>
      <w:r>
        <w:rPr>
          <w:rFonts w:ascii="Arial" w:cs="Arial" w:eastAsia="Arial" w:hAnsi="Arial"/>
          <w:sz w:val="16"/>
          <w:szCs w:val="16"/>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Our Common Stock is listed on Nasdaq under the symbol “XSPA”.</w:t>
      </w:r>
    </w:p>
    <w:p>
      <w:pPr>
        <w:spacing w:after="0" w:line="464" w:lineRule="exact"/>
        <w:rPr>
          <w:sz w:val="20"/>
          <w:szCs w:val="20"/>
          <w:color w:val="auto"/>
        </w:rPr>
      </w:pPr>
    </w:p>
    <w:p>
      <w:pPr>
        <w:sectPr>
          <w:pgSz w:w="11900" w:h="16838" w:orient="portrait"/>
          <w:cols w:equalWidth="0" w:num="2">
            <w:col w:w="1120" w:space="240"/>
            <w:col w:w="9880"/>
          </w:cols>
          <w:pgMar w:left="320" w:top="1120" w:right="33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Investing in our securities involves a high degree of risk. See “Risk Factors” on page S-7 of this prospectus supplement to read about factors you should consider carefully before buying shares of our Common Stock.</w:t>
      </w:r>
    </w:p>
    <w:p>
      <w:pPr>
        <w:spacing w:after="0" w:line="170" w:lineRule="exact"/>
        <w:rPr>
          <w:sz w:val="20"/>
          <w:szCs w:val="20"/>
          <w:color w:val="auto"/>
        </w:rPr>
      </w:pPr>
    </w:p>
    <w:p>
      <w:pPr>
        <w:sectPr>
          <w:pgSz w:w="11900" w:h="16838" w:orient="portrait"/>
          <w:cols w:equalWidth="0" w:num="2">
            <w:col w:w="880" w:space="480"/>
            <w:col w:w="9880"/>
          </w:cols>
          <w:pgMar w:left="320" w:top="1120" w:right="339" w:bottom="1440" w:gutter="0" w:footer="0" w:header="0"/>
          <w:type w:val="continuous"/>
        </w:sectPr>
      </w:pPr>
    </w:p>
    <w:p>
      <w:pPr>
        <w:spacing w:after="0" w:line="311" w:lineRule="auto"/>
        <w:rPr>
          <w:sz w:val="20"/>
          <w:szCs w:val="20"/>
          <w:color w:val="auto"/>
        </w:rPr>
      </w:pPr>
      <w:r>
        <w:rPr>
          <w:rFonts w:ascii="Arial" w:cs="Arial" w:eastAsia="Arial" w:hAnsi="Arial"/>
          <w:sz w:val="16"/>
          <w:szCs w:val="16"/>
          <w:color w:val="auto"/>
        </w:rPr>
        <w:t>Concurrent private placement</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Arial" w:cs="Arial" w:eastAsia="Arial" w:hAnsi="Arial"/>
          <w:sz w:val="17"/>
          <w:szCs w:val="17"/>
          <w:color w:val="auto"/>
        </w:rPr>
        <w:t>In a concurrent private placement, we are also selling to purchasers of shares of our Common Stock in this offering, Warrants to purchase 7,614,700 shares of our Common Stock. The Warrants will be immediately exercisable at an exercise price of $5.25 per share and will expire 21 months after the date of issuance. The Warrants and the shares of our Common Stock issuable upon the exercise of the Warrants, are not being offered pursuant to this prospectus supplement and the accompanying prospectus and are being offered pursuant to the exemption provided in Section 4(a)(2) under the Securities Act and Rule 506(b) promulgated thereunder. See “Private Placement Transaction.” Pursuant to the securities purchase agreement, dated June 17, 2020, by and among the Company and the investor signatories thereto, we will use commercially reasonable efforts to cause a registration statement on Form S-3 providing for the resale by holders of shares of our Common Stock issuable upon the exercise of the Warrants, to become effective within 60 days following June 17, 2020, and to keep such registration statement effective until such time as no holder owns any Warrants or Warrant Shares issuable upon exercise thereof.</w:t>
      </w:r>
    </w:p>
    <w:p>
      <w:pPr>
        <w:spacing w:after="0" w:line="185" w:lineRule="exact"/>
        <w:rPr>
          <w:sz w:val="20"/>
          <w:szCs w:val="20"/>
          <w:color w:val="auto"/>
        </w:rPr>
      </w:pPr>
    </w:p>
    <w:p>
      <w:pPr>
        <w:sectPr>
          <w:pgSz w:w="11900" w:h="16838" w:orient="portrait"/>
          <w:cols w:equalWidth="0" w:num="2">
            <w:col w:w="820" w:space="540"/>
            <w:col w:w="9880"/>
          </w:cols>
          <w:pgMar w:left="320" w:top="1120" w:right="3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The number of shares of Common Stock that will be outstanding after this offering is based on 48,859,213 shares of Common Stock outstanding as of June 16, 2020, and also excludes:</w:t>
      </w:r>
    </w:p>
    <w:p>
      <w:pPr>
        <w:spacing w:after="0" w:line="170" w:lineRule="exact"/>
        <w:rPr>
          <w:sz w:val="20"/>
          <w:szCs w:val="20"/>
          <w:color w:val="auto"/>
        </w:rPr>
      </w:pPr>
    </w:p>
    <w:p>
      <w:pPr>
        <w:ind w:left="680" w:hanging="335"/>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1,714,286 shares of Common Stock issuable as of the date hereof upon the conversion of indebtedness outstanding as of June 16, 2020;</w:t>
      </w:r>
    </w:p>
    <w:p>
      <w:pPr>
        <w:spacing w:after="0" w:line="236" w:lineRule="exact"/>
        <w:rPr>
          <w:rFonts w:ascii="Arial" w:cs="Arial" w:eastAsia="Arial" w:hAnsi="Arial"/>
          <w:sz w:val="17"/>
          <w:szCs w:val="17"/>
          <w:color w:val="auto"/>
        </w:rPr>
      </w:pPr>
    </w:p>
    <w:p>
      <w:pPr>
        <w:ind w:left="680" w:right="20" w:hanging="335"/>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124,419 shares of Common Stock issuable as of the date hereof upon the exercise of common stock warrants outstanding as of June 16, 2020 at a weighted average exercise price of $0.525 per share;</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690,964 shares of Common Stock issuable as of the date hereof upon the exercise of 670,964 stock options at a weighted average exercise price of $20.32 per share and 20,000 restricted stock units outstanding as of June 16, 2020;</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117,051 shares of Common Stock available for future issuance under the 2012 Employee, Director and Consultant Equity Incentive Plan, as amended, as of May 22, 2020;</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11" w:name="page12"/>
    <w:bookmarkEnd w:id="11"/>
    <w:p>
      <w:pPr>
        <w:ind w:left="680" w:right="340" w:hanging="335"/>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7,614,700 shares of common stock issuable upon exercise of the Warrants issued in the concurrent private placement with an exercise price of $5.25 per share; and</w:t>
      </w:r>
    </w:p>
    <w:p>
      <w:pPr>
        <w:spacing w:after="0" w:line="197"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609,176 shares of common stock issuable upon exercise of the placement agent warrants with an exercise price of $6.56625 to be issued to the placement agent as compensation in connection in this offering.</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Unless otherwise indicated, all information in this prospectus supplement, including share and per share amounts, gives effect to the 1-for-3 reverse stock split effected on June 11, 2020, and assumes no exercise of the placement agent warrants to be issued to the placement agent in connection with this offering and no exercise of the warrants to purchase shares of our Common Stock issued in the concurrent private placement.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Investing in our securities involves a high degree of risk. You should carefully consider the risks and uncertainties described below and discussed under the section entitled “Risk Factors” contained in our Annual Report on Form 10-K for the year ended December 31, 2019, which is incorporated by reference in this prospectus supplement, together with all of the other information contained in, or incorporated by reference, in this prospectus supplement and the accompanying prospectus, before purchasing any of our securities. These risks and uncertainties are not the only ones facing us. Additional risks and uncertainties that we are unaware of, or that we currently deem immaterial, also may become important factors that affect us. If any of these risks actually occur, our business, financial condition, results of operations and future prospects could be materially and adversely affected. In that case, the trading price of our Common Stock could decline, and you may lose some or all of your investment.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additional financing to fund our operations in the future. If we are unable to obtain additional financing on acceptable terms, we will need to curtail or cease our business plans and operations.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do not have sufficient capital to fund our operations in the long term. As a result, we will need to raise additional capital and/or complete a strategic combination. Additional funds may be raised through the issuance of equity securities and/or debt financing, there being no assurance that any type of financing on terms acceptable to us will be available or otherwise occur. Debt financing must be repaid regardless of whether we generate revenues or cash flows from operations and may be secured by substantially all of our assets. Any equity financing or debt financing that requires the issuance of warrants or other equity securities to the lender would cause the percentage ownership by our current stockholders to be diluted, which dilution may be substantial. Also, any additional equity securities issued may have rights, preferences or privileges senior to those of existing stockholders. If such financing is not available when required or is not available on acceptable terms, we may be required to reduce or eliminate certain business activities, and it may ultimately require us to suspend or cease operations, which could cause investors to lose the entire amount of their investment.</w:t>
      </w:r>
    </w:p>
    <w:p>
      <w:pPr>
        <w:spacing w:after="0" w:line="165"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If our process to identify and evaluate potential business alternatives is not successful, our Board of Directors may decide to pursue a restructuring, which may include a reorganization or bankruptcy under Federal bankruptcy laws, or a dissolution, liquidation and/or winding up of the Company.</w:t>
      </w:r>
    </w:p>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can be no assurance that the process to identify and evaluate potential business alternatives will result in a successful alternative for our business. If no transactions with respect to potential business alternatives are identified and completed, our Board of Directors may decide to pursue a restructuring, which may include a reorganization or bankruptcy under Federal bankruptcy laws, or a dissolution, liquidation and/or winding up of the Company. If our Board of Directors were to approve and recommend, and our stockholders were to approve, a dissolution and liquidation of our company, we would be required under Delaware corporate law to pay our outstanding obligations, as well as to make reasonable provisions for contingent and unknown obligations, prior to making any distributions in liquidation to our stockholders. Our commitments and contingent liabilities may include (i) obligations under our employment agreements with certain members of management that provide for severance and other payments following a termination of employment occurring for various reasons, including a change in control of our Company, (ii) various claims and legal actions arising in the ordinary course of business and (iii) non-cancelable lease obligations.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of Directors, in consultation with its advisors, would need to evaluate these matters and make a determination about a reasonable amount to reserve. Accordingly, holders of our Common Stock may lose their entire investment in the event of a reorganization, bankruptcy, liquidation, dissolution or winding up of the Company.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has been and may continue to be materially adversely impacted by public health epidemics, including the recent coronavirus outbreak.</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results of operations and financial condition has been and may continue to be materially adversely impacted if a public health epidemic, including the recent coronavirus outbreak, interferes with our ability, or the ability of our employees, workers, contractors, suppliers and other business partners to perform our and their respective responsibilities and obligations relative to the conduct of our business. A public health epidemic, including the coronavirus, poses the risk of disruptions from the temporary closure of third-party suppliers and manufacturers, restrictions on the shipment of our products, restrictions on our employees' and other service providers' ability to travel, the decreased willingness or ability of our customers to travel or to utilize our services and shutdowns that may be requested or mandated by governmental authorities. The extent to which the coronavirus continues to impact our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operating history in the diagnostic testing industry.</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Despite our management’s extensive experience in health and wellness services, we have no specific operating history in the diagnostic testing industry, including providing management services to a professional practice offering diagnostic testing services. We will face substantial risks and uncertainties to which our new diagnostic testing line of business will be subject. To address these risks and uncertainties, we must, among other things, successfully execute our business strategy, respond to competitive developments and attract and retain qualified personnel. We cannot assure you that we will operate profitably or that our business strategy will be successful. As a result, our diagnostic testing line of business may not succeed.</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 formal contracts or relationships with any professional practice for the ordering of and collection of samples for, or with any laboratories for the performance of, COVID-19 testing.</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are exploring the possibility of offering COVID-19 testing in airport locations, there is currently no formal contractual relationship with any professional practice for the ordering of and collection of samples for, or with any clinical laboratory for the performance, of COVID-19 testing. We may never formalize any arrangement with a professional practice or clinical laboratory for these purposes and may never commence diagnostic testing operations. As a result, there can be no assurances that we will be able execute our current plans or generate any revenue associated with our current COVID-19 testing plans.</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There can be no assurances that we will be able to successfully secure new locations or transition our existing spa facilities into locations at which COVID-19 testing will be ordered or performed.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can be no assurances that we will be able to obtain new locations or make available or renovate our existing spa facilities for the purpose of operating a location at which COVID-19 testing will be ordered and/or performed by a professional practice. If we are unable to successfully transition such facilities to locations at which COVID-19 testing will be ordered and/or performed due to issues with lease agreements, permits, licenses or other delays, we will not be able to move forward with our planned short-term business transition.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rely on a limited number of professional practices and suppliers and, in some cases, a single professional practice or supplier, for the COVID-19 test and certain of the laboratory substances, equipment and other materials used for COVID-19 tests, and any delays or difficulties securing these materials could disrupt our operations and materially harm our business.</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plan to contract with a limited number of professional practices, and potentially only a single professional practice, for the ordering of and collection of samples for COVID-19 testing. If our professional practice partner begins performing point of care COVID-19 testing at our locations in the future, we may rely on a limited number of suppliers for the COVID-19 test kits, collection supplies, reagents, and various other equipment and materials we intend to use in performing COVID-19 testing. We currently do not have formal agreements with any potential professional practice or supplier, and, as a result, if such services or supplies are obtained, the professional practice or supplier could cease supplying these services or tests, materials and equipment to us at any time due to our inability to reach agreement on terms, disruptions in the professional practice’s or supplier’s operations, a determination to pursue other activities or lines of business, or for other reasons, or the professional practice or supplier could fail to provide us with sufficient quantities of services or materials that meet our specifications. Transitioning to a new professional practice or supplier or locating a temporary substitute, if any are available, would be time-consuming and expensive, could result in interruptions in or otherwise affect the performance specifications of our intended operations, or could require that we revalidate the tests we use. In addition, the use of services, equipment or materials provided by a replacement professional practice or supplier could require us to alter our future operations and procedures. Moreover, we believe there are currently only a limited number of manufacturers that are capable of supplying and servicing some of the equipment and other materials necessary for our intended operations. As a result, replacement equipment and materials that meet our quality control and performance requirements may not be available on reasonable terms, in a timely manner or at all. If we encounter delays or difficulties securing, reconfiguring or revalidating the equipment, reagents and other materials required for administering tests, our operations could be materially disrupted and our business, financial condition, results of operations, and reputation could be adversely affected. We also may experience services or supply issues as we increase test volume.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b w:val="1"/>
          <w:bCs w:val="1"/>
          <w:i w:val="1"/>
          <w:iCs w:val="1"/>
          <w:color w:val="auto"/>
        </w:rPr>
        <w:t>If our professional practice partner begins performing point of care COVID-19 testing at our locations in the future, the COVID-19 testing technology we ultimately choose may not perform as expected, as a result of human error or otherwise. No assurance can be given that the COVID-19 testing technology we use will aid in the testing of this virus.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our professional practice partner begins performing point of care COVID-19 testing at our locations in the future, our success will depend on the COVID-19 testing technology we choose to use to provide a reliable, high-quality diagnostic result. There is no guarantee that the COVID-19 test technology we ultimately choose will be accurate. We believe that customers will be particularly sensitive to test defects and errors. As a result, the failure of the chosen tests to perform as expected could significantly impair our reputation and the public image of the tests we use. There can be no assurance that the COVID-19 test technology will be broadly adopted for use. Many companies are developing tests for COVID-19 and the COVID-19 test technology we plan to use may not be effective. As a result, the failure or perceived failure of the chosen tests to perform as expected could have a material adverse effect on our business, financial condition, results of operation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there is little or no demand for the COVID-19 test, our business could be materially harmed.</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can be no assurance that demand for our planned COVID-19 testing services will exist in the future because of the success of containment efforts, the emergence of a vaccine or due to other events. If there is no demand for our planned COVID-19 testing services, our business will be materially harmed.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intended COVID-19 testing capabilities may never achieve significant market acceptance.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expend substantial funds and management effort on the development and marketing of our professional practice partner’s COVID-19 testing capabilities with no assurance that we will be successful in implementing our planned diagnostic testing business. Our ability to successfully offer COVID-19 tests will depend significantly on the perception that the tests used by our professional practice partner can reduce transmission risk and are reliable.</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will use potentially hazardous materials, chemicals and patient samples in our business and any disputes relating to improper handling, storage or disposal of these materials could be time consuming and costly.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professional practice partner’s diagnostic testing activities will involve the controlled use of hazardous laboratory materials and chemicals, including small quantities of acid and alcohol, and patient samples. They will be subject to U.S. laws and regulations related to the protection of the environment, the health and safety of employees and the handling, transportation and disposal of medical specimens, infectious and hazardous waste. They could be liable for accidental contamination or discharge or any resultant injury from hazardous materials, and conveyance, processing, and storage of and data on patient samples. If they fail to comply with applicable laws or regulations, they could be required to pay penalties or be held liable for any damages that result and this liability could exceed their financial resources. Further, future changes to environmental health and safety laws could cause them to incur additional expense or restrict operations.</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event of a lawsuit or investigation concerning such hazardous materials, we could be held responsible for any injury caused to persons or property by exposure to, or release of, these hazardous materials or patient samples that may contain infectious materials. The cost of this liability could exceed our resources. While we expect to maintain broad form liability insurance coverage for these risks, and we expect our professional practice partner to maintain appropriate malpractice insurance, the level or breadth of our coverage may not be adequate to fully cover potential liability claims.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diagnostic testing business could be harmed from the loss or suspension of a license or imposition of a fine or penalties under, or future changes in, or interpretations of, the law or regulations of the Clinical Laboratory Improvement Act of 1967, and the Clinical Laboratory Improvement Amendments of 1988 (CLIA), or those of Medicare, Medicaid or other national, state or local agencies in the U.S. and other countries where we operate laboratories.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performance of laboratory testing is subject to extensive U.S. regulation, and many of these statutes and regulations have not been interpreted by the courts. CLIA extends federal oversight to virtually all physician practices performing clinical laboratory testing and to clinical laboratories operating in the U.S. by requiring that they be certified by the federal government or, in the case of clinical laboratories, by a federally approved accreditation agency. The sanction for failure to comply with CLIA requirements may be suspension, revocation or limitation of a laboratory’s CLIA certificate, which is necessary to conduct business, as well as significant fines and/or criminal penalties. In addition, we expect to be subject to regulation under state law. State laws may require that laboratories and/or laboratory personnel meet certain qualifications, specify certain quality controls or require maintenance of certain records. Applicable statutes and regulations could be interpreted or applied by a prosecutorial, regulatory or judicial authority in a manner that would adversely affect our business. Potential sanctions for violation of these statutes and regulations include significant fines and the suspension or loss of various licenses, certificates and authorizations, which could have a material adverse effect on our business. In addition, compliance with future legislation could impose additional requirements on us, which may be costly.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b w:val="1"/>
          <w:bCs w:val="1"/>
          <w:i w:val="1"/>
          <w:iCs w:val="1"/>
          <w:color w:val="auto"/>
        </w:rPr>
        <w:t>U.S. Food and Drug Administration (FDA) regulation of diagnostic products could result in increased costs and the imposition of fines or penalties, and could have a material adverse effect upon our business.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12529"/>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 xml:space="preserve">FDA regulation of the diagnostic products we use could result in increased costs and administrative and legal actions for noncompliance, including warning letters, fines, penalties, product suspensions, product recalls, injunctions and other civil and criminal sanctions, which could have a material adverse effect </w:t>
      </w:r>
      <w:r>
        <w:rPr>
          <w:rFonts w:ascii="Arial" w:cs="Arial" w:eastAsia="Arial" w:hAnsi="Arial"/>
          <w:sz w:val="18"/>
          <w:szCs w:val="18"/>
          <w:color w:val="000000"/>
        </w:rPr>
        <w:t>on our business, financial condition, results of operation and cash flows.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the complex federal, state, local and foreign laws and regulations that apply to our business, we could suffer severe consequences that could materially and adversely affect our operating results and financial condition.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our planned operations to be subject to extensive federal, state, local and foreign laws and regulations, all of which are subject to change. These laws and regulations currently include, among other things:</w:t>
      </w:r>
    </w:p>
    <w:p>
      <w:pPr>
        <w:spacing w:after="0" w:line="170" w:lineRule="exact"/>
        <w:rPr>
          <w:sz w:val="20"/>
          <w:szCs w:val="20"/>
          <w:color w:val="auto"/>
        </w:rPr>
      </w:pPr>
    </w:p>
    <w:p>
      <w:pPr>
        <w:ind w:left="1480" w:hanging="79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CLIA, which requires that laboratories obtain certification from the federal government, and state licensure laws;</w:t>
      </w:r>
    </w:p>
    <w:p>
      <w:pPr>
        <w:spacing w:after="0" w:line="23" w:lineRule="exact"/>
        <w:rPr>
          <w:rFonts w:ascii="Arial" w:cs="Arial" w:eastAsia="Arial" w:hAnsi="Arial"/>
          <w:sz w:val="18"/>
          <w:szCs w:val="18"/>
          <w:color w:val="auto"/>
        </w:rPr>
      </w:pPr>
    </w:p>
    <w:p>
      <w:pPr>
        <w:ind w:left="1480" w:hanging="79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FDA laws and regulations;</w:t>
      </w:r>
    </w:p>
    <w:p>
      <w:pPr>
        <w:spacing w:after="0" w:line="9" w:lineRule="exact"/>
        <w:rPr>
          <w:rFonts w:ascii="Arial" w:cs="Arial" w:eastAsia="Arial" w:hAnsi="Arial"/>
          <w:sz w:val="18"/>
          <w:szCs w:val="18"/>
          <w:color w:val="auto"/>
        </w:rPr>
      </w:pPr>
    </w:p>
    <w:p>
      <w:pPr>
        <w:jc w:val="both"/>
        <w:ind w:left="1480" w:hanging="797"/>
        <w:spacing w:after="0" w:line="250"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HIPAA, which imposes comprehensive federal standards with respect to the privacy and security of protected health information and requirements for the use of certain standardized electronic transactions, and amendments to HIPAA under HITECH, which strengthen and expand HIPAA privacy and security compliance requirements, increase penalties for violators, extend enforcement authority to state attorneys general and impose requirements for breach notification;</w:t>
      </w:r>
    </w:p>
    <w:p>
      <w:pPr>
        <w:spacing w:after="0" w:line="1" w:lineRule="exact"/>
        <w:rPr>
          <w:rFonts w:ascii="Arial" w:cs="Arial" w:eastAsia="Arial" w:hAnsi="Arial"/>
          <w:sz w:val="18"/>
          <w:szCs w:val="18"/>
          <w:color w:val="auto"/>
        </w:rPr>
      </w:pPr>
    </w:p>
    <w:p>
      <w:pPr>
        <w:ind w:left="1480" w:right="20" w:hanging="797"/>
        <w:spacing w:after="0" w:line="281"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state laws regulating genetic testing and protecting the privacy of genetic test results, as well as state laws protecting the privacy and security of health information and personal data and mandating reporting of breaches to affected individuals and state regulators;</w:t>
      </w:r>
    </w:p>
    <w:p>
      <w:pPr>
        <w:spacing w:after="0" w:line="1" w:lineRule="exact"/>
        <w:rPr>
          <w:rFonts w:ascii="Arial" w:cs="Arial" w:eastAsia="Arial" w:hAnsi="Arial"/>
          <w:sz w:val="16"/>
          <w:szCs w:val="16"/>
          <w:color w:val="auto"/>
        </w:rPr>
      </w:pPr>
    </w:p>
    <w:p>
      <w:pPr>
        <w:jc w:val="both"/>
        <w:ind w:left="1480" w:hanging="797"/>
        <w:spacing w:after="0" w:line="250"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federal anti-kickback law, or the Anti-Kickback Statute, which prohibits knowingly and willfully offering, paying, soliciting, receiving, or providing remuneration, directly or indirectly, in exchange for or to induce either the referral of an individual, or the furnishing, arranging for, or recommending of an item or service that is reimbursable, in whole or in part, by a federal health care program;</w:t>
      </w:r>
    </w:p>
    <w:p>
      <w:pPr>
        <w:spacing w:after="0" w:line="1" w:lineRule="exact"/>
        <w:rPr>
          <w:rFonts w:ascii="Arial" w:cs="Arial" w:eastAsia="Arial" w:hAnsi="Arial"/>
          <w:sz w:val="18"/>
          <w:szCs w:val="18"/>
          <w:color w:val="auto"/>
        </w:rPr>
      </w:pPr>
    </w:p>
    <w:p>
      <w:pPr>
        <w:ind w:left="1480" w:hanging="797"/>
        <w:spacing w:after="0" w:line="250"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and false claims acts, which may extend to services reimbursable by any third-party payor, including private insurers;</w:t>
      </w:r>
    </w:p>
    <w:p>
      <w:pPr>
        <w:jc w:val="both"/>
        <w:ind w:left="1480" w:hanging="797"/>
        <w:spacing w:after="0" w:line="250"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medical device manufactures to track and report to the federal government certain payments and other transfers of value made to physicians and teaching hospitals and ownership or investment interests held by physicians and their immediate family members;</w:t>
      </w:r>
    </w:p>
    <w:p>
      <w:pPr>
        <w:spacing w:after="0" w:line="1" w:lineRule="exact"/>
        <w:rPr>
          <w:rFonts w:ascii="Arial" w:cs="Arial" w:eastAsia="Arial" w:hAnsi="Arial"/>
          <w:sz w:val="18"/>
          <w:szCs w:val="18"/>
          <w:color w:val="auto"/>
        </w:rPr>
      </w:pPr>
    </w:p>
    <w:p>
      <w:pPr>
        <w:ind w:left="1480" w:hanging="797"/>
        <w:spacing w:after="0" w:line="265" w:lineRule="auto"/>
        <w:tabs>
          <w:tab w:leader="none" w:pos="1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Section 216 of the federal Protecting Access to Medicare Act of 2014, which requires applicable laboratories to report private payor data in a timely and accurate manner beginning in 2017 and every three years thereafter (and in some cases annually);</w:t>
      </w:r>
    </w:p>
    <w:p>
      <w:pPr>
        <w:ind w:left="1480" w:hanging="79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 laws that impose reporting and other compliance-related requirements;</w:t>
      </w:r>
    </w:p>
    <w:p>
      <w:pPr>
        <w:spacing w:after="0" w:line="9" w:lineRule="exact"/>
        <w:rPr>
          <w:rFonts w:ascii="Arial" w:cs="Arial" w:eastAsia="Arial" w:hAnsi="Arial"/>
          <w:sz w:val="18"/>
          <w:szCs w:val="18"/>
          <w:color w:val="auto"/>
        </w:rPr>
      </w:pPr>
    </w:p>
    <w:p>
      <w:pPr>
        <w:jc w:val="both"/>
        <w:ind w:left="1480" w:hanging="797"/>
        <w:spacing w:after="0" w:line="250"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 billing laws, including regulations on “pass through billing” which may limit our ability to submit claims for payment and/or mark up the cost of services in excess of the price paid for such services, and “direct-bill” laws which may limit our ability to purchase services from a laboratory and bill for the services ordered;</w:t>
      </w:r>
    </w:p>
    <w:p>
      <w:pPr>
        <w:spacing w:after="0" w:line="1" w:lineRule="exact"/>
        <w:rPr>
          <w:rFonts w:ascii="Arial" w:cs="Arial" w:eastAsia="Arial" w:hAnsi="Arial"/>
          <w:sz w:val="18"/>
          <w:szCs w:val="18"/>
          <w:color w:val="auto"/>
        </w:rPr>
      </w:pPr>
    </w:p>
    <w:p>
      <w:pPr>
        <w:ind w:left="1480" w:hanging="79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laws and regulations are complex and are subject to interpretation by the courts and by government agencies. Our failure to comply could lead to civil or criminal penalties, exclusion from participation in state and federal health care programs, or prohibitions or restrictions on our laboratory’s ability to provide or receive payment for our services. We believe that we are in material compliance with all statutory and regulatory requirements,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payors.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Changes in the way that the FDA regulates COVID-19 tests could result in the delay or additional expense in offering tests.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Historically, the U.S. Food and Drug Administration (“FDA”) has exercised enforcement discretion with respect to most laboratory-developed tests (“LDTs”) and has not required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issued two draft guidance documents that set forth a proposed phased-in risk-based regulatory framework that would apply varying levels of FDA oversight to LDTs. However, these guidance documents were withdrawn at the end of the Obama administration and replaced by an informal discussion paper reflecting some of the feedback that FDA had received on LDT regulation. The FDA acknowledged that the discussion paper in January 2017 does not represent the formal position of the FDA and is not enforceable. Nevertheless, the FDA wanted to share its synthesis of the feedback that it had received in the hope that it might advance public discussion on future LDT oversight. Notwithstanding the discussion paper, the FDA continues to exercise enforcement discretion and may decide to regulate certain LDTs on a case-by-case basis at any time, which could result in delay or additional expense in offering tests. Until the FDA finalizes its regulatory position regarding LDTs, or other legislation is passed reforming the federal government’s regulation of LDTs, it is unknown how the FDA may regulate tests we use in the future and what testing and data may be required to support any required clearance or approval.</w:t>
      </w:r>
    </w:p>
    <w:p>
      <w:pPr>
        <w:spacing w:after="0" w:line="179"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If our professional practice partner begins performing point of care COVID-19 testing at our locations in the future, failure to accurately bill for testing services, or to comply with applicable laws relating to government health care programs, could have a material adverse effect on our business.</w:t>
      </w:r>
    </w:p>
    <w:p>
      <w:pPr>
        <w:spacing w:after="0" w:line="10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Billing for diagnostic testing services is complex and subject to extensive and non-uniform rules and administrative requirements. Depending on the billing arrangement and applicable law, we expect to bill various payers, such as patients, insurance companies, Medicare, Medicaid, clinicians, hospitals and employer groups if </w:t>
      </w:r>
      <w:r>
        <w:rPr>
          <w:rFonts w:ascii="Arial" w:cs="Arial" w:eastAsia="Arial" w:hAnsi="Arial"/>
          <w:sz w:val="16"/>
          <w:szCs w:val="16"/>
          <w:color w:val="212529"/>
        </w:rPr>
        <w:t>we begin performing point of care COVID-19 testing at our locations in the future. We expect that the majority of our billing and</w:t>
      </w:r>
      <w:r>
        <w:rPr>
          <w:rFonts w:ascii="Arial" w:cs="Arial" w:eastAsia="Arial" w:hAnsi="Arial"/>
          <w:sz w:val="16"/>
          <w:szCs w:val="16"/>
          <w:color w:val="auto"/>
        </w:rPr>
        <w:t xml:space="preserve"> </w:t>
      </w:r>
      <w:r>
        <w:rPr>
          <w:rFonts w:ascii="Arial" w:cs="Arial" w:eastAsia="Arial" w:hAnsi="Arial"/>
          <w:sz w:val="16"/>
          <w:szCs w:val="16"/>
          <w:color w:val="212529"/>
        </w:rPr>
        <w:t>related operations will be provided by a third party. Failure to accurately bill for our services could have a material adverse effect on our business. In addition, failure to comply with applicable laws relating to billing government health care programs may result in various consequences, including the return of overpayments, civil and criminal fines and penalties, exclusion from participation in government health care programs and the loss of various licenses, certificates and authorizations necessary to operate our business, as well as incur additional liabilities from third-party claims, all of which could have a material adverse effect on our business. Certain violations of these laws may also provide the basis for a civil remedy under the federal False Claims Act, including fines and damages of up to three times the amount claimed. The qui tam provisions of the federal False Claims Act and similar provisions in certain state false claims acts allow private individuals to bring lawsuits against health care companies on behalf of the government.</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12529"/>
        </w:rPr>
        <w:t>Although we expect to be in compliance, in all material respects, with applicable laws and regulations, there can be no assurance that a regulatory agency or tribunal would not reach a different conclusion. The federal and state governments have substantial leverage in negotiating settlements since the amount of potential damages and fines far exceeds the rates at which services will be reimbursed, and the government has the remedy of excluding a non-compliant provider from participation in the Medicare and Medicaid programs. We expect that federal and state governments continue aggressive enforcement efforts against perceived health care fraud. Legislative provisions relating to health care fraud and abuse provide government enforcement personnel with substantial funding, powers, penalties and remedies to pursue suspected cases of fraud and abuse.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12529"/>
        </w:rPr>
        <w:t>We will depend on third parties to provide services critical to our diagnostic testing business, and we will depend on them to comply with applicable laws and regulations. Additionally, any breaches of the information technology systems of third parties could have a material adverse effect on our operations.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12529"/>
        </w:rPr>
        <w:t>We will depend on third parties to provide services critical to our diagnostic testing business, including supplies, ground and air transport of clinical and diagnostic testing supplies and specimens, research products, and people, among other services. Third parties that will provide services to us will be subject to similar risks related to security of customer-related information and compliance with U.S., state, local, or international environmental, health and safety, and privacy and security laws and regulations as we will be. Any failure by third parties to comply with applicable laws, or any failure of third parties to provide services more generally, could have a material impact on us, whether because of the loss of the ability to receive services from the third parties, our legal liability for the actions or inactions of third parties, or otherwise. In addition, third parties to whom we outsource certain services or functions may process personal data, or other confidential information belonging to us. A breach or attack affecting these third parties could also harm our business, results of operations and reputation.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i w:val="1"/>
          <w:iCs w:val="1"/>
          <w:color w:val="212529"/>
        </w:rPr>
        <w:t>Our business operations and reputation may be materially impaired if we do not comply with privacy laws or information security policies.</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12529"/>
        </w:rPr>
        <w:t>We will collect, generate, process or maintain sensitive information, such as patient data and other personal information. If we do not use or adequately safeguard that information in compliance with applicable requirements under federal, state and international laws, or if it were disclosed to persons or entities that should not have access to it, our business could be materially impaired, our reputation could suffer and we could be subject to fines, penalties and litigation. In the event of a data security breach, we may be subject to notification obligations, litigation and governmental investigation or sanctions, and may suffer reputational damage, which could have an adverse impact on our business.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We will be subject to laws and regulations regarding protecting the security and privacy of certain healthcare and personal information, including: (a) the federal Health Insurance Portability and Accountability Act and the regulations thereunder, which establish (i) a complex regulatory framework including requirements for safeguarding protected health information and (ii) comprehensive federal standards regarding the uses and disclosures of protected health information; and (b) state laws, including the California Consumer Privacy Act.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12529"/>
        </w:rPr>
        <w:t>Hardware and software failures or delays in our information technology systems, including failures resulting from our systems conversions or otherwise, could disrupt our operations and cause the loss of confidential information, customers and business opportunities or otherwise adversely impact our business.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12529"/>
        </w:rPr>
        <w:t>IT systems will be used extensively in virtually all aspects of our business, including clinical testing, test reporting, billing, customer service, logistics and management of medical data. Our success depends, in part, on the continued and uninterrupted performance of our IT systems. A failure or delay in our IT systems could impede our ability to serve our customers and patients and protect their confidential personal data. Despite redundancy and backup measures and precautions that we have implemented, our IT systems may be vulnerable to damage, disruptions and shutdown from a variety of sources, including telecommunications or network failures, system conversion or standardization initiatives, human acts and natural disasters. These issues can also arise as a result from failures by third parties with whom we do business and for which we have limited control. Any disruption or failure of our IT systems could have a material impact on our ability to serve our customers and patients, including negatively affecting our reputation in the marketplace.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complex and overlapping laws protecting the privacy and security of health information and personal data.</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are a number of state, federal and international laws protecting the privacy and security of health information and personal data. Under the administrative simplification provisions of HIPAA, HHS has issued regulations which establish uniform standards governing the conduct of certain electronic health care transactions and protecting the privacy and security of PHI used or disclosed by health care providers and other covered entities.</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privacy regulations regulate the use and disclosure of PHI by health care providers engaging in certain electronic transactions or “standard transactions.” They also set forth certain rights that an individual has with respect to his or her PHI maintained by a covered health care provider, including the right to access or amend certain records containing PHI or to request restrictions on the use or disclosure of PHI. The HIPAA security regulations establish administrative, physical, and technical standards for maintaining the integrity and availability of PHI in electronic form. These standards apply to covered health care providers and also to “business associates” or third parties providing services involving the use or disclosure of PHI. The HIPAA privacy and security regulations establish a uniform federal “floor” and do not supersede state laws that are more stringent or provide individuals with greater rights with respect to the privacy or security of, and access to, their records containing PHI. As a result, we may be required to comply with both HIPAA privacy regulations and varying state privacy and security laws.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HITECH, among other things, established certain health information security breach notification requirements. In the event of a breach of unsecured PHI, a covered entity must notify each individual whose PHI is breached, federal regulators and in some cases, must publicize the breach in local or national media. Breaches affecting 500 individuals or more are publicized by federal regulators who publicly identify the breaching entity, the circumstances of the breach and the number of individuals affected.</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These laws contain significant fines and other penalties for wrongful use or disclosure of PHI. Given the complexity of HIPAA and HITECH and their overlap with state privacy and security laws, and the fact that these laws are rapidly evolving and are subject to changing and potentially conflicting interpretation, our ability to comply with the HIPAA, HITECH and state privacy requirements is uncertain and the costs of compliance are significant. Adding to the complexity is that our planned operations are currently evolving and the requirements of these laws will apply differently depending on such things as whether or not we bill electronically for our services, or provide services involving the use or disclosure of PHI and incur compliance obligations as a business associate. The costs of complying with any changes to the HIPAA, HITECH and state privacy restrictions may have a negative impact on our operations. Noncompliance could subject us to criminal penalties, civil sanctions and significant monetary penalties as well as reputational damage.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spacing w:after="0" w:line="270" w:lineRule="auto"/>
        <w:rPr>
          <w:sz w:val="20"/>
          <w:szCs w:val="20"/>
          <w:color w:val="auto"/>
        </w:rPr>
      </w:pPr>
      <w:r>
        <w:rPr>
          <w:rFonts w:ascii="Arial" w:cs="Arial" w:eastAsia="Arial" w:hAnsi="Arial"/>
          <w:sz w:val="17"/>
          <w:szCs w:val="17"/>
          <w:color w:val="auto"/>
        </w:rPr>
        <w:t>We also will be required to collect and maintain personal information about our employees as well as receive and transfer certain payment information, to accept payments from our customers, including credit card information. Most states have adopted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United States implicate local and national data protection standards, impose additional compliance requirements, and generate additional risks of enforcement for non-compliance. The collection and use of such information may be subject to contractual obligations as well. If the security and information systems that we or our outsourced third-party providers use to store or process such information are compromised or if we, or such third parties, otherwise fail to comply with these laws, regulations, and contractual obligations, we could face litigation and the imposition of penalties that could adversely affect our financial performance.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must comply with all applicable privacy and data security laws in order to operate our business and may be required to expend significant capital and other resources to ensure ongoing compliance, to protect against security breaches and hackers or to alleviate problems caused by such breaches. Breaches of health information and/or personal data may be extremely expensive to remediate, may prompt federal or state investigation, fines, civil and/or criminal sanctions and significant reputational damage.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capital expenditures may not generate a positive return and we will incur significant additional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capital expenditures may not generate a positive return. Significant capital expenditures will be required to construct new locations or renovate our existing spa facilities to accommodate our proposed new business model. No assurance can be given that our future capital expenditures will generate a positive return or that we will have adequate capital available to finance such construction or renovations. If we are unable to, or elect not to, pay for costs associated with such construction or renovations, the ability of our professional practice partner to order or perform COVID-19 testing could be limited, and our competitive position could be harmed.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Additionally, </w:t>
      </w:r>
      <w:r>
        <w:rPr>
          <w:rFonts w:ascii="Arial" w:cs="Arial" w:eastAsia="Arial" w:hAnsi="Arial"/>
          <w:sz w:val="18"/>
          <w:szCs w:val="18"/>
          <w:color w:val="212529"/>
        </w:rPr>
        <w:t>we expect to incur significant additional costs as we implement the ability of our professional practice partner to perform on-site COVID-19</w:t>
      </w:r>
      <w:r>
        <w:rPr>
          <w:rFonts w:ascii="Arial" w:cs="Arial" w:eastAsia="Arial" w:hAnsi="Arial"/>
          <w:sz w:val="18"/>
          <w:szCs w:val="18"/>
          <w:color w:val="auto"/>
        </w:rPr>
        <w:t xml:space="preserve"> </w:t>
      </w:r>
      <w:r>
        <w:rPr>
          <w:rFonts w:ascii="Arial" w:cs="Arial" w:eastAsia="Arial" w:hAnsi="Arial"/>
          <w:sz w:val="18"/>
          <w:szCs w:val="18"/>
          <w:color w:val="212529"/>
        </w:rPr>
        <w:t>testing. The COVID-19 outbreak could disrupt our future supply chain, including by impacting our ability to secure COVID-19 testing supplies and to provide personal protective equipment for our employees in our testing locations. For similar reasons, the COVID-19 pandemic has also adversely impacted, and may continue to adversely impact, third parties that will be critical to our business, including vendors, suppliers, and business partners. These developments, and others that are difficult or impossible to predict, could materially impact our business, financial results, cash flows, and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SECURITIES AND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will experience immediate and substantial dilution in the net tangible book value per share of the Common Stock you purchase.</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the price per share of our Common Stock being offered is substantially higher than the net tangible book value per share of our Common Stock, you will suffer immediate and substantial dilution in the net tangible book value of the Common Stock you purchase in this offering. As of December 31, 2019, our net tangible book value was approximately $(9,319,000), or $(1.807) per share. As discussed in greater detail in the “Dilution” section of this prospectus supplement, based on a weighted average offering price of $5.253 per share of Common Stock and our pro forma net tangible book value as of December 31, 2019, if you purchase securities in this offering, you will suffer immediate and substantial dilution of $4.572 per share with respect to the net tangible book value of our Common Stock.</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a significant number of outstanding warrants, some of which contain full-ratchet anti-dilution protection, which may cause significant dilution to our stockholders, have a material adverse impact on the market price of our Common Stock and make it more difficult for us to raise funds through future equity offerings.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16, 2020, we had 48,859,213 shares of Common Stock outstanding. In addition, as of that date we had outstanding warrants to acquire up to 124,419 shares of Common Stock. The issuance of shares of Common Stock upon the exercise of warrants would dilute the percentage ownership interest of all stockholders, might dilute the book value per share of our Common Stock and would increase the number of our publicly traded shares, which could depress the market price of our Common Stock.</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Historically, certain of our outstanding warrants contain full-ratchet anti-dilution provisions which, subject to limited exceptions, would reduce the exercise price of the warrants (and increase the number of shares issuable) in the event that we in the future issue Common Stock, or securities convertible into or exercisable to purchase Common Stock at a price per share lower than the exercise price then in effect, to such lower price. The offering of our securities in connection with a prospectus supplement dated March 19, 2020, triggered such full-ratchet anti-dilution provisions in the instruments listed below and reduced the exercise price or conversion price, as the case may be, of each such warrant, convertible note or convertible preferred stock, as the case may be, to $0.525 per share. Because this offering relates to the sale of Common Stock at a purchase price per share that is above the current exercise price of each of the warrants described below, this offering does not trigger the full-ratchet anti-dilution provisions contained in such instruments; however, such full-ratchet anti-dilution provisions could be triggered in connection with future offerings.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left="680" w:right="20" w:hanging="335"/>
        <w:spacing w:after="0" w:line="263"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July 8, 2019, we entered into an amendment to certain outstanding warrants issued in December 2016 (the “December 2016 Warrants”), in order to, among other things, reduce the exercise price of such warrants, which exercise price was subsequently reduced to $0.525 per share. The December 2016 Warrants contain anti-dilution price protection.</w:t>
      </w:r>
    </w:p>
    <w:p>
      <w:pPr>
        <w:spacing w:after="0" w:line="183" w:lineRule="exact"/>
        <w:rPr>
          <w:rFonts w:ascii="Arial" w:cs="Arial" w:eastAsia="Arial" w:hAnsi="Arial"/>
          <w:sz w:val="18"/>
          <w:szCs w:val="18"/>
          <w:color w:val="auto"/>
        </w:rPr>
      </w:pPr>
    </w:p>
    <w:p>
      <w:pPr>
        <w:jc w:val="both"/>
        <w:ind w:left="680" w:right="20" w:hanging="335"/>
        <w:spacing w:after="0" w:line="275"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March 6, 2020, we entered into a sixth amendment to our existing credit agreement with B3D, LLC (“B3D”) in order to, among other provisions, amend and restate our existing convertible promissory note (the “B3D Note”) in order to increase the principal amount owed to B3D to $7.9 million. B3D may convert up to $7.9 million in principal and the interest accrued thereon into shares of Common Stock at its option at a conversion price that was subsequently reduced to $0.525 per share. As of June 16, 2020, the outstanding balance of the B3D Note was $0.9 million and was convertible into 1,714,286 shares of Common Stock. The B3D Note contains anti-dilution price protection.</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the dilutive effects described above, the perceived risk of dilution as a result of the significant number of outstanding warrants may cause our common stockholders to be more inclined to sell their shares, which would contribute to a downward movement in the price of our Common Stock. Moreover, the perceived risk of dilution and the resulting downward pressure on our Common Stock price could encourage investors to engage in short sales of our Common Stock, which could further contribute to price declines in our Common Stock. The fact that our stockholders and warrant holders can sell substantial amounts of our Common Stock in the public market, whether or not sales have occurred or are occurring, as well as the existence of full-ratchet anti-dilution provisions in our warrants, could make it more difficult for us to raise additional funds through the sale of equity or equity-related securities in the future at a time and price that we deem reasonable or appropriate, or at all.</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financings or similar arrangements in the future, including the issuance of debt securities, preferred stock or Common Stock. If we issue Common Stock or securities convertible or exercisable into Common Stock, our common stockholders would experience additional dilution and, as a result, our stock price may decline.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how we use the net proceeds of this offering. We may not use these proceeds effectively, which could affect our results of operations and cause our stock price to decline.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will have considerable discretion in the application of the net proceeds of this offering, including for any of the purposes described in the section entitled “Use of Proceeds.” We intend to use the net proceeds from this offering for general corporate purposes.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our Common Stock is listed on the Nasdaq, the market for our Common Stock has demonstrated varying levels of trading activity. Furthermore, the current level of trading may not be sustained in the future. The lack of an active market for our Common Stock may impair investors’ ability to sell their shares at the time they wish to sell them or at a price that they consider reasonable, may reduce the fair market value of their shares and may impair our ability to raise capital to continue to fund operations by selling shares and may impair our ability to acquire additional intellectual property assets by using our shares as consideration.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substantial volatility, and stockholders may lose all or a substantial part of their investment.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Common Stock currently trades on Nasdaq. There is limited public float, and trading volume historically has been low and sporadic. As a result, the market price for our Common Stock may not necessarily be a reliable indicator of our fair market value. The price at which our Common Stock trades may fluctuate as a result of a number of factors, including the number of shares available for sale in the market, quarterly variations in our operating results, actual or anticipated announcements of new releases by us or competitors, the gain or loss of significant customers, changes in the estimates of our operating performance, market conditions in our industry and the economy as a whole.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meet the continued listing requirements of The Nasdaq Capital Market could result in a delisting of our Common Stock.</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continued listing standards of Nasdaq provide, among other things, that a company may be delisted if the bid price of its stock drops below $1.00 for a period of 30 consecutive business days or if stockholders’ equity is less than $2.5 million. On January 2, 2020, we received a deficiency letter from The Nasdaq Stock Market which provided us a grace period of 180 calendar days, or until June 30, 2020, to regain compliance with the minimum bid price requirement. On April 17, 2020, we received notice from Nasdaq, which stated that, due to recent market conditions, effective as of April 16, 2020, Nasdaq has determined to toll the compliance period for the minimum bid price requirement through June 30, 2020. In order to regain compliance, on June 10, 2020, we filed a certificate of amendment to our amended and restated certificate of incorporation with the Secretary of State of the State of Delaware to effect a one-for-three reverse stock split of our outstanding shares of Common Stock. On June 17, 2020, we received a notification letter from The Nasdaq Stock Market informing us that we had regained compliance with Listing Rule 5550(a)(2).</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While we have exercised diligent efforts to maintain the listing of our Common Stock on Nasdaq, there can be no assurance that we will be able to continue to meet the continuing listing requirements of The Nasdaq Capital Market. If we are unable to meet the continuing listing requirements, Nasdaq may take steps to delist our Common Stock. Such a delisting would likely have a negative effect on the price of our Common Stock and would impair your ability to sell or purchase our Common Stock when you wish to do so. Further, if we were to be delisted from The Nasdaq Capital Market, our Common Stock would cease to be recognized as covered securities and we would be subject to regulation in each state in which we offer our securities.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If our Common Stock becomes subject to the penny stock rules, it may be more difficult to sell our Common Stock.</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The OTC Bulletin Board does not meet such requirements and if the price of our Common Stock is less than $5.00 and our Common Stock is no longer listed on a national securities exchange such as Nasdaq, our stock may be deemed a penny stock. The penny stock rules require a broker-dealer, at least two business days prior to a transaction in a penny stock not otherwise exempt from those rules, to deliver to the customer a standardized risk disclosure document containing specified information and to obtain from the customer a signed and date acknowledgment of receipt of that document. In addition, the penny stock rules require that prior to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never paid or declared any cash dividends on our Common Stock. We currently intend to retain earnings, if any, to finance the growth and development of our business and we do not anticipate paying any cash dividends in the foreseeable future. As a result, only appreciation of the price of our Common Stock will provide a return to our stockholders.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to receive net proceeds of approximately $35.65 million from this offering, after deducting estimated offering expenses payable by us, including the placement agent fees. We intend to use the net proceeds from this offering for general corporate purposes.</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declared or paid any cash dividends on our Common Stock and do not expect to pay any cash dividends for the foreseeable future. We intend to use future earnings, if any, in the operation and expansion of our business. Any future determination relating to our dividend policy will be made at the discretion of our Board of Directors, based on our financial condition, results of operations, contractual restrictions, capital requirements, business properties, restrictions imposed by applicable law and other factors our Board of Directors may deem relevant.</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2019, our net tangible book value was approximately $(9,319,000), or $(1.807) per share of our Common Stock. Net tangible book value per share represents the amount of our total tangible assets less our total liabilities, divided by the total number of shares of our Common Stock outstanding as of December 31, 2019.</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pro forma net tangible book value as of December 31, 2019 was $(2,367,686), or $(0.048) per share of our Common Stock. Pro forma net tangible book value per share represents total tangible assets less total liabilities, divided by the number of shares of our Common Stock outstanding as December 31, 2019, after giving effect to the issuance of an aggregate of (i) 30,668,676 shares of Common Stock upon conversion or exercise of existing preferred stock or indebtedness or warrants, as the case may be, and (ii) 13,033,147 shares of Common Stock issued in connection with our registered direct offerings on March 19, 2020, March 25, 2020, March 27, 2020 and April 6, 2020, in each case subsequent to December 31, 2019.</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giving effect to the issuance of (i) and (ii) in the foregoing paragraph, as well as the sale of 7,614,700 shares of our Common Stock in this offering at an offering price of $5.253 per share of Common Stock, and after deducting estimated offering expenses payable by us, our pro forma as adjusted net tangible book value as of December 31, 2019 would have been approximately $33,279,431, or $0.681 per share of Common Stock. This represents an immediate increase in pro forma as adjusted net tangible book value of $0.729 per share to our existing stockholders and immediate dilution in pro forma as adjusted net tangible book value of $4.572 per share to investors participating in this offering. The following table illustrates this dilution per share of Common Stock to investors participating in this offering: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public offering price per share</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5.253</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Net tangible book value per share as of December 31, 2019</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10"/>
              <w:spacing w:after="0"/>
              <w:rPr>
                <w:sz w:val="20"/>
                <w:szCs w:val="20"/>
                <w:color w:val="auto"/>
              </w:rPr>
            </w:pPr>
            <w:r>
              <w:rPr>
                <w:rFonts w:ascii="Arial" w:cs="Arial" w:eastAsia="Arial" w:hAnsi="Arial"/>
                <w:sz w:val="18"/>
                <w:szCs w:val="18"/>
                <w:color w:val="auto"/>
              </w:rPr>
              <w:t>(1.807)</w:t>
            </w:r>
          </w:p>
        </w:tc>
        <w:tc>
          <w:tcPr>
            <w:tcW w:w="900" w:type="dxa"/>
            <w:vAlign w:val="bottom"/>
          </w:tcPr>
          <w:p>
            <w:pPr>
              <w:spacing w:after="0"/>
              <w:rPr>
                <w:sz w:val="18"/>
                <w:szCs w:val="18"/>
                <w:color w:val="auto"/>
              </w:rPr>
            </w:pP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pro forma adjustments</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1.759</w:t>
            </w:r>
          </w:p>
        </w:tc>
        <w:tc>
          <w:tcPr>
            <w:tcW w:w="900" w:type="dxa"/>
            <w:vAlign w:val="bottom"/>
            <w:shd w:val="clear" w:color="auto" w:fill="CCEEFF"/>
          </w:tcPr>
          <w:p>
            <w:pPr>
              <w:spacing w:after="0"/>
              <w:rPr>
                <w:sz w:val="19"/>
                <w:szCs w:val="19"/>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Pro forma net tangible book value per share as of December 31, 2019</w:t>
            </w:r>
          </w:p>
        </w:tc>
        <w:tc>
          <w:tcPr>
            <w:tcW w:w="9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(0.048)</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this offering</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0.729</w:t>
            </w:r>
          </w:p>
        </w:tc>
        <w:tc>
          <w:tcPr>
            <w:tcW w:w="9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giving effect to the offering</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0.681</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illustration does not reflect the potential dilution from (i) the exercise of placement agent warrants to purchase up to 609,176 shares of Common Stock, (ii) the exercise of outstanding options or warrants to purchase shares of our Common Stock or (iii) the exercise of the Warrants sold in the concurrent private placement transaction, as described below under “Private Placement Transaction.”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Assuming all of the placement agent warrants to purchase up to 609,176 shares of Common Stock were immediately exercised for cash at an exercise price of $6.56625 per share, our as adjusted net tangible book value as of December 31, 2019 would be approximately $37,279,4333, or $0.754 per share of Common Stock. This amount represents an immediate increase in as adjusted net tangible book value of $0.802 per share to our existing stockholders and an immediate dilution of $4.596 per share to investors participating in this offering.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shares of Common Stock that will be outstanding after this offering is based on 48,859,213 shares of Common Stock outstanding as of June 16, 2020, and also excludes:</w:t>
      </w:r>
    </w:p>
    <w:p>
      <w:pPr>
        <w:spacing w:after="0" w:line="170" w:lineRule="exact"/>
        <w:rPr>
          <w:sz w:val="20"/>
          <w:szCs w:val="20"/>
          <w:color w:val="auto"/>
        </w:rPr>
      </w:pPr>
    </w:p>
    <w:p>
      <w:pPr>
        <w:ind w:left="680" w:hanging="335"/>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1,714,286 shares of Common Stock issuable as of the date hereof upon the conversion of indebtedness outstanding as of June 16, 2020;</w:t>
      </w:r>
    </w:p>
    <w:p>
      <w:pPr>
        <w:spacing w:after="0" w:line="236" w:lineRule="exact"/>
        <w:rPr>
          <w:rFonts w:ascii="Arial" w:cs="Arial" w:eastAsia="Arial" w:hAnsi="Arial"/>
          <w:sz w:val="17"/>
          <w:szCs w:val="17"/>
          <w:color w:val="auto"/>
        </w:rPr>
      </w:pPr>
    </w:p>
    <w:p>
      <w:pPr>
        <w:ind w:left="680" w:right="20" w:hanging="335"/>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124,419 shares of Common Stock issuable as of the date hereof upon the exercise of common stock warrants outstanding as of June 16, 2020 at a weighted average exercise price of $0.525 per share;</w:t>
      </w:r>
    </w:p>
    <w:p>
      <w:pPr>
        <w:spacing w:after="0" w:line="170"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690,964 shares of Common Stock issuable as of the date hereof upon the exercise of 670,964 stock options at a weighted average exercise price of $20.32 per share and 20,000 restricted stock units outstanding as of June 16, 2020;</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ind w:left="348" w:right="20" w:hanging="335"/>
        <w:spacing w:after="0" w:line="277" w:lineRule="auto"/>
        <w:tabs>
          <w:tab w:leader="none" w:pos="348" w:val="left"/>
        </w:tabs>
        <w:numPr>
          <w:ilvl w:val="1"/>
          <w:numId w:val="9"/>
        </w:numPr>
        <w:rPr>
          <w:rFonts w:ascii="Arial" w:cs="Arial" w:eastAsia="Arial" w:hAnsi="Arial"/>
          <w:sz w:val="18"/>
          <w:szCs w:val="18"/>
          <w:color w:val="auto"/>
        </w:rPr>
      </w:pPr>
      <w:r>
        <w:rPr>
          <w:rFonts w:ascii="Arial" w:cs="Arial" w:eastAsia="Arial" w:hAnsi="Arial"/>
          <w:sz w:val="18"/>
          <w:szCs w:val="18"/>
          <w:color w:val="auto"/>
        </w:rPr>
        <w:t>117,051 shares of Common Stock available for future issuance under the 2012 Employee, Director and Consultant Equity Incentive Plan, as amended, as of May 22, 2020;</w:t>
      </w:r>
    </w:p>
    <w:p>
      <w:pPr>
        <w:spacing w:after="0" w:line="197"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9"/>
        </w:numPr>
        <w:rPr>
          <w:rFonts w:ascii="Arial" w:cs="Arial" w:eastAsia="Arial" w:hAnsi="Arial"/>
          <w:sz w:val="18"/>
          <w:szCs w:val="18"/>
          <w:color w:val="auto"/>
        </w:rPr>
      </w:pPr>
      <w:r>
        <w:rPr>
          <w:rFonts w:ascii="Arial" w:cs="Arial" w:eastAsia="Arial" w:hAnsi="Arial"/>
          <w:sz w:val="18"/>
          <w:szCs w:val="18"/>
          <w:color w:val="auto"/>
        </w:rPr>
        <w:t>7,614,700 shares of common stock issuable upon exercise of the Warrants issued in the concurrent private placement with an exercise price of $5.25 per share; and</w:t>
      </w:r>
    </w:p>
    <w:p>
      <w:pPr>
        <w:spacing w:after="0" w:line="197" w:lineRule="exact"/>
        <w:rPr>
          <w:rFonts w:ascii="Arial" w:cs="Arial" w:eastAsia="Arial" w:hAnsi="Arial"/>
          <w:sz w:val="18"/>
          <w:szCs w:val="18"/>
          <w:color w:val="auto"/>
        </w:rPr>
      </w:pPr>
    </w:p>
    <w:p>
      <w:pPr>
        <w:ind w:left="348" w:right="20" w:hanging="335"/>
        <w:spacing w:after="0" w:line="277" w:lineRule="auto"/>
        <w:tabs>
          <w:tab w:leader="none" w:pos="348" w:val="left"/>
        </w:tabs>
        <w:numPr>
          <w:ilvl w:val="1"/>
          <w:numId w:val="9"/>
        </w:numPr>
        <w:rPr>
          <w:rFonts w:ascii="Arial" w:cs="Arial" w:eastAsia="Arial" w:hAnsi="Arial"/>
          <w:sz w:val="18"/>
          <w:szCs w:val="18"/>
          <w:color w:val="auto"/>
        </w:rPr>
      </w:pPr>
      <w:r>
        <w:rPr>
          <w:rFonts w:ascii="Arial" w:cs="Arial" w:eastAsia="Arial" w:hAnsi="Arial"/>
          <w:sz w:val="18"/>
          <w:szCs w:val="18"/>
          <w:color w:val="auto"/>
        </w:rPr>
        <w:t>609,176 shares of common stock issuable upon exercise of the placement agent warrants with an exercise price of $6.56625 to be issued to the placement agent as compensation in connection in this offering.</w:t>
      </w:r>
    </w:p>
    <w:p>
      <w:pPr>
        <w:spacing w:after="0" w:line="386" w:lineRule="exact"/>
        <w:rPr>
          <w:sz w:val="20"/>
          <w:szCs w:val="20"/>
          <w:color w:val="auto"/>
        </w:rPr>
      </w:pPr>
    </w:p>
    <w:p>
      <w:pPr>
        <w:jc w:val="center"/>
        <w:ind w:right="352"/>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341"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DESCRIPTION OF THE SECURITIES WE ARE OFFERING</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are offering shares of our Common Stock. The following description of our Common Stock summarizes the material terms and provisions thereof, including the material terms of the Common Stock we are offering under this prospectus supplement and the accompanying prospectus.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“Description of Common Stock” on page 9 of the accompanying prospectus for a description of the material terms of our Common Stock.</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PRIVATE PLACEMENT TRANSACTION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 concurrent private placement, we are selling to purchasers of our Common Stock in this offering, warrants to purchase 7,614,700 shares of our Common Stock.</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Warrants and the shares of our Common Stock issuable upon the exercise of the Warrants are not being registered under the Securities Act, are not being offered pursuant to this prospectus supplement and the accompanying prospectus and are being offered pursuant to the exemption provided in Section 4(a)(2) under the Securities Act and Rule 506(b) promulgated thereunder. Accordingly, purchasers of the Warrants, may only sell shares of Common Stock issued upon exercise of the Warrants being sold to them in the concurrent private placement, pursuant to an effective registration statement under the Securities Act covering the resale of those shares, an exemption under Rule 144 under the Securities Act or another applicable exemption under the Securities Act.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Warrant will be immediately exercisable at an exercise price of $5.25 per share, subject to adjustment, and will remain exercisable for 21 months from the date of issuance, but not thereafter. A holder of Warrants will not have the right to exercise any portion of its Warrants if the holder, together with its affiliates, would beneficially own in excess of 4.99% (or, at the election of a holder prior to the date of issuance, 9.99%) of the number of shares of our Common Stock outstanding immediately after giving effect to such exercise; provided, however, that upon notice to the Company, the holder may increase or decrease such beneficial ownership limitation, provided that in no event shall such beneficial ownership limitation exceed 9.99% and any increase in the beneficial ownership limitation will not be effective until 61 days following notice of such increase from the holder to us. In addition, the holders of the Warrants will have the right to participate in any rights offering or distribution of assets together with the holders of our Common Stock on an as-exercised basis.</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exercise price and number of the shares of our Common Stock issuable upon the exercise of the Warrants will be subject to adjustment for stock splits, reverse splits, and similar capital transactions, as described in the Warrants. The Warrants will be exercisable on a “cashless” basis in certain circumstances.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securities purchase agreement, dated June 17, 2020, by and among the Company and the investor signatories thereto, we will use commercially reasonable efforts to cause a registration statement on Form S-3 providing for the resale by holders of shares of our Common Stock issuable upon the exercise of the Warrants, to become effective within 60 days following June 17, 2020, and to keep such registration statement effective until such time as no holder owns any Warrants or Warrant Shares issuable upon exercise thereof.</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engaged H.C. Wainwright &amp; Co., LLC (the “placement agent”) to act as our exclusive placement agent in connection with this offering. The placement agent has no commitment to buy any of the securities. We will enter into a securities purchase agreement directly with investors in connection with this offering and we may not sell the entire amount of shares of our Common Stock offered pursuant to this prospectus supplement. We will make offers only to a limited number of qualified institutional buyers and accredited investors. The placement agent is also acting as placement agent for the Private Placement Transaction. The placement agent may retain sub-agents and selected dealers in connection with this offering.</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We have agreed to indemnify the placement agent against specified liabilities relating to or arising out of the agent’s activities as placement agent.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have agreed to pay the placement agent (i) a total cash fee equal to 7.5% of the aggregate gross proceeds of this offering, (ii) a management fee equal to 1.0% of the aggregate gross proceeds of this offering, (iii) a non-accountable expense allowance of $25,000, (iv) up to $40,000 for the legal fees and expenses of the placement agent, and (v) $12,900 for the clearing expenses of the placement agent in connection with this offering.</w:t>
      </w:r>
    </w:p>
    <w:p>
      <w:pPr>
        <w:spacing w:after="0" w:line="16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estimate the total expenses of this offering paid or payable by us will be approximately $4.35 million. After deducting the fees due to the placement agent and our estimated expenses in connection with this offering, we expect the net proceeds from this offering will be approximately $35.65 million.</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19, 2020, we entered into a letter agreement (the “Palladium Engagement Letter”) with Palladium Capital Advisors, LLC (“Palladium”) which sets forth the understanding and agreement between us and Palladium with respect to our engagement of Palladium as a non-exclusive finder for us to use its best efforts to identify potential purchasers for our proposed offering of securities to a limited number of institutional, accredited individual or strategic investors (each a “Finder Investor”). Fees are payable to Palladium for any sale of our securities that occurs during the term or within 18 months thereafter to Finder Investors. Pursuant to the terms of the Palladium Engagement Letter, Palladium may be entitled to a cash fee of up to $800,000 pursuant to this offering and warrants to purchase up to an aggregate of 133,257 shares of our Common Stock.</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shows the per share and total cash fees we will pay to the placement agent in connection with the sale of the shares of our Common Stock pursuant to this prospectus supplement and the accompanying prospectus.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Per Share of Common</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Stock</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40,000,019.10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Placement Agent fees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0.393975</w:t>
            </w:r>
          </w:p>
        </w:tc>
        <w:tc>
          <w:tcPr>
            <w:tcW w:w="6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3,000,001.43</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4.859025</w:t>
            </w:r>
          </w:p>
        </w:tc>
        <w:tc>
          <w:tcPr>
            <w:tcW w:w="6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37,000,017.67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Placement Agent Warrants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agreed to issue to the placement agent, at the closing of this offering, warrants to purchase 8.0% of the number of shares of our Common Stock sold in this offering (or warrants to purchase up to 609,176 shares of our Common Stock), at an exercise price of $6.56625 per share (representing 125% of the offering price per share in this offering). Neither the placement agent’s warrants nor the shares of our Common Stock issuable upon exercise thereof are being registered hereby.</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placement agent warrants will be exercisable immediately and for 21 months from the date of issuance. Pursuant to Rule 5110(g) of the Financial Industry Regulatory Authority, or FINRA, the placement agent’s warrants and any shares issued upon exercise thereof will not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in this offering, except: (i) the transfer of any security by operation of law or by reason of our reorganization; (ii) the transfer of any security to any FINRA member firm participating in the offering and the officers or partners thereof, if all securities so transferred remain subject to the lock-up restriction set forth above for the remainder of the time period; (iii) the transfer of any security if the aggregate amount of our securities held by the placement agent or related persons do not exceed 1% of the securities being offered; (iv) the transfer of any security that is beneficially owned on a pro-rata basis by all equity owners of an investment fund, provided that no participating member manages or otherwise directs investments by the fund and the participating members in the aggregate do not own more than 10% of the equity in the fund; or (v) the exercise or conversion of any security, if all securities remain subject to the lock-up restriction set forth above for the remainder of the time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Tail Financing Payments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agreed to pay the placement agent, subject to certain exceptions, a tail fee equal to the cash and warrant compensation in this offering, if any investor, who was contacted or introduced to the Company by placement agent during the term of its engagement or introduced to us by placement agent during the term of its engagement, provides us with capital in any public or private offering or other financing or capital raising transaction during the 12-month period following the consummation of this offering.</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have granted a right of first refusal to the placement agent pursuant to which it has the right to act as the exclusive advisor, manager or underwriter or agent, as applicable, if we or our subsidiaries sell or acquire a business, finance any indebtedness using an agent, or raise capital through a public or private offering of equity or debt securities at any time prior to the 12 month anniversary of the consummation date of this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Solicitation Fee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any exercise of the Warrants issued in the concurrent private placement for cash, we have agreed to pay the placement agent (i) a total cash fee equal to 7.5% of the aggregate gross proceeds from the exercise of the Warrants, (ii) a management fee equal to 1.0% of the aggregate gross proceeds from the exercise of the Warrants, and (iii) to issue to the placement agent warrants to purchase 8.0% of the number of shares of our Common Stock issued upon the cash exercise of the Warrants.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placement agent may provide in the future various advisory, investment and commercial banking and other services to us in the ordinary course of business, for which they may receive customary fees and commissions. However, except as disclosed in this prospectus, we have no present arrangements with the placement agent for any further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Capital Market, or Nasdaq, under the symbol “XSPA.” The last reported sale price of our Common Stock on June 16, 2020 was $5.35 per share.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legal matters relating to the issuance of the securities offered by this prospectus supplement will be passed upon for us by Mintz, Levin, Cohn, Ferris, Glovsky and Popeo, P.C., New York, New York. Ellenoff Grossman &amp; Schole LLP, New York, New York is acting as counsel to the placement agent in connection with this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Our consolidated financial statements appearing in our Annual Report on </w:t>
      </w:r>
      <w:hyperlink r:id="rId37">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2019 have been audited by CohnReznick LLP, an independent registered public accounting firm, as stated in their report, which is incorporated herein by reference. Such consolidated financial statements have been so incorporated in reliance upon the report of such firm (which report expresses an unqualified opinion and includes an explanatory paragraph regarding the Company’s going concern uncertainty) given upon their authority as experts in auditing and accounting.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We file annual, quarterly and other periodic reports, proxy statements and other information with the SEC. You can read our SEC filings over the Internet at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You may also read and copy any document we file with the SEC at its public reference facilities at 100 F Street NE,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Internet address is www.xpresspa.com. There we make available free of charge, on or through the investor relations section of our website, annual reports on Form 10-K, quarterly reports on Form 10-Q, current reports on Form 8-K and amendments to those reports filed pursuant to Section 13(a) or 15(d) of the Securities Exchange Act of 1934, as amended, as soon as reasonably practicable after we electronically file such material with the SEC. The information found on our website is not part of this prospectus supplement or the accompanying prospectus.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“incorporating by reference” specific documents that we file with the SEC, which means that we can disclose important information to you by referring you to those documents that are considered part of this prospectus supplement and the accompanying prospectus. Information that we file subsequently with the SEC will automatically update and supersede this information. We incorporate by reference the documents listed below, and any documents that we file with the SEC under Section 13(a), 13(c), 14 or 15(d) of the Exchange Act, after the date of this prospectus supplement until the termination of the offering of all of the securities registered pursuant to the registration statement of which the accompanying prospectus is a part (excluding any portions of such documents that have been “furnished” but not “filed” for purposes of the Exchange Act):</w:t>
      </w:r>
    </w:p>
    <w:p>
      <w:pPr>
        <w:spacing w:after="0" w:line="178" w:lineRule="exact"/>
        <w:rPr>
          <w:sz w:val="20"/>
          <w:szCs w:val="20"/>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0000EE"/>
        </w:rPr>
      </w:pPr>
      <w:hyperlink r:id="rId39">
        <w:r>
          <w:rPr>
            <w:rFonts w:ascii="Arial" w:cs="Arial" w:eastAsia="Arial" w:hAnsi="Arial"/>
            <w:sz w:val="17"/>
            <w:szCs w:val="17"/>
            <w:color w:val="auto"/>
          </w:rPr>
          <w:t xml:space="preserve">our Annual Report on </w:t>
        </w:r>
        <w:r>
          <w:rPr>
            <w:rFonts w:ascii="Arial" w:cs="Arial" w:eastAsia="Arial" w:hAnsi="Arial"/>
            <w:sz w:val="17"/>
            <w:szCs w:val="17"/>
            <w:u w:val="single" w:color="auto"/>
            <w:color w:val="0000EE"/>
          </w:rPr>
          <w:t>Form 10-K</w:t>
        </w:r>
        <w:r>
          <w:rPr>
            <w:rFonts w:ascii="Arial" w:cs="Arial" w:eastAsia="Arial" w:hAnsi="Arial"/>
            <w:sz w:val="17"/>
            <w:szCs w:val="17"/>
            <w:color w:val="auto"/>
          </w:rPr>
          <w:t xml:space="preserve"> for the year ended December 31, 2019, filed with the SEC on April 20, 2020, as amended by </w:t>
        </w:r>
        <w:r>
          <w:rPr>
            <w:rFonts w:ascii="Arial" w:cs="Arial" w:eastAsia="Arial" w:hAnsi="Arial"/>
            <w:sz w:val="17"/>
            <w:szCs w:val="17"/>
            <w:u w:val="single" w:color="auto"/>
            <w:color w:val="0000EE"/>
          </w:rPr>
          <w:t>Amendment No. 1</w:t>
        </w:r>
      </w:hyperlink>
      <w:r>
        <w:rPr>
          <w:rFonts w:ascii="Arial" w:cs="Arial" w:eastAsia="Arial" w:hAnsi="Arial"/>
          <w:sz w:val="17"/>
          <w:szCs w:val="17"/>
          <w:color w:val="auto"/>
        </w:rPr>
        <w:t xml:space="preserve"> </w:t>
      </w:r>
      <w:hyperlink r:id="rId39">
        <w:r>
          <w:rPr>
            <w:rFonts w:ascii="Arial" w:cs="Arial" w:eastAsia="Arial" w:hAnsi="Arial"/>
            <w:sz w:val="17"/>
            <w:szCs w:val="17"/>
            <w:u w:val="single" w:color="auto"/>
            <w:color w:val="0000EE"/>
          </w:rPr>
          <w:t>to Form 10-K</w:t>
        </w:r>
        <w:r>
          <w:rPr>
            <w:rFonts w:ascii="Arial" w:cs="Arial" w:eastAsia="Arial" w:hAnsi="Arial"/>
            <w:sz w:val="17"/>
            <w:szCs w:val="17"/>
            <w:color w:val="000000"/>
          </w:rPr>
          <w:t>, filed with the SEC on May 19, 2020 and</w:t>
        </w:r>
        <w:r>
          <w:rPr>
            <w:rFonts w:ascii="Arial" w:cs="Arial" w:eastAsia="Arial" w:hAnsi="Arial"/>
            <w:sz w:val="17"/>
            <w:szCs w:val="17"/>
            <w:color w:val="0000EE"/>
          </w:rPr>
          <w:t xml:space="preserve"> </w:t>
        </w:r>
      </w:hyperlink>
      <w:hyperlink r:id="rId40">
        <w:r>
          <w:rPr>
            <w:rFonts w:ascii="Arial" w:cs="Arial" w:eastAsia="Arial" w:hAnsi="Arial"/>
            <w:sz w:val="17"/>
            <w:szCs w:val="17"/>
            <w:u w:val="single" w:color="auto"/>
            <w:color w:val="0000EE"/>
          </w:rPr>
          <w:t>Amendment No. 2 to Form 10-K</w:t>
        </w:r>
      </w:hyperlink>
      <w:hyperlink r:id="rId39">
        <w:r>
          <w:rPr>
            <w:rFonts w:ascii="Arial" w:cs="Arial" w:eastAsia="Arial" w:hAnsi="Arial"/>
            <w:sz w:val="17"/>
            <w:szCs w:val="17"/>
            <w:color w:val="000000"/>
          </w:rPr>
          <w:t>, filed with the SEC on June 15, 2020;</w:t>
        </w:r>
      </w:hyperlink>
    </w:p>
    <w:p>
      <w:pPr>
        <w:spacing w:after="0" w:line="146" w:lineRule="exact"/>
        <w:rPr>
          <w:rFonts w:ascii="Arial" w:cs="Arial" w:eastAsia="Arial" w:hAnsi="Arial"/>
          <w:sz w:val="17"/>
          <w:szCs w:val="17"/>
          <w:color w:val="0000EE"/>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41">
        <w:r>
          <w:rPr>
            <w:rFonts w:ascii="Arial" w:cs="Arial" w:eastAsia="Arial" w:hAnsi="Arial"/>
            <w:sz w:val="18"/>
            <w:szCs w:val="18"/>
            <w:u w:val="single" w:color="auto"/>
            <w:color w:val="0000EE"/>
          </w:rPr>
          <w:t>January 3, 2020</w:t>
        </w:r>
      </w:hyperlink>
      <w:r>
        <w:rPr>
          <w:rFonts w:ascii="Arial" w:cs="Arial" w:eastAsia="Arial" w:hAnsi="Arial"/>
          <w:sz w:val="18"/>
          <w:szCs w:val="18"/>
          <w:color w:val="auto"/>
        </w:rPr>
        <w:t xml:space="preserve">, </w:t>
      </w:r>
      <w:hyperlink r:id="rId42">
        <w:r>
          <w:rPr>
            <w:rFonts w:ascii="Arial" w:cs="Arial" w:eastAsia="Arial" w:hAnsi="Arial"/>
            <w:sz w:val="18"/>
            <w:szCs w:val="18"/>
            <w:u w:val="single" w:color="auto"/>
            <w:color w:val="0000EE"/>
          </w:rPr>
          <w:t>January 14, 2020</w:t>
        </w:r>
      </w:hyperlink>
      <w:r>
        <w:rPr>
          <w:rFonts w:ascii="Arial" w:cs="Arial" w:eastAsia="Arial" w:hAnsi="Arial"/>
          <w:sz w:val="18"/>
          <w:szCs w:val="18"/>
          <w:color w:val="auto"/>
        </w:rPr>
        <w:t xml:space="preserve">, </w:t>
      </w:r>
      <w:hyperlink r:id="rId43">
        <w:r>
          <w:rPr>
            <w:rFonts w:ascii="Arial" w:cs="Arial" w:eastAsia="Arial" w:hAnsi="Arial"/>
            <w:sz w:val="18"/>
            <w:szCs w:val="18"/>
            <w:u w:val="single" w:color="auto"/>
            <w:color w:val="0000EE"/>
          </w:rPr>
          <w:t>February 3, 2020</w:t>
        </w:r>
      </w:hyperlink>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EE"/>
          </w:rPr>
          <w:t>March 6, 2020</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EE"/>
          </w:rPr>
          <w:t>March 19, 2020,</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EE"/>
          </w:rPr>
          <w:t>March 26, 2020, March 30, 2020</w:t>
        </w:r>
        <w:r>
          <w:rPr>
            <w:rFonts w:ascii="Arial" w:cs="Arial" w:eastAsia="Arial" w:hAnsi="Arial"/>
            <w:sz w:val="18"/>
            <w:szCs w:val="18"/>
            <w:color w:val="0000EE"/>
          </w:rPr>
          <w:t xml:space="preserve"> </w:t>
        </w:r>
        <w:r>
          <w:rPr>
            <w:rFonts w:ascii="Arial" w:cs="Arial" w:eastAsia="Arial" w:hAnsi="Arial"/>
            <w:sz w:val="18"/>
            <w:szCs w:val="18"/>
            <w:color w:val="000000"/>
          </w:rPr>
          <w:t>(</w:t>
        </w:r>
        <w:r>
          <w:rPr>
            <w:rFonts w:ascii="Arial" w:cs="Arial" w:eastAsia="Arial" w:hAnsi="Arial"/>
            <w:sz w:val="18"/>
            <w:szCs w:val="18"/>
            <w:u w:val="single" w:color="auto"/>
            <w:color w:val="0000EE"/>
          </w:rPr>
          <w:t>two reports</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6,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7,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17,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24,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28,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May 6,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May 7,</w:t>
        </w:r>
      </w:hyperlink>
      <w:r>
        <w:rPr>
          <w:rFonts w:ascii="Arial" w:cs="Arial" w:eastAsia="Arial" w:hAnsi="Arial"/>
          <w:sz w:val="18"/>
          <w:szCs w:val="18"/>
          <w:color w:val="0000EE"/>
        </w:rPr>
        <w:t xml:space="preserve"> </w:t>
      </w:r>
      <w:hyperlink r:id="rId46">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7">
        <w:r>
          <w:rPr>
            <w:rFonts w:ascii="Arial" w:cs="Arial" w:eastAsia="Arial" w:hAnsi="Arial"/>
            <w:sz w:val="18"/>
            <w:szCs w:val="18"/>
            <w:u w:val="single" w:color="auto"/>
            <w:color w:val="0000EE"/>
          </w:rPr>
          <w:t>May 11, 2020</w:t>
        </w:r>
      </w:hyperlink>
      <w:hyperlink r:id="rId4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8">
        <w:r>
          <w:rPr>
            <w:rFonts w:ascii="Arial" w:cs="Arial" w:eastAsia="Arial" w:hAnsi="Arial"/>
            <w:sz w:val="18"/>
            <w:szCs w:val="18"/>
            <w:u w:val="single" w:color="auto"/>
            <w:color w:val="0000EE"/>
          </w:rPr>
          <w:t>May 22, 2020</w:t>
        </w:r>
      </w:hyperlink>
      <w:hyperlink r:id="rId4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9">
        <w:r>
          <w:rPr>
            <w:rFonts w:ascii="Arial" w:cs="Arial" w:eastAsia="Arial" w:hAnsi="Arial"/>
            <w:sz w:val="18"/>
            <w:szCs w:val="18"/>
            <w:u w:val="single" w:color="auto"/>
            <w:color w:val="0000EE"/>
          </w:rPr>
          <w:t>May 29, 2020</w:t>
        </w:r>
      </w:hyperlink>
      <w:hyperlink r:id="rId4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0">
        <w:r>
          <w:rPr>
            <w:rFonts w:ascii="Arial" w:cs="Arial" w:eastAsia="Arial" w:hAnsi="Arial"/>
            <w:sz w:val="18"/>
            <w:szCs w:val="18"/>
            <w:u w:val="single" w:color="auto"/>
            <w:color w:val="0000EE"/>
          </w:rPr>
          <w:t>June 4, 2020</w:t>
        </w:r>
      </w:hyperlink>
      <w:hyperlink r:id="rId4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1">
        <w:r>
          <w:rPr>
            <w:rFonts w:ascii="Arial" w:cs="Arial" w:eastAsia="Arial" w:hAnsi="Arial"/>
            <w:sz w:val="18"/>
            <w:szCs w:val="18"/>
            <w:u w:val="single" w:color="auto"/>
            <w:color w:val="0000EE"/>
          </w:rPr>
          <w:t xml:space="preserve">June 10, 2020 </w:t>
        </w:r>
      </w:hyperlink>
      <w:hyperlink r:id="rId46">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52">
        <w:r>
          <w:rPr>
            <w:rFonts w:ascii="Arial" w:cs="Arial" w:eastAsia="Arial" w:hAnsi="Arial"/>
            <w:sz w:val="18"/>
            <w:szCs w:val="18"/>
            <w:u w:val="single" w:color="auto"/>
            <w:color w:val="0000EE"/>
          </w:rPr>
          <w:t xml:space="preserve">June 17, 2020 </w:t>
        </w:r>
      </w:hyperlink>
      <w:hyperlink r:id="rId46">
        <w:r>
          <w:rPr>
            <w:rFonts w:ascii="Arial" w:cs="Arial" w:eastAsia="Arial" w:hAnsi="Arial"/>
            <w:sz w:val="18"/>
            <w:szCs w:val="18"/>
            <w:color w:val="000000"/>
          </w:rPr>
          <w:t>(except for the information furnished under</w:t>
        </w:r>
      </w:hyperlink>
      <w:r>
        <w:rPr>
          <w:rFonts w:ascii="Arial" w:cs="Arial" w:eastAsia="Arial" w:hAnsi="Arial"/>
          <w:sz w:val="18"/>
          <w:szCs w:val="18"/>
          <w:color w:val="0000EE"/>
        </w:rPr>
        <w:t xml:space="preserve"> </w:t>
      </w:r>
      <w:r>
        <w:rPr>
          <w:rFonts w:ascii="Arial" w:cs="Arial" w:eastAsia="Arial" w:hAnsi="Arial"/>
          <w:sz w:val="18"/>
          <w:szCs w:val="18"/>
          <w:color w:val="000000"/>
        </w:rPr>
        <w:t>Items 2.02 or 7.01 and the exhibits furnished thereto); and</w:t>
      </w:r>
    </w:p>
    <w:p>
      <w:pPr>
        <w:spacing w:after="0" w:line="186" w:lineRule="exact"/>
        <w:rPr>
          <w:rFonts w:ascii="Arial" w:cs="Arial" w:eastAsia="Arial" w:hAnsi="Arial"/>
          <w:sz w:val="18"/>
          <w:szCs w:val="18"/>
          <w:color w:val="0000EE"/>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Form </w:t>
      </w:r>
      <w:hyperlink r:id="rId53">
        <w:r>
          <w:rPr>
            <w:rFonts w:ascii="Arial" w:cs="Arial" w:eastAsia="Arial" w:hAnsi="Arial"/>
            <w:sz w:val="18"/>
            <w:szCs w:val="18"/>
            <w:u w:val="single" w:color="auto"/>
            <w:color w:val="0000EE"/>
          </w:rPr>
          <w:t>8-A</w:t>
        </w:r>
      </w:hyperlink>
      <w:r>
        <w:rPr>
          <w:rFonts w:ascii="Arial" w:cs="Arial" w:eastAsia="Arial" w:hAnsi="Arial"/>
          <w:sz w:val="18"/>
          <w:szCs w:val="18"/>
          <w:color w:val="auto"/>
        </w:rPr>
        <w:t>, filed with the SEC on April 29, 2013, including any further amendments thereto or reports filed for the purposes of updating this description.</w:t>
      </w:r>
    </w:p>
    <w:p>
      <w:pPr>
        <w:spacing w:after="0" w:line="170"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6"/>
          <w:szCs w:val="16"/>
          <w:color w:val="auto"/>
        </w:rPr>
        <w:t>You may request, orally or in writing, a copy of these documents, which will be provided to you at no cost, by contacting XpresSpa Group, Inc., 254 West</w:t>
      </w:r>
    </w:p>
    <w:p>
      <w:pPr>
        <w:spacing w:after="0" w:line="6"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6"/>
          <w:szCs w:val="16"/>
          <w:color w:val="auto"/>
        </w:rPr>
        <w:t>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10001 Attention: Investor Relations. The Investor Relations Department can be reached via telephone at (212) 838-</w:t>
      </w:r>
    </w:p>
    <w:p>
      <w:pPr>
        <w:spacing w:after="0"/>
        <w:rPr>
          <w:sz w:val="20"/>
          <w:szCs w:val="20"/>
          <w:color w:val="auto"/>
        </w:rPr>
      </w:pPr>
      <w:r>
        <w:rPr>
          <w:rFonts w:ascii="Arial" w:cs="Arial" w:eastAsia="Arial" w:hAnsi="Arial"/>
          <w:sz w:val="18"/>
          <w:szCs w:val="18"/>
          <w:color w:val="auto"/>
        </w:rPr>
        <w:t>3777.</w:t>
      </w:r>
    </w:p>
    <w:p>
      <w:pPr>
        <w:spacing w:after="0" w:line="209" w:lineRule="exact"/>
        <w:rPr>
          <w:rFonts w:ascii="Arial" w:cs="Arial" w:eastAsia="Arial" w:hAnsi="Arial"/>
          <w:sz w:val="18"/>
          <w:szCs w:val="18"/>
          <w:color w:val="0000EE"/>
        </w:rPr>
      </w:pPr>
    </w:p>
    <w:p>
      <w:pPr>
        <w:jc w:val="both"/>
        <w:spacing w:after="0" w:line="257"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of this prospectus supplement and the accompanying prospectus to the extent that a statement contained herein or therein, in any other subsequently filed document that also is or is deemed to be incorporated by reference herein and in any accompanying prospectus supplement, modifies or supersedes such statement. Any statement so modified or superseded shall not be deemed, except as so modified and superseded, to constitute a part of this prospectus supplement.</w:t>
      </w:r>
    </w:p>
    <w:p>
      <w:pPr>
        <w:spacing w:after="0" w:line="188" w:lineRule="exact"/>
        <w:rPr>
          <w:rFonts w:ascii="Arial" w:cs="Arial" w:eastAsia="Arial" w:hAnsi="Arial"/>
          <w:sz w:val="18"/>
          <w:szCs w:val="18"/>
          <w:color w:val="0000EE"/>
        </w:rPr>
      </w:pPr>
    </w:p>
    <w:p>
      <w:pPr>
        <w:jc w:val="both"/>
        <w:spacing w:after="0" w:line="279" w:lineRule="auto"/>
        <w:rPr>
          <w:sz w:val="20"/>
          <w:szCs w:val="20"/>
          <w:color w:val="auto"/>
        </w:rPr>
      </w:pPr>
      <w:r>
        <w:rPr>
          <w:rFonts w:ascii="Arial" w:cs="Arial" w:eastAsia="Arial" w:hAnsi="Arial"/>
          <w:sz w:val="17"/>
          <w:szCs w:val="17"/>
          <w:color w:val="auto"/>
        </w:rPr>
        <w:t>Any statement made in this prospectus supplement and the accompanying prospectus concerning the contents of any contract, agreement or other document is only a summary of the actual contract, agreement or other document. If we have filed or incorporated by reference any contract, agreement or other document as an exhibit to the registration statement, you should read the exhibit for a more complete understanding of the document or matter involved. Each statement regarding a contract, agreement or other document is qualified by reference to the actual document.</w:t>
      </w:r>
    </w:p>
    <w:p>
      <w:pPr>
        <w:spacing w:after="0" w:line="387" w:lineRule="exact"/>
        <w:rPr>
          <w:rFonts w:ascii="Arial" w:cs="Arial" w:eastAsia="Arial" w:hAnsi="Arial"/>
          <w:sz w:val="18"/>
          <w:szCs w:val="18"/>
          <w:color w:val="0000EE"/>
        </w:rPr>
      </w:pPr>
    </w:p>
    <w:p>
      <w:pPr>
        <w:jc w:val="center"/>
        <w:ind w:right="40"/>
        <w:spacing w:after="0"/>
        <w:rPr>
          <w:sz w:val="20"/>
          <w:szCs w:val="20"/>
          <w:color w:val="auto"/>
        </w:rPr>
      </w:pPr>
      <w:r>
        <w:rPr>
          <w:rFonts w:ascii="Arial" w:cs="Arial" w:eastAsia="Arial" w:hAnsi="Arial"/>
          <w:sz w:val="18"/>
          <w:szCs w:val="18"/>
          <w:color w:val="auto"/>
        </w:rPr>
        <w:t>S-25</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XPRESSPA GROUP,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$50,000,000</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$50,000,000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or rights.</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6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common stock is quoted on The Nasdaq Capital Market, or Nasdaq, under the symbol “XSPA.” On July 12, 2019, the last reported sale price of our common stock was $1.50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July 26, 2019, the aggregate market value of our common stock held by non-affiliates pursuant to General Instruction I.B.6. of Form S-3 was approximately $13.1 million, which was calculated based on 2,916,919 outstanding shares of our common stock, of which 2,781,162 shares are held by non-affiliates, and a price of $4.71 per share, the closing sale price of our common stock reported on The Nasdaq Capital Market on June 30, 2019. As a result, we are currently eligible to offer and sell up to an aggregate of approximately $4.3 million of our securities pursuant to General Instruction I.B.6 of Form S-3. During the prior twelve calendar month period that ends on the date of this prospectus, we did not offer securities pursuant to General Instruction I.B.6 on Form S-3. Pursuant to General Instruction I.B.6 of Form S-3, in no event will we sell shares pursuant to this prospectus with a value of more than one-third of the aggregate market value of our common stock held by non-affiliates in any 12-month period, so long as the aggregate market value of our common stock held by non-affiliates is less than $75 million.</w:t>
      </w:r>
    </w:p>
    <w:p>
      <w:pPr>
        <w:spacing w:after="0" w:line="174" w:lineRule="exact"/>
        <w:rPr>
          <w:sz w:val="20"/>
          <w:szCs w:val="20"/>
          <w:color w:val="auto"/>
        </w:rPr>
      </w:pPr>
    </w:p>
    <w:p>
      <w:pPr>
        <w:jc w:val="both"/>
        <w:ind w:right="180"/>
        <w:spacing w:after="0" w:line="343" w:lineRule="auto"/>
        <w:rPr>
          <w:sz w:val="20"/>
          <w:szCs w:val="20"/>
          <w:color w:val="auto"/>
        </w:rPr>
      </w:pPr>
      <w:r>
        <w:rPr>
          <w:rFonts w:ascii="Arial" w:cs="Arial" w:eastAsia="Arial" w:hAnsi="Arial"/>
          <w:sz w:val="15"/>
          <w:szCs w:val="15"/>
          <w:b w:val="1"/>
          <w:bCs w:val="1"/>
          <w:color w:val="auto"/>
        </w:rPr>
        <w:t>Investing in our securities involves risks. Before deciding whether to invest in our securities, you should consider carefully the risks that we have described on page 2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930910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date of this prospectus is July 30, 2019.</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904" w:right="5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04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r>
      <w:tr>
        <w:trPr>
          <w:trHeight w:val="216"/>
        </w:trPr>
        <w:tc>
          <w:tcPr>
            <w:tcW w:w="10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044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w:t>
              </w:r>
            </w:hyperlink>
          </w:p>
        </w:tc>
        <w:tc>
          <w:tcPr>
            <w:tcW w:w="800" w:type="dxa"/>
            <w:vAlign w:val="bottom"/>
            <w:shd w:val="clear" w:color="auto" w:fill="CCEEFF"/>
          </w:tcPr>
          <w:p>
            <w:pPr>
              <w:jc w:val="right"/>
              <w:ind w:right="3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iv</w:t>
              </w:r>
            </w:hyperlink>
          </w:p>
        </w:tc>
      </w:tr>
      <w:tr>
        <w:trPr>
          <w:trHeight w:val="216"/>
        </w:trPr>
        <w:tc>
          <w:tcPr>
            <w:tcW w:w="104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800" w:type="dxa"/>
            <w:vAlign w:val="bottom"/>
          </w:tcPr>
          <w:p>
            <w:pPr>
              <w:jc w:val="right"/>
              <w:ind w:right="3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r>
      <w:tr>
        <w:trPr>
          <w:trHeight w:val="216"/>
        </w:trPr>
        <w:tc>
          <w:tcPr>
            <w:tcW w:w="1044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 FACTORS</w:t>
              </w:r>
            </w:hyperlink>
          </w:p>
        </w:tc>
        <w:tc>
          <w:tcPr>
            <w:tcW w:w="800" w:type="dxa"/>
            <w:vAlign w:val="bottom"/>
            <w:shd w:val="clear" w:color="auto" w:fill="CCEEFF"/>
          </w:tcPr>
          <w:p>
            <w:pPr>
              <w:jc w:val="right"/>
              <w:ind w:right="3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w:t>
              </w:r>
            </w:hyperlink>
          </w:p>
        </w:tc>
      </w:tr>
      <w:tr>
        <w:trPr>
          <w:trHeight w:val="216"/>
        </w:trPr>
        <w:tc>
          <w:tcPr>
            <w:tcW w:w="1044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SPECIAL NOTE REGARDING FORWARD-LOOKING STATEMENTS</w:t>
              </w:r>
            </w:hyperlink>
          </w:p>
        </w:tc>
        <w:tc>
          <w:tcPr>
            <w:tcW w:w="800" w:type="dxa"/>
            <w:vAlign w:val="bottom"/>
          </w:tcPr>
          <w:p>
            <w:pPr>
              <w:jc w:val="right"/>
              <w:ind w:right="3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w:t>
              </w:r>
            </w:hyperlink>
          </w:p>
        </w:tc>
      </w:tr>
      <w:tr>
        <w:trPr>
          <w:trHeight w:val="216"/>
        </w:trPr>
        <w:tc>
          <w:tcPr>
            <w:tcW w:w="10440" w:type="dxa"/>
            <w:vAlign w:val="bottom"/>
            <w:shd w:val="clear" w:color="auto" w:fill="CCEEFF"/>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RATIO OF EARNINGS TO FIXED CHARGES</w:t>
              </w:r>
            </w:hyperlink>
          </w:p>
        </w:tc>
        <w:tc>
          <w:tcPr>
            <w:tcW w:w="800" w:type="dxa"/>
            <w:vAlign w:val="bottom"/>
            <w:shd w:val="clear" w:color="auto" w:fill="CCEEFF"/>
          </w:tcPr>
          <w:p>
            <w:pPr>
              <w:jc w:val="right"/>
              <w:ind w:right="3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5</w:t>
              </w:r>
            </w:hyperlink>
          </w:p>
        </w:tc>
      </w:tr>
      <w:tr>
        <w:trPr>
          <w:trHeight w:val="216"/>
        </w:trPr>
        <w:tc>
          <w:tcPr>
            <w:tcW w:w="1044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USE OF PROCEEDS</w:t>
              </w:r>
            </w:hyperlink>
          </w:p>
        </w:tc>
        <w:tc>
          <w:tcPr>
            <w:tcW w:w="800" w:type="dxa"/>
            <w:vAlign w:val="bottom"/>
          </w:tcPr>
          <w:p>
            <w:pPr>
              <w:jc w:val="right"/>
              <w:ind w:right="3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6</w:t>
              </w:r>
            </w:hyperlink>
          </w:p>
        </w:tc>
      </w:tr>
      <w:tr>
        <w:trPr>
          <w:trHeight w:val="216"/>
        </w:trPr>
        <w:tc>
          <w:tcPr>
            <w:tcW w:w="10440" w:type="dxa"/>
            <w:vAlign w:val="bottom"/>
            <w:shd w:val="clear" w:color="auto" w:fill="CCEEFF"/>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PLAN OF DISTRIBUTION</w:t>
              </w:r>
            </w:hyperlink>
          </w:p>
        </w:tc>
        <w:tc>
          <w:tcPr>
            <w:tcW w:w="800" w:type="dxa"/>
            <w:vAlign w:val="bottom"/>
            <w:shd w:val="clear" w:color="auto" w:fill="CCEEFF"/>
          </w:tcPr>
          <w:p>
            <w:pPr>
              <w:jc w:val="right"/>
              <w:ind w:right="3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7</w:t>
              </w:r>
            </w:hyperlink>
          </w:p>
        </w:tc>
      </w:tr>
      <w:tr>
        <w:trPr>
          <w:trHeight w:val="216"/>
        </w:trPr>
        <w:tc>
          <w:tcPr>
            <w:tcW w:w="1044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DESCRIPTION OF COMMON STOCK</w:t>
              </w:r>
            </w:hyperlink>
          </w:p>
        </w:tc>
        <w:tc>
          <w:tcPr>
            <w:tcW w:w="800" w:type="dxa"/>
            <w:vAlign w:val="bottom"/>
          </w:tcPr>
          <w:p>
            <w:pPr>
              <w:jc w:val="right"/>
              <w:ind w:right="3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9</w:t>
              </w:r>
            </w:hyperlink>
          </w:p>
        </w:tc>
      </w:tr>
      <w:tr>
        <w:trPr>
          <w:trHeight w:val="216"/>
        </w:trPr>
        <w:tc>
          <w:tcPr>
            <w:tcW w:w="10440" w:type="dxa"/>
            <w:vAlign w:val="bottom"/>
            <w:shd w:val="clear" w:color="auto" w:fill="CCEEFF"/>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DESCRIPTION OF PREFERRED STOCK</w:t>
              </w:r>
            </w:hyperlink>
          </w:p>
        </w:tc>
        <w:tc>
          <w:tcPr>
            <w:tcW w:w="800" w:type="dxa"/>
            <w:vAlign w:val="bottom"/>
            <w:shd w:val="clear" w:color="auto" w:fill="CCEEFF"/>
          </w:tcPr>
          <w:p>
            <w:pPr>
              <w:jc w:val="right"/>
              <w:ind w:right="3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10</w:t>
              </w:r>
            </w:hyperlink>
          </w:p>
        </w:tc>
      </w:tr>
      <w:tr>
        <w:trPr>
          <w:trHeight w:val="216"/>
        </w:trPr>
        <w:tc>
          <w:tcPr>
            <w:tcW w:w="1044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DESCRIPTION OF DEBT SECURITIES</w:t>
              </w:r>
            </w:hyperlink>
          </w:p>
        </w:tc>
        <w:tc>
          <w:tcPr>
            <w:tcW w:w="800" w:type="dxa"/>
            <w:vAlign w:val="bottom"/>
          </w:tcPr>
          <w:p>
            <w:pPr>
              <w:jc w:val="right"/>
              <w:ind w:right="3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12</w:t>
              </w:r>
            </w:hyperlink>
          </w:p>
        </w:tc>
      </w:tr>
      <w:tr>
        <w:trPr>
          <w:trHeight w:val="216"/>
        </w:trPr>
        <w:tc>
          <w:tcPr>
            <w:tcW w:w="10440" w:type="dxa"/>
            <w:vAlign w:val="bottom"/>
            <w:shd w:val="clear" w:color="auto" w:fill="CCEEFF"/>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DESCRIPTION OF WARRANTS</w:t>
              </w:r>
            </w:hyperlink>
          </w:p>
        </w:tc>
        <w:tc>
          <w:tcPr>
            <w:tcW w:w="800" w:type="dxa"/>
            <w:vAlign w:val="bottom"/>
            <w:shd w:val="clear" w:color="auto" w:fill="CCEEFF"/>
          </w:tcPr>
          <w:p>
            <w:pPr>
              <w:jc w:val="right"/>
              <w:ind w:right="3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18</w:t>
              </w:r>
            </w:hyperlink>
          </w:p>
        </w:tc>
      </w:tr>
      <w:tr>
        <w:trPr>
          <w:trHeight w:val="216"/>
        </w:trPr>
        <w:tc>
          <w:tcPr>
            <w:tcW w:w="1044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DESCRIPTION OF RIGHTS</w:t>
              </w:r>
            </w:hyperlink>
          </w:p>
        </w:tc>
        <w:tc>
          <w:tcPr>
            <w:tcW w:w="800" w:type="dxa"/>
            <w:vAlign w:val="bottom"/>
          </w:tcPr>
          <w:p>
            <w:pPr>
              <w:jc w:val="right"/>
              <w:ind w:right="3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19</w:t>
              </w:r>
            </w:hyperlink>
          </w:p>
        </w:tc>
      </w:tr>
      <w:tr>
        <w:trPr>
          <w:trHeight w:val="216"/>
        </w:trPr>
        <w:tc>
          <w:tcPr>
            <w:tcW w:w="10440" w:type="dxa"/>
            <w:vAlign w:val="bottom"/>
            <w:shd w:val="clear" w:color="auto" w:fill="CCEEFF"/>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DESCRIPTION OF UNITS</w:t>
              </w:r>
            </w:hyperlink>
          </w:p>
        </w:tc>
        <w:tc>
          <w:tcPr>
            <w:tcW w:w="800" w:type="dxa"/>
            <w:vAlign w:val="bottom"/>
            <w:shd w:val="clear" w:color="auto" w:fill="CCEEFF"/>
          </w:tcPr>
          <w:p>
            <w:pPr>
              <w:jc w:val="right"/>
              <w:ind w:right="3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21</w:t>
              </w:r>
            </w:hyperlink>
          </w:p>
        </w:tc>
      </w:tr>
      <w:tr>
        <w:trPr>
          <w:trHeight w:val="216"/>
        </w:trPr>
        <w:tc>
          <w:tcPr>
            <w:tcW w:w="1044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CERTAIN PROVISIONS OF DELAWARE LAW AND OF THE COMPANY’S CERTIFICATE OF INCORPORATION AND BYLAWS</w:t>
              </w:r>
            </w:hyperlink>
          </w:p>
        </w:tc>
        <w:tc>
          <w:tcPr>
            <w:tcW w:w="800" w:type="dxa"/>
            <w:vAlign w:val="bottom"/>
          </w:tcPr>
          <w:p>
            <w:pPr>
              <w:jc w:val="right"/>
              <w:ind w:right="3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22</w:t>
              </w:r>
            </w:hyperlink>
          </w:p>
        </w:tc>
      </w:tr>
      <w:tr>
        <w:trPr>
          <w:trHeight w:val="216"/>
        </w:trPr>
        <w:tc>
          <w:tcPr>
            <w:tcW w:w="10440" w:type="dxa"/>
            <w:vAlign w:val="bottom"/>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LEGAL MATTERS</w:t>
              </w:r>
            </w:hyperlink>
          </w:p>
        </w:tc>
        <w:tc>
          <w:tcPr>
            <w:tcW w:w="800" w:type="dxa"/>
            <w:vAlign w:val="bottom"/>
            <w:shd w:val="clear" w:color="auto" w:fill="CCEEFF"/>
          </w:tcPr>
          <w:p>
            <w:pPr>
              <w:jc w:val="right"/>
              <w:ind w:right="3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24</w:t>
              </w:r>
            </w:hyperlink>
          </w:p>
        </w:tc>
      </w:tr>
      <w:tr>
        <w:trPr>
          <w:trHeight w:val="216"/>
        </w:trPr>
        <w:tc>
          <w:tcPr>
            <w:tcW w:w="1044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EXPERTS</w:t>
              </w:r>
            </w:hyperlink>
          </w:p>
        </w:tc>
        <w:tc>
          <w:tcPr>
            <w:tcW w:w="800" w:type="dxa"/>
            <w:vAlign w:val="bottom"/>
          </w:tcPr>
          <w:p>
            <w:pPr>
              <w:jc w:val="right"/>
              <w:ind w:right="3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24</w:t>
              </w:r>
            </w:hyperlink>
          </w:p>
        </w:tc>
      </w:tr>
      <w:tr>
        <w:trPr>
          <w:trHeight w:val="216"/>
        </w:trPr>
        <w:tc>
          <w:tcPr>
            <w:tcW w:w="10440" w:type="dxa"/>
            <w:vAlign w:val="bottom"/>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WHERE YOU CAN FIND MORE INFORMATION</w:t>
              </w:r>
            </w:hyperlink>
          </w:p>
        </w:tc>
        <w:tc>
          <w:tcPr>
            <w:tcW w:w="800" w:type="dxa"/>
            <w:vAlign w:val="bottom"/>
            <w:shd w:val="clear" w:color="auto" w:fill="CCEEFF"/>
          </w:tcPr>
          <w:p>
            <w:pPr>
              <w:jc w:val="right"/>
              <w:ind w:right="3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24</w:t>
              </w:r>
            </w:hyperlink>
          </w:p>
        </w:tc>
      </w:tr>
      <w:tr>
        <w:trPr>
          <w:trHeight w:val="230"/>
        </w:trPr>
        <w:tc>
          <w:tcPr>
            <w:tcW w:w="1044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INCORPORATION OF DOCUMENTS BY REFERENCE</w:t>
              </w:r>
            </w:hyperlink>
          </w:p>
        </w:tc>
        <w:tc>
          <w:tcPr>
            <w:tcW w:w="800" w:type="dxa"/>
            <w:vAlign w:val="bottom"/>
          </w:tcPr>
          <w:p>
            <w:pPr>
              <w:jc w:val="right"/>
              <w:ind w:right="3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24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shelf registration process, we may offer shares of our common stock and preferred stock, various series of debt securities and/or warrants, rights to purchase any of such securities, either individually or in units, in one or more offerings, with a total value of up to $50,000,000.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66"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context otherwise requires, references to “we,” “our,” “us,” or the “Company” in this prospectus mean XpresSpa Group, Inc., together with its subsidiaries.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5" w:name="page36"/>
    <w:bookmarkEnd w:id="35"/>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the transition to a pure-play health and wellness services company, we currently have one operating segment that is also our sole reporting unit, XpresSpa, a leading airport retailer of spa services. XpresSpa is a well-recognized airport spa brand with 56 locations, consisting of 51 domestic and 5 international locations as of December 31, 2018. XpresSpa offers travelers premium spa services, including massage, nail and skin care, as well as spa and travel products. During 2018 and 2017, XpresSpa generated $49,294,000 and $48,373,000 of revenue, respectively. In 2018, approximately 83% of XpresSpa’s total revenue was generated by services, primarily massage and nailcare, and 17% was generated by retail products, primarily travel accessories.</w:t>
      </w:r>
    </w:p>
    <w:p>
      <w:pPr>
        <w:spacing w:after="0" w:line="19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own certain patent portfolios, which we look to monetize through sales and licensing agreements. During the year ended December 31, 2018, we determined that our intellectual property operating segment will no longer be an area of focus for us and, as such, will no longer be reflected as a separate operating segment, as it is not expected to generate any material revenues or operating costs.</w:t>
      </w:r>
    </w:p>
    <w:p>
      <w:pPr>
        <w:spacing w:after="0" w:line="16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In October 2017, we completed the sale of FLI Charge, Inc. (“FLI Charge”) and in March 2018, we completed the sale of Group Mobile Int’l LLC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2018, and FLI Charge and Group Mobile as of December 31, 2017, are presented in the consolidated balance sheets as assets held for disposal and liabilities held for disposal,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right="240"/>
        <w:spacing w:after="0" w:line="231"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780 Third Avenue,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10017.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We also operate the website</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by reference of the information contained on the website.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20" w:top="1440" w:right="47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w:t>
      </w:r>
      <w:hyperlink r:id="rId37">
        <w:r>
          <w:rPr>
            <w:rFonts w:ascii="Arial" w:cs="Arial" w:eastAsia="Arial" w:hAnsi="Arial"/>
            <w:sz w:val="17"/>
            <w:szCs w:val="17"/>
            <w:u w:val="single" w:color="auto"/>
            <w:color w:val="0000EE"/>
          </w:rPr>
          <w:t>most recent annual report on Form 10-K</w:t>
        </w:r>
      </w:hyperlink>
      <w:r>
        <w:rPr>
          <w:rFonts w:ascii="Arial" w:cs="Arial" w:eastAsia="Arial" w:hAnsi="Arial"/>
          <w:sz w:val="17"/>
          <w:szCs w:val="17"/>
          <w:color w:val="auto"/>
        </w:rPr>
        <w:t xml:space="preserve">, as revised or supplemented by our subsequent </w:t>
      </w:r>
      <w:hyperlink r:id="rId60">
        <w:r>
          <w:rPr>
            <w:rFonts w:ascii="Arial" w:cs="Arial" w:eastAsia="Arial" w:hAnsi="Arial"/>
            <w:sz w:val="17"/>
            <w:szCs w:val="17"/>
            <w:u w:val="single" w:color="auto"/>
            <w:color w:val="0000EE"/>
          </w:rPr>
          <w:t>quarterly reports on 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or our </w:t>
      </w:r>
      <w:hyperlink r:id="rId61">
        <w:r>
          <w:rPr>
            <w:rFonts w:ascii="Arial" w:cs="Arial" w:eastAsia="Arial" w:hAnsi="Arial"/>
            <w:sz w:val="17"/>
            <w:szCs w:val="17"/>
            <w:u w:val="single" w:color="auto"/>
            <w:color w:val="0000EE"/>
          </w:rPr>
          <w:t>current reports on Form 8-K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7"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7" w:name="page38"/>
    <w:bookmarkEnd w:id="37"/>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This prospectus and the documents incorporated by reference in this prospectus include forward-looking statements within the meaning of Section 27A of the Securities Act and Section 21E of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w:t>
      </w:r>
      <w:hyperlink r:id="rId37">
        <w:r>
          <w:rPr>
            <w:rFonts w:ascii="Arial" w:cs="Arial" w:eastAsia="Arial" w:hAnsi="Arial"/>
            <w:sz w:val="17"/>
            <w:szCs w:val="17"/>
            <w:u w:val="single" w:color="auto"/>
            <w:color w:val="0000EE"/>
          </w:rPr>
          <w:t>Annual Report on Form 10-K for the fiscal year ended December 31, 2018</w:t>
        </w:r>
      </w:hyperlink>
      <w:r>
        <w:rPr>
          <w:rFonts w:ascii="Arial" w:cs="Arial" w:eastAsia="Arial" w:hAnsi="Arial"/>
          <w:sz w:val="17"/>
          <w:szCs w:val="17"/>
          <w:color w:val="auto"/>
        </w:rPr>
        <w:t>, entitled “Business,” “Risk Factors,” and “Management’s Discussion and Analysis of Financial Condition and Results of Operations,” as well as other sections in this prospectus and the documents or reports incorporated by reference in this prospectus, discuss some of the factors that could contribute to these differences. These forward-looking statements include, among other things, statements about: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performance by our Airport Concession Disadvantaged Business Enterprise partners on obligations set forth in our joint venture agreements;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the recently passed federal tax reform bill;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120" w:right="439" w:bottom="1440" w:gutter="0" w:footer="0" w:header="0"/>
        </w:sectPr>
      </w:pPr>
    </w:p>
    <w:bookmarkStart w:id="38" w:name="page39"/>
    <w:bookmarkEnd w:id="38"/>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loss of, or an adverse change with regard to, one or more of our significant suppliers, distributors, vendors or other business relationships;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changes in such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25" w:lineRule="exact"/>
        <w:rPr>
          <w:sz w:val="20"/>
          <w:szCs w:val="20"/>
          <w:color w:val="auto"/>
        </w:rPr>
      </w:pPr>
    </w:p>
    <w:p>
      <w:pPr>
        <w:spacing w:after="0" w:line="269" w:lineRule="auto"/>
        <w:rPr>
          <w:rFonts w:ascii="Arial" w:cs="Arial" w:eastAsia="Arial" w:hAnsi="Arial"/>
          <w:sz w:val="17"/>
          <w:szCs w:val="17"/>
          <w:color w:val="0000EE"/>
        </w:rPr>
      </w:pPr>
      <w:r>
        <w:rPr>
          <w:rFonts w:ascii="Arial" w:cs="Arial" w:eastAsia="Arial" w:hAnsi="Arial"/>
          <w:sz w:val="17"/>
          <w:szCs w:val="17"/>
          <w:color w:val="auto"/>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or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w:t>
      </w:r>
      <w:hyperlink r:id="rId37">
        <w:r>
          <w:rPr>
            <w:rFonts w:ascii="Arial" w:cs="Arial" w:eastAsia="Arial" w:hAnsi="Arial"/>
            <w:sz w:val="17"/>
            <w:szCs w:val="17"/>
            <w:color w:val="auto"/>
          </w:rPr>
          <w:t xml:space="preserve">discussion of risks and uncertainties under “Risk Factors” contained in any supplements to this prospectus and in our </w:t>
        </w:r>
        <w:r>
          <w:rPr>
            <w:rFonts w:ascii="Arial" w:cs="Arial" w:eastAsia="Arial" w:hAnsi="Arial"/>
            <w:sz w:val="17"/>
            <w:szCs w:val="17"/>
            <w:u w:val="single" w:color="auto"/>
            <w:color w:val="0000EE"/>
          </w:rPr>
          <w:t>most recent annual report on Form</w:t>
        </w:r>
      </w:hyperlink>
      <w:r>
        <w:rPr>
          <w:rFonts w:ascii="Arial" w:cs="Arial" w:eastAsia="Arial" w:hAnsi="Arial"/>
          <w:sz w:val="17"/>
          <w:szCs w:val="17"/>
          <w:color w:val="auto"/>
        </w:rPr>
        <w:t xml:space="preserve"> </w:t>
      </w:r>
      <w:hyperlink r:id="rId37">
        <w:r>
          <w:rPr>
            <w:rFonts w:ascii="Arial" w:cs="Arial" w:eastAsia="Arial" w:hAnsi="Arial"/>
            <w:sz w:val="17"/>
            <w:szCs w:val="17"/>
            <w:u w:val="single" w:color="auto"/>
            <w:color w:val="0000EE"/>
          </w:rPr>
          <w:t>10-K</w:t>
        </w:r>
        <w:r>
          <w:rPr>
            <w:rFonts w:ascii="Arial" w:cs="Arial" w:eastAsia="Arial" w:hAnsi="Arial"/>
            <w:sz w:val="17"/>
            <w:szCs w:val="17"/>
            <w:color w:val="000000"/>
          </w:rPr>
          <w:t>, as revised or supplemented by our subsequent</w:t>
        </w:r>
        <w:r>
          <w:rPr>
            <w:rFonts w:ascii="Arial" w:cs="Arial" w:eastAsia="Arial" w:hAnsi="Arial"/>
            <w:sz w:val="17"/>
            <w:szCs w:val="17"/>
            <w:color w:val="0000EE"/>
          </w:rPr>
          <w:t xml:space="preserve"> </w:t>
        </w:r>
      </w:hyperlink>
      <w:hyperlink r:id="rId60">
        <w:r>
          <w:rPr>
            <w:rFonts w:ascii="Arial" w:cs="Arial" w:eastAsia="Arial" w:hAnsi="Arial"/>
            <w:sz w:val="17"/>
            <w:szCs w:val="17"/>
            <w:u w:val="single" w:color="auto"/>
            <w:color w:val="0000EE"/>
          </w:rPr>
          <w:t xml:space="preserve">quarterly reports on Form 10-Q </w:t>
        </w:r>
      </w:hyperlink>
      <w:hyperlink r:id="rId37">
        <w:r>
          <w:rPr>
            <w:rFonts w:ascii="Arial" w:cs="Arial" w:eastAsia="Arial" w:hAnsi="Arial"/>
            <w:sz w:val="17"/>
            <w:szCs w:val="17"/>
            <w:color w:val="000000"/>
          </w:rPr>
          <w:t>or our</w:t>
        </w:r>
        <w:r>
          <w:rPr>
            <w:rFonts w:ascii="Arial" w:cs="Arial" w:eastAsia="Arial" w:hAnsi="Arial"/>
            <w:sz w:val="17"/>
            <w:szCs w:val="17"/>
            <w:color w:val="0000EE"/>
          </w:rPr>
          <w:t xml:space="preserve"> </w:t>
        </w:r>
      </w:hyperlink>
      <w:hyperlink r:id="rId61">
        <w:r>
          <w:rPr>
            <w:rFonts w:ascii="Arial" w:cs="Arial" w:eastAsia="Arial" w:hAnsi="Arial"/>
            <w:sz w:val="17"/>
            <w:szCs w:val="17"/>
            <w:u w:val="single" w:color="auto"/>
            <w:color w:val="0000EE"/>
          </w:rPr>
          <w:t>current reports on Form 8-K</w:t>
        </w:r>
      </w:hyperlink>
      <w:hyperlink r:id="rId37">
        <w:r>
          <w:rPr>
            <w:rFonts w:ascii="Arial" w:cs="Arial" w:eastAsia="Arial" w:hAnsi="Arial"/>
            <w:sz w:val="17"/>
            <w:szCs w:val="17"/>
            <w:color w:val="000000"/>
          </w:rPr>
          <w:t>, as well as any amendments</w:t>
        </w:r>
      </w:hyperlink>
      <w:r>
        <w:rPr>
          <w:rFonts w:ascii="Arial" w:cs="Arial" w:eastAsia="Arial" w:hAnsi="Arial"/>
          <w:sz w:val="17"/>
          <w:szCs w:val="17"/>
          <w:color w:val="0000EE"/>
        </w:rPr>
        <w:t xml:space="preserve"> </w:t>
      </w:r>
      <w:r>
        <w:rPr>
          <w:rFonts w:ascii="Arial" w:cs="Arial" w:eastAsia="Arial" w:hAnsi="Arial"/>
          <w:sz w:val="17"/>
          <w:szCs w:val="17"/>
          <w:color w:val="000000"/>
        </w:rPr>
        <w:t>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5" w:lineRule="exact"/>
        <w:rPr>
          <w:rFonts w:ascii="Arial" w:cs="Arial" w:eastAsia="Arial" w:hAnsi="Arial"/>
          <w:sz w:val="17"/>
          <w:szCs w:val="17"/>
          <w:color w:val="0000EE"/>
        </w:rPr>
      </w:pPr>
    </w:p>
    <w:p>
      <w:pPr>
        <w:ind w:right="180"/>
        <w:spacing w:after="0" w:line="273" w:lineRule="auto"/>
        <w:rPr>
          <w:sz w:val="20"/>
          <w:szCs w:val="20"/>
          <w:color w:val="auto"/>
        </w:rPr>
      </w:pPr>
      <w:r>
        <w:rPr>
          <w:rFonts w:ascii="Arial" w:cs="Arial" w:eastAsia="Arial" w:hAnsi="Arial"/>
          <w:sz w:val="17"/>
          <w:szCs w:val="17"/>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rFonts w:ascii="Arial" w:cs="Arial" w:eastAsia="Arial" w:hAnsi="Arial"/>
          <w:sz w:val="17"/>
          <w:szCs w:val="17"/>
          <w:color w:val="0000EE"/>
        </w:rPr>
      </w:pPr>
    </w:p>
    <w:p>
      <w:pPr>
        <w:spacing w:after="0" w:line="200" w:lineRule="exact"/>
        <w:rPr>
          <w:rFonts w:ascii="Arial" w:cs="Arial" w:eastAsia="Arial" w:hAnsi="Arial"/>
          <w:sz w:val="17"/>
          <w:szCs w:val="17"/>
          <w:color w:val="0000EE"/>
        </w:rPr>
      </w:pPr>
    </w:p>
    <w:p>
      <w:pPr>
        <w:spacing w:after="0" w:line="210" w:lineRule="exact"/>
        <w:rPr>
          <w:rFonts w:ascii="Arial" w:cs="Arial" w:eastAsia="Arial" w:hAnsi="Arial"/>
          <w:sz w:val="17"/>
          <w:szCs w:val="17"/>
          <w:color w:val="0000EE"/>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9" w:name="page40"/>
    <w:bookmarkEnd w:id="39"/>
    <w:p>
      <w:pPr>
        <w:jc w:val="center"/>
        <w:ind w:right="-25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time debt securities are offered pursuant to this prospectus, we will provide a table setting forth our ratio of earnings to fixed charges on a historical basis in the applicable prospectus supplement, if required.</w:t>
      </w:r>
    </w:p>
    <w:p>
      <w:pPr>
        <w:spacing w:after="0" w:line="3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Unless otherwise indicated in the applicable prospectus supplement, we intend to use any net proceeds from the sale of securities under this prospectus for our operations and for other general corporate purposes, including, but not limited to, general working capital.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1" w:name="page42"/>
    <w:bookmarkEnd w:id="41"/>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6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may directly solicit offers to purchase the securities being offered by this prospectus. 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42" w:name="page43"/>
    <w:bookmarkEnd w:id="42"/>
    <w:p>
      <w:pPr>
        <w:ind w:right="60"/>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95" w:lineRule="exact"/>
        <w:rPr>
          <w:sz w:val="20"/>
          <w:szCs w:val="20"/>
          <w:color w:val="auto"/>
        </w:rPr>
      </w:pPr>
    </w:p>
    <w:p>
      <w:pPr>
        <w:ind w:left="660" w:right="4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70"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8"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6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dealers and agents may engage in other transactions with us, or perform other services for us, in the ordinary course of their business.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authorized to issue 150,000,000 shares of common stock, par value $0.01 per share. As of July 12, 2019, we had 2,916,477 shares of common stock outstanding and approximately 49 stockholders of record.</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summary of certain provisions of our common stock does not purport to be complete. You should refer to the section of this prospectus entitled “Certain Provisions of Delaware Law and of the Company’s Certificate of Incorporation and Bylaws” and our amended and restated certificate of incorporation, as amended, and our amended and restated bylaws, both of which are included as exhibits to the registration statement of which this prospectus is a part. The summary below is also qualified by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then outstanding series of preferred stock. All shares of common stock outstanding as of the date of this prospectus and, upon issuance and sale, all shares of common stock that we may offer pursuant to this prospectus, will be fully paid and nonassessable.</w:t>
      </w:r>
    </w:p>
    <w:p>
      <w:pPr>
        <w:spacing w:after="0" w:line="16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our net assets available for distribution to stockholders after the payment of all debts and other liabilities and subject to any preferential rights of any then outstanding series of preferred stock. Holders of common stock have no preemptive, subscription, redemption or conversion rights. There are no redemption or sinking fund provisions applicable to the common stock. The voting, dividend and liquidation rights of holders of common stock are subject to and may be adversely affected by the rights of the holders of shares of our existing series of preferred stock or any series of preferred stock that we may designate and issue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with offices at 6201 15th Avenue, Brooklyn, New York 11219.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for quotation on The Nasdaq Capital Market under the symbol “XSPA.”</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description of preferred stock and the description of the terms of any particular series of preferred stock that we choose to issue hereunder are not complete. These descriptions are qualified in their entirety by reference to our amended and restated certificate of incorporation and the certificate of designation relating to any series of preferred stock issued by us. The powers, preferences, rights and restrictions of the preferred stock of each series will be fixed by the certificate of designation relating to that series.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certificate of incorporation, as amended, authorizes us to issue 5,000,000 shares of preferred stock. As of July 12, 2019, we had:</w:t>
      </w:r>
    </w:p>
    <w:p>
      <w:pPr>
        <w:spacing w:after="0" w:line="24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designated and issued 6,968 shares of our preferred stock as “Series A Convertible Preferred Stock” with no shares outstanding;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designated and issued 300,000 shares of our preferred stock as “Series C Junior Preferred Stock” with no shares outstanding;</w:t>
      </w:r>
    </w:p>
    <w:p>
      <w:pPr>
        <w:spacing w:after="0" w:line="225"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designated 500,000 shares of our preferred stock as “Series D Convertible Preferred Stock,” issued 23,760 shares of Series D Convertible Preferred Stock with 21,027 shares outstanding;</w:t>
      </w:r>
    </w:p>
    <w:p>
      <w:pPr>
        <w:spacing w:after="0" w:line="170"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designated 2,397,060 shares of our preferred stock as “Series E Convertible Preferred Stock,” issued 48,387 shares of Series E Convertible Preferred Stock with 48,387 shares outstanding;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designated and issued 9,000 shares of our preferred stock as “Series F Convertible Preferred Stock” with 9,000 shares outstanding.</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board of directors has the authority, without further action by the stockholders, to issue up to an additional 1,786,972 shares of preferred stock in one or more series and to fix the rights, preferences, privileges and restrictions granted to or imposed upon the preferred stock. Any or all of these rights may be greater than the rights of our common stock.</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without stockholder approval, can issue preferred stock with voting, conversion or other rights that could negatively affect the voting power and other rights of the holders of our common stock. Preferred stock could thus be issued quickly with terms calculated to delay or prevent a change in control of the Company or make it more difficult to remove our management. Additionally, the issuance of preferred stock may have the effect of decreasing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Our board of directors may specify the following characteristics of any preferred stock:</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maximum number of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designation of the shares;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annual dividend rate, if any, whether the dividend rate is fixed or variable, the date or dates on which dividends will accrue, the dividend payment dates, and whether dividends will be cumulative;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and the terms and conditions for redemption, if any, including redemption at our option or at the option of the holders, including the time period for redemption, and any accumulated dividends or premiums;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liquidation preference, if any, and any accumulated dividends upon the liquidation, dissolution or winding up of our affairs;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sinking fund or similar provision, and, if so, the terms and provisions relating to the purpose and operation of the fund;</w:t>
      </w:r>
    </w:p>
    <w:p>
      <w:pPr>
        <w:spacing w:after="0" w:line="225"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voting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or all other preferences and relative, participating, optional or other special rights, privileges or qualifications, limitations or restrictions;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preferred stock issued will be fully paid and nonassessable upon issuance.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preferred stock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95"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47" w:name="page48"/>
    <w:bookmarkEnd w:id="47"/>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8" w:name="page49"/>
    <w:bookmarkEnd w:id="48"/>
    <w:p>
      <w:pPr>
        <w:ind w:right="60"/>
        <w:spacing w:after="0" w:line="30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5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6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9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ind w:left="660" w:right="28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will periodically file statements with the applicable debenture trustee regarding our compliance with specified covenants in the applicable indenture.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debenture trustee and we may change the applicable indenture without the consent of any holders with respect to specific matters, including:</w:t>
      </w:r>
    </w:p>
    <w:p>
      <w:pPr>
        <w:spacing w:after="0" w:line="237" w:lineRule="exact"/>
        <w:rPr>
          <w:sz w:val="20"/>
          <w:szCs w:val="20"/>
          <w:color w:val="auto"/>
        </w:rPr>
      </w:pPr>
    </w:p>
    <w:p>
      <w:pPr>
        <w:ind w:left="580" w:hanging="248"/>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580" w:right="520" w:hanging="248"/>
        <w:spacing w:after="0" w:line="277"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5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holders of a majority in principal amount of the outstanding debt securities of any series may rescind an acceleration and its consequences, including any related payment default that resulted from the acceleration.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right="80"/>
        <w:spacing w:after="0" w:line="277" w:lineRule="auto"/>
        <w:rPr>
          <w:sz w:val="20"/>
          <w:szCs w:val="20"/>
          <w:color w:val="auto"/>
        </w:rPr>
      </w:pPr>
      <w:r>
        <w:rPr>
          <w:rFonts w:ascii="Arial" w:cs="Arial" w:eastAsia="Arial" w:hAnsi="Arial"/>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660" w:right="2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3"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51" w:name="page52"/>
    <w:bookmarkEnd w:id="51"/>
    <w:p>
      <w:pPr>
        <w:ind w:right="20"/>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jc w:val="both"/>
        <w:ind w:left="660" w:right="34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if any,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We will provide in a prospectus supplement the following terms of the rights being issued:</w:t>
      </w:r>
    </w:p>
    <w:p>
      <w:pPr>
        <w:spacing w:after="0" w:line="179"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4" w:name="page55"/>
    <w:bookmarkEnd w:id="54"/>
    <w:p>
      <w:pPr>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the unit agent, if any,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left="380"/>
        <w:spacing w:after="0"/>
        <w:rPr>
          <w:sz w:val="20"/>
          <w:szCs w:val="20"/>
          <w:color w:val="auto"/>
        </w:rPr>
      </w:pPr>
      <w:r>
        <w:rPr>
          <w:rFonts w:ascii="Arial" w:cs="Arial" w:eastAsia="Arial" w:hAnsi="Arial"/>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Documents</w:t>
      </w:r>
    </w:p>
    <w:p>
      <w:pPr>
        <w:spacing w:after="0" w:line="225"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Our amended and restated certificate of incorporation provides that amendments by our stockholders of our amended and restated bylaws require the approval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voting power of all outstanding stock. These provisions could discourage a potential acquirer from making a tender offer or otherwise attempting to obtain control of the Company and could delay changes in management.</w:t>
      </w:r>
    </w:p>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Our amended and restated bylaws provide that a special meeting of stockholders may be called at any time by our board of directors. Because our stockholders do not have the right to call a special meeting, a stockholder cannot force stockholder consideration of a proposal over the opposition of our board of directors by calling a special meeting of stockholders prior to such time as a majority of our board of directors believes the matter should be considered and such stockholder would only be able to force consideration of such proposal at the next annual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requestor met the applicable notice requirements. The restriction on the ability of our stockholders to call a special meeting means that a proposal to replace one or more directors on our board of directors also could be delayed until the next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8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are required to indemnify our directors and officers, in each case to the fullest extent permitted by Delaware law. The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7" w:name="page58"/>
    <w:bookmarkEnd w:id="57"/>
    <w:p>
      <w:pPr>
        <w:spacing w:after="0" w:line="291" w:lineRule="auto"/>
        <w:rPr>
          <w:sz w:val="20"/>
          <w:szCs w:val="20"/>
          <w:color w:val="auto"/>
        </w:rPr>
      </w:pPr>
      <w:r>
        <w:rPr>
          <w:rFonts w:ascii="Arial" w:cs="Arial" w:eastAsia="Arial" w:hAnsi="Arial"/>
          <w:sz w:val="16"/>
          <w:szCs w:val="16"/>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brought against them by reason of the fact that they are or were our agents. We believe that these provisions in our amended and restated certificate of incorporation and amended and restated bylaws and indemnification agreements are necessary to attract and retain qualified directors and officers. We also maintain directors’ and officers’ liability insurance. This description of the limitation of liability and indemnification provisions of our amended and restated certificate of incorporation, amended and restated bylaws and indemnification agreements is qualified in its entirety by reference to these documents.</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Mintz, Levin, Cohn, Ferris, Glovsky and Popeo, P.C., New York, New York, will pass upon the validity of the issuance of the securities to be offered by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spacing w:after="0" w:line="279" w:lineRule="auto"/>
        <w:rPr>
          <w:rFonts w:ascii="Arial" w:cs="Arial" w:eastAsia="Arial" w:hAnsi="Arial"/>
          <w:sz w:val="17"/>
          <w:szCs w:val="17"/>
          <w:color w:val="0000EE"/>
        </w:rPr>
      </w:pPr>
      <w:hyperlink r:id="rId37">
        <w:r>
          <w:rPr>
            <w:rFonts w:ascii="Arial" w:cs="Arial" w:eastAsia="Arial" w:hAnsi="Arial"/>
            <w:sz w:val="17"/>
            <w:szCs w:val="17"/>
            <w:color w:val="auto"/>
          </w:rPr>
          <w:t xml:space="preserve">CohnReznick LLP, independent registered public accounting firm, has audited our financial statements included in our </w:t>
        </w:r>
        <w:r>
          <w:rPr>
            <w:rFonts w:ascii="Arial" w:cs="Arial" w:eastAsia="Arial" w:hAnsi="Arial"/>
            <w:sz w:val="17"/>
            <w:szCs w:val="17"/>
            <w:u w:val="single" w:color="auto"/>
            <w:color w:val="0000EE"/>
          </w:rPr>
          <w:t>Annual Report on Form 10-K for</w:t>
        </w:r>
      </w:hyperlink>
      <w:r>
        <w:rPr>
          <w:rFonts w:ascii="Arial" w:cs="Arial" w:eastAsia="Arial" w:hAnsi="Arial"/>
          <w:sz w:val="17"/>
          <w:szCs w:val="17"/>
          <w:color w:val="auto"/>
        </w:rPr>
        <w:t xml:space="preserve"> </w:t>
      </w:r>
      <w:hyperlink r:id="rId37">
        <w:r>
          <w:rPr>
            <w:rFonts w:ascii="Arial" w:cs="Arial" w:eastAsia="Arial" w:hAnsi="Arial"/>
            <w:sz w:val="17"/>
            <w:szCs w:val="17"/>
            <w:u w:val="single" w:color="auto"/>
            <w:color w:val="0000EE"/>
          </w:rPr>
          <w:t>the year ended December 31, 2018</w:t>
        </w:r>
        <w:r>
          <w:rPr>
            <w:rFonts w:ascii="Arial" w:cs="Arial" w:eastAsia="Arial" w:hAnsi="Arial"/>
            <w:sz w:val="17"/>
            <w:szCs w:val="17"/>
            <w:color w:val="000000"/>
          </w:rPr>
          <w:t xml:space="preserve">, as set forth in their report (which includes an explanatory paragraph referring to the Company’s ability to continue as </w:t>
        </w:r>
      </w:hyperlink>
      <w:r>
        <w:rPr>
          <w:rFonts w:ascii="Arial" w:cs="Arial" w:eastAsia="Arial" w:hAnsi="Arial"/>
          <w:sz w:val="17"/>
          <w:szCs w:val="17"/>
          <w:color w:val="0000EE"/>
        </w:rPr>
        <w:t xml:space="preserve">a </w:t>
      </w:r>
      <w:r>
        <w:rPr>
          <w:rFonts w:ascii="Arial" w:cs="Arial" w:eastAsia="Arial" w:hAnsi="Arial"/>
          <w:sz w:val="17"/>
          <w:szCs w:val="17"/>
          <w:color w:val="000000"/>
        </w:rPr>
        <w:t>going concern), which is incorporated by reference in this prospectus and elsewhere in this Registration Statement. Our financial statements are incorporated by reference in reliance on CohnReznick LLP’s report, given on their authority as experts in accounting and auditing.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are a public company and file annual, quarterly and current reports, proxy statements and other information with the SEC. You may read and copy any document we file at the SEC’s Public Reference Room at Station Place, 100 F Street, N.E., Washington, D.C. 20549. You can request copies of these documents by writing to the SEC and paying a fee for the copying cost. Please call the SEC at 1-800-SEC-0330 for more information about the operation of the Public Reference Room. Our SEC filings are also available to the public at the SEC’s web site at http://www.sec.gov, and on our web site at http://www.xpresspa.com. The information contained on our web site is not included or incorporated by reference into this prospectus. In addition, our common stock is listed for trading on The Nasdaq Capital Market under the symbol “XSPA.” You can read and copy reports and other information concerning us at the offices of the Financial Industry Reporting Authority located at 1735 K Street, N.W., Washington, D.C. 20006.</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w:t>
      </w:r>
    </w:p>
    <w:p>
      <w:pPr>
        <w:spacing w:after="0" w:line="187" w:lineRule="exact"/>
        <w:rPr>
          <w:sz w:val="20"/>
          <w:szCs w:val="20"/>
          <w:color w:val="auto"/>
        </w:rPr>
      </w:pPr>
    </w:p>
    <w:p>
      <w:pPr>
        <w:ind w:left="800" w:hanging="333"/>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inspect a copy of the Registration Statement, including the exhibits and schedules, without charge at the Public Reference Room,</w:t>
      </w:r>
    </w:p>
    <w:p>
      <w:pPr>
        <w:spacing w:after="0" w:line="225" w:lineRule="exact"/>
        <w:rPr>
          <w:rFonts w:ascii="Arial" w:cs="Arial" w:eastAsia="Arial" w:hAnsi="Arial"/>
          <w:sz w:val="18"/>
          <w:szCs w:val="18"/>
          <w:color w:val="auto"/>
        </w:rPr>
      </w:pPr>
    </w:p>
    <w:p>
      <w:pPr>
        <w:ind w:left="800" w:hanging="333"/>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 copy from the SEC upon payment of the fees prescribed by the SEC, or</w:t>
      </w:r>
    </w:p>
    <w:p>
      <w:pPr>
        <w:spacing w:after="0" w:line="225" w:lineRule="exact"/>
        <w:rPr>
          <w:rFonts w:ascii="Arial" w:cs="Arial" w:eastAsia="Arial" w:hAnsi="Arial"/>
          <w:sz w:val="18"/>
          <w:szCs w:val="18"/>
          <w:color w:val="auto"/>
        </w:rPr>
      </w:pPr>
    </w:p>
    <w:p>
      <w:pPr>
        <w:ind w:left="800" w:hanging="333"/>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 copy from the SEC’s web site or our web site.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66" w:lineRule="exact"/>
        <w:rPr>
          <w:sz w:val="20"/>
          <w:szCs w:val="20"/>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0000EE"/>
        </w:rPr>
      </w:pPr>
      <w:hyperlink r:id="rId84">
        <w:r>
          <w:rPr>
            <w:rFonts w:ascii="Arial" w:cs="Arial" w:eastAsia="Arial" w:hAnsi="Arial"/>
            <w:sz w:val="18"/>
            <w:szCs w:val="18"/>
            <w:u w:val="single" w:color="auto"/>
            <w:color w:val="0000EE"/>
          </w:rPr>
          <w:t>Our Annual Report on Form 10-K for the year ended December 31, 2018, filed on April 1, 2019</w:t>
        </w:r>
        <w:r>
          <w:rPr>
            <w:rFonts w:ascii="Arial" w:cs="Arial" w:eastAsia="Arial" w:hAnsi="Arial"/>
            <w:sz w:val="18"/>
            <w:szCs w:val="18"/>
            <w:color w:val="000000"/>
          </w:rPr>
          <w:t>, as</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amended on April 30, 2019 (File No. 001-</w:t>
        </w:r>
      </w:hyperlink>
      <w:hyperlink r:id="rId84">
        <w:r>
          <w:rPr>
            <w:rFonts w:ascii="Arial" w:cs="Arial" w:eastAsia="Arial" w:hAnsi="Arial"/>
            <w:sz w:val="18"/>
            <w:szCs w:val="18"/>
            <w:u w:val="single" w:color="auto"/>
            <w:color w:val="0000EE"/>
          </w:rPr>
          <w:t>34785)</w:t>
        </w:r>
        <w:r>
          <w:rPr>
            <w:rFonts w:ascii="Arial" w:cs="Arial" w:eastAsia="Arial" w:hAnsi="Arial"/>
            <w:sz w:val="18"/>
            <w:szCs w:val="18"/>
            <w:color w:val="000000"/>
          </w:rPr>
          <w:t>;</w:t>
        </w:r>
      </w:hyperlink>
    </w:p>
    <w:p>
      <w:pPr>
        <w:spacing w:after="0" w:line="386"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660" w:right="20" w:hanging="328"/>
        <w:spacing w:after="0" w:line="263" w:lineRule="auto"/>
        <w:tabs>
          <w:tab w:leader="none" w:pos="660" w:val="left"/>
        </w:tabs>
        <w:numPr>
          <w:ilvl w:val="0"/>
          <w:numId w:val="32"/>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86">
        <w:r>
          <w:rPr>
            <w:rFonts w:ascii="Arial" w:cs="Arial" w:eastAsia="Arial" w:hAnsi="Arial"/>
            <w:sz w:val="18"/>
            <w:szCs w:val="18"/>
            <w:u w:val="single" w:color="auto"/>
            <w:color w:val="0000EE"/>
          </w:rPr>
          <w:t>February 13, 2019</w:t>
        </w:r>
      </w:hyperlink>
      <w:r>
        <w:rPr>
          <w:rFonts w:ascii="Arial" w:cs="Arial" w:eastAsia="Arial" w:hAnsi="Arial"/>
          <w:sz w:val="18"/>
          <w:szCs w:val="18"/>
          <w:color w:val="auto"/>
        </w:rPr>
        <w:t xml:space="preserve">, </w:t>
      </w:r>
      <w:hyperlink r:id="rId87">
        <w:r>
          <w:rPr>
            <w:rFonts w:ascii="Arial" w:cs="Arial" w:eastAsia="Arial" w:hAnsi="Arial"/>
            <w:sz w:val="18"/>
            <w:szCs w:val="18"/>
            <w:u w:val="single" w:color="auto"/>
            <w:color w:val="0000EE"/>
          </w:rPr>
          <w:t>February 22, 2019</w:t>
        </w:r>
      </w:hyperlink>
      <w:r>
        <w:rPr>
          <w:rFonts w:ascii="Arial" w:cs="Arial" w:eastAsia="Arial" w:hAnsi="Arial"/>
          <w:sz w:val="18"/>
          <w:szCs w:val="18"/>
          <w:color w:val="auto"/>
        </w:rPr>
        <w:t xml:space="preserve">, </w:t>
      </w:r>
      <w:hyperlink r:id="rId88">
        <w:r>
          <w:rPr>
            <w:rFonts w:ascii="Arial" w:cs="Arial" w:eastAsia="Arial" w:hAnsi="Arial"/>
            <w:sz w:val="18"/>
            <w:szCs w:val="18"/>
            <w:u w:val="single" w:color="auto"/>
            <w:color w:val="0000EE"/>
          </w:rPr>
          <w:t>March 15, 2019</w:t>
        </w:r>
      </w:hyperlink>
      <w:r>
        <w:rPr>
          <w:rFonts w:ascii="Arial" w:cs="Arial" w:eastAsia="Arial" w:hAnsi="Arial"/>
          <w:sz w:val="18"/>
          <w:szCs w:val="18"/>
          <w:color w:val="auto"/>
        </w:rPr>
        <w:t xml:space="preserve">, </w:t>
      </w:r>
      <w:hyperlink r:id="rId89">
        <w:r>
          <w:rPr>
            <w:rFonts w:ascii="Arial" w:cs="Arial" w:eastAsia="Arial" w:hAnsi="Arial"/>
            <w:sz w:val="18"/>
            <w:szCs w:val="18"/>
            <w:u w:val="single" w:color="auto"/>
            <w:color w:val="0000EE"/>
          </w:rPr>
          <w:t>March 22, 2019</w:t>
        </w:r>
      </w:hyperlink>
      <w:r>
        <w:rPr>
          <w:rFonts w:ascii="Arial" w:cs="Arial" w:eastAsia="Arial" w:hAnsi="Arial"/>
          <w:sz w:val="18"/>
          <w:szCs w:val="18"/>
          <w:color w:val="auto"/>
        </w:rPr>
        <w:t xml:space="preserve">, </w:t>
      </w:r>
      <w:hyperlink r:id="rId90">
        <w:r>
          <w:rPr>
            <w:rFonts w:ascii="Arial" w:cs="Arial" w:eastAsia="Arial" w:hAnsi="Arial"/>
            <w:sz w:val="18"/>
            <w:szCs w:val="18"/>
            <w:u w:val="single" w:color="auto"/>
            <w:color w:val="0000EE"/>
          </w:rPr>
          <w:t>April 30, 2019</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EE"/>
          </w:rPr>
          <w:t>May 17,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92">
        <w:r>
          <w:rPr>
            <w:rFonts w:ascii="Arial" w:cs="Arial" w:eastAsia="Arial" w:hAnsi="Arial"/>
            <w:sz w:val="18"/>
            <w:szCs w:val="18"/>
            <w:u w:val="single" w:color="auto"/>
            <w:color w:val="0000EE"/>
          </w:rPr>
          <w:t>June 17,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93">
        <w:r>
          <w:rPr>
            <w:rFonts w:ascii="Arial" w:cs="Arial" w:eastAsia="Arial" w:hAnsi="Arial"/>
            <w:sz w:val="18"/>
            <w:szCs w:val="18"/>
            <w:u w:val="single" w:color="auto"/>
            <w:color w:val="0000EE"/>
          </w:rPr>
          <w:t xml:space="preserve">June 27,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94">
        <w:r>
          <w:rPr>
            <w:rFonts w:ascii="Arial" w:cs="Arial" w:eastAsia="Arial" w:hAnsi="Arial"/>
            <w:sz w:val="18"/>
            <w:szCs w:val="18"/>
            <w:u w:val="single" w:color="auto"/>
            <w:color w:val="0000EE"/>
          </w:rPr>
          <w:t xml:space="preserve">July 8, 2019 </w:t>
        </w:r>
      </w:hyperlink>
      <w:r>
        <w:rPr>
          <w:rFonts w:ascii="Arial" w:cs="Arial" w:eastAsia="Arial" w:hAnsi="Arial"/>
          <w:sz w:val="18"/>
          <w:szCs w:val="18"/>
          <w:color w:val="000000"/>
        </w:rPr>
        <w:t>(except</w:t>
      </w:r>
      <w:r>
        <w:rPr>
          <w:rFonts w:ascii="Arial" w:cs="Arial" w:eastAsia="Arial" w:hAnsi="Arial"/>
          <w:sz w:val="18"/>
          <w:szCs w:val="18"/>
          <w:color w:val="0000EE"/>
        </w:rPr>
        <w:t xml:space="preserve"> </w:t>
      </w:r>
      <w:r>
        <w:rPr>
          <w:rFonts w:ascii="Arial" w:cs="Arial" w:eastAsia="Arial" w:hAnsi="Arial"/>
          <w:sz w:val="18"/>
          <w:szCs w:val="18"/>
          <w:color w:val="000000"/>
        </w:rPr>
        <w:t>for the information furnished under Items 2.02 or 7.01 and the exhibits</w:t>
      </w:r>
      <w:r>
        <w:rPr>
          <w:rFonts w:ascii="Arial" w:cs="Arial" w:eastAsia="Arial" w:hAnsi="Arial"/>
          <w:sz w:val="18"/>
          <w:szCs w:val="18"/>
          <w:color w:val="0000EE"/>
        </w:rPr>
        <w:t xml:space="preserve"> </w:t>
      </w:r>
      <w:r>
        <w:rPr>
          <w:rFonts w:ascii="Arial" w:cs="Arial" w:eastAsia="Arial" w:hAnsi="Arial"/>
          <w:sz w:val="18"/>
          <w:szCs w:val="18"/>
          <w:color w:val="000000"/>
        </w:rPr>
        <w:t>furnished thereto);</w:t>
      </w:r>
    </w:p>
    <w:p>
      <w:pPr>
        <w:spacing w:after="0" w:line="183" w:lineRule="exact"/>
        <w:rPr>
          <w:rFonts w:ascii="Arial" w:cs="Arial" w:eastAsia="Arial" w:hAnsi="Arial"/>
          <w:sz w:val="18"/>
          <w:szCs w:val="18"/>
          <w:color w:val="0000EE"/>
        </w:rPr>
      </w:pPr>
    </w:p>
    <w:p>
      <w:pPr>
        <w:ind w:left="660" w:right="20" w:hanging="328"/>
        <w:spacing w:after="0" w:line="263" w:lineRule="auto"/>
        <w:tabs>
          <w:tab w:leader="none" w:pos="660" w:val="left"/>
        </w:tabs>
        <w:numPr>
          <w:ilvl w:val="0"/>
          <w:numId w:val="32"/>
        </w:numPr>
        <w:rPr>
          <w:rFonts w:ascii="Arial" w:cs="Arial" w:eastAsia="Arial" w:hAnsi="Arial"/>
          <w:sz w:val="18"/>
          <w:szCs w:val="18"/>
          <w:color w:val="0000EE"/>
        </w:rPr>
      </w:pPr>
      <w:hyperlink r:id="rId53">
        <w:r>
          <w:rPr>
            <w:rFonts w:ascii="Arial" w:cs="Arial" w:eastAsia="Arial" w:hAnsi="Arial"/>
            <w:sz w:val="18"/>
            <w:szCs w:val="18"/>
            <w:color w:val="auto"/>
          </w:rPr>
          <w:t xml:space="preserve">The description of our securities contained in our Registration Statement on Form 8-A filed on </w:t>
        </w:r>
        <w:r>
          <w:rPr>
            <w:rFonts w:ascii="Arial" w:cs="Arial" w:eastAsia="Arial" w:hAnsi="Arial"/>
            <w:sz w:val="18"/>
            <w:szCs w:val="18"/>
            <w:u w:val="single" w:color="auto"/>
            <w:color w:val="0000EE"/>
          </w:rPr>
          <w:t>March 21, 2016 (File No. 001-34785)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29,</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2013 (File No. 001-34785)</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95">
        <w:r>
          <w:rPr>
            <w:rFonts w:ascii="Arial" w:cs="Arial" w:eastAsia="Arial" w:hAnsi="Arial"/>
            <w:sz w:val="18"/>
            <w:szCs w:val="18"/>
            <w:u w:val="single" w:color="auto"/>
            <w:color w:val="0000EE"/>
          </w:rPr>
          <w:t>June 16, 2010 (File No. 001-34785)</w:t>
        </w:r>
      </w:hyperlink>
      <w:hyperlink r:id="rId53">
        <w:r>
          <w:rPr>
            <w:rFonts w:ascii="Arial" w:cs="Arial" w:eastAsia="Arial" w:hAnsi="Arial"/>
            <w:sz w:val="18"/>
            <w:szCs w:val="18"/>
            <w:color w:val="000000"/>
          </w:rPr>
          <w:t xml:space="preserve">, pursuant to Section 12(b) of the Exchange Act, and any amendment or </w:t>
        </w:r>
      </w:hyperlink>
      <w:r>
        <w:rPr>
          <w:rFonts w:ascii="Arial" w:cs="Arial" w:eastAsia="Arial" w:hAnsi="Arial"/>
          <w:sz w:val="18"/>
          <w:szCs w:val="18"/>
          <w:color w:val="0000EE"/>
        </w:rPr>
        <w:t xml:space="preserve">report </w:t>
      </w:r>
      <w:r>
        <w:rPr>
          <w:rFonts w:ascii="Arial" w:cs="Arial" w:eastAsia="Arial" w:hAnsi="Arial"/>
          <w:sz w:val="18"/>
          <w:szCs w:val="18"/>
          <w:color w:val="000000"/>
        </w:rPr>
        <w:t>filed with the SEC for purposes of updating such description; and</w:t>
      </w:r>
    </w:p>
    <w:p>
      <w:pPr>
        <w:spacing w:after="0" w:line="183" w:lineRule="exact"/>
        <w:rPr>
          <w:rFonts w:ascii="Arial" w:cs="Arial" w:eastAsia="Arial" w:hAnsi="Arial"/>
          <w:sz w:val="18"/>
          <w:szCs w:val="18"/>
          <w:color w:val="0000EE"/>
        </w:rPr>
      </w:pPr>
    </w:p>
    <w:p>
      <w:pPr>
        <w:ind w:left="660" w:hanging="328"/>
        <w:spacing w:after="0" w:line="286"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65" w:lineRule="exact"/>
        <w:rPr>
          <w:rFonts w:ascii="Arial" w:cs="Arial" w:eastAsia="Arial" w:hAnsi="Arial"/>
          <w:sz w:val="18"/>
          <w:szCs w:val="18"/>
          <w:color w:val="0000EE"/>
        </w:rPr>
      </w:pPr>
    </w:p>
    <w:p>
      <w:pPr>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rFonts w:ascii="Arial" w:cs="Arial" w:eastAsia="Arial" w:hAnsi="Arial"/>
          <w:sz w:val="18"/>
          <w:szCs w:val="18"/>
          <w:color w:val="0000EE"/>
        </w:rPr>
      </w:pPr>
    </w:p>
    <w:p>
      <w:pPr>
        <w:ind w:right="40"/>
        <w:spacing w:after="0" w:line="263" w:lineRule="auto"/>
        <w:rPr>
          <w:sz w:val="20"/>
          <w:szCs w:val="20"/>
          <w:color w:val="auto"/>
        </w:rPr>
      </w:pPr>
      <w:r>
        <w:rPr>
          <w:rFonts w:ascii="Arial" w:cs="Arial" w:eastAsia="Arial" w:hAnsi="Arial"/>
          <w:sz w:val="18"/>
          <w:szCs w:val="18"/>
          <w:color w:val="auto"/>
        </w:rPr>
        <w:t>You may request, orally or in writing, a copy of these documents, which will be provided to you at no cost, by contacting XpresSpa Group, Inc., 780 Third Avenue, 12th Floor, New York, NY 10017 Attention: Investor Relations. The Investor Relations Department can be reached via telephone at (212) 838-3777.</w:t>
      </w:r>
    </w:p>
    <w:p>
      <w:pPr>
        <w:spacing w:after="0" w:line="400"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60" w:name="page61"/>
    <w:bookmarkEnd w:id="60"/>
    <w:p>
      <w:pPr>
        <w:jc w:val="center"/>
        <w:spacing w:after="0"/>
        <w:rPr>
          <w:sz w:val="20"/>
          <w:szCs w:val="20"/>
          <w:color w:val="auto"/>
        </w:rPr>
      </w:pPr>
      <w:r>
        <w:rPr>
          <w:rFonts w:ascii="Arial" w:cs="Arial" w:eastAsia="Arial" w:hAnsi="Arial"/>
          <w:sz w:val="41"/>
          <w:szCs w:val="41"/>
          <w:b w:val="1"/>
          <w:bCs w:val="1"/>
          <w:color w:val="auto"/>
        </w:rPr>
        <w:t>XPRESSPA GROUP, INC.</w:t>
      </w:r>
    </w:p>
    <w:p>
      <w:pPr>
        <w:sectPr>
          <w:pgSz w:w="11900" w:h="16838" w:orient="portrait"/>
          <w:cols w:equalWidth="0" w:num="1">
            <w:col w:w="9019"/>
          </w:cols>
          <w:pgMar w:left="1440" w:top="879" w:right="1440" w:bottom="1440" w:gutter="0" w:footer="0" w:header="0"/>
        </w:sect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7,614,700 Shares of Common Stock</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H.C. Wainwright &amp; Co.</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87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lvl w:ilvl="1">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54" Type="http://schemas.openxmlformats.org/officeDocument/2006/relationships/image" Target="media/image31.png"/><Relationship Id="rId55" Type="http://schemas.openxmlformats.org/officeDocument/2006/relationships/image" Target="media/image32.png"/><Relationship Id="rId56" Type="http://schemas.openxmlformats.org/officeDocument/2006/relationships/image" Target="media/image33.png"/><Relationship Id="rId57" Type="http://schemas.openxmlformats.org/officeDocument/2006/relationships/image" Target="media/image34.png"/><Relationship Id="rId58" Type="http://schemas.openxmlformats.org/officeDocument/2006/relationships/image" Target="media/image35.png"/><Relationship Id="rId59"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5" Type="http://schemas.openxmlformats.org/officeDocument/2006/relationships/image" Target="media/image59.png"/><Relationship Id="rId96" Type="http://schemas.openxmlformats.org/officeDocument/2006/relationships/image" Target="media/image60.png"/><Relationship Id="rId97" Type="http://schemas.openxmlformats.org/officeDocument/2006/relationships/image" Target="media/image61.png"/><Relationship Id="rId37" Type="http://schemas.openxmlformats.org/officeDocument/2006/relationships/hyperlink" Target="http://www.sec.gov/Archives/edgar/data/1410428/000114420419017496/tv516017_10k.htm" TargetMode="External"/><Relationship Id="rId39" Type="http://schemas.openxmlformats.org/officeDocument/2006/relationships/hyperlink" Target="https://www.sec.gov/Archives/edgar/data/1410428/000110465920063789/tm2020063d1_10ka.htm" TargetMode="External"/><Relationship Id="rId40" Type="http://schemas.openxmlformats.org/officeDocument/2006/relationships/hyperlink" Target="https://www.sec.gov/Archives/edgar/data/1410428/000110465920073018/tm2022516d1_10ka.htm" TargetMode="External"/><Relationship Id="rId41" Type="http://schemas.openxmlformats.org/officeDocument/2006/relationships/hyperlink" Target="http://www.sec.gov/Archives/edgar/data/1410428/000110465920000939/tm201126d1_8k.htm" TargetMode="External"/><Relationship Id="rId42" Type="http://schemas.openxmlformats.org/officeDocument/2006/relationships/hyperlink" Target="http://www.sec.gov/Archives/edgar/data/1410428/000110465920003636/tm203197-1_8k.htm" TargetMode="External"/><Relationship Id="rId43" Type="http://schemas.openxmlformats.org/officeDocument/2006/relationships/hyperlink" Target="http://www.sec.gov/Archives/edgar/data/1410428/000110465920009856/tm206420d1_8k.htm" TargetMode="External"/><Relationship Id="rId44" Type="http://schemas.openxmlformats.org/officeDocument/2006/relationships/hyperlink" Target="http://www.sec.gov/Archives/edgar/data/1410428/000110465920029962/tm2011914d1_8k.htm" TargetMode="External"/><Relationship Id="rId45" Type="http://schemas.openxmlformats.org/officeDocument/2006/relationships/hyperlink" Target="http://www.sec.gov/Archives/edgar/data/1410428/000110465920035631/tm2013177d1_8k.htm" TargetMode="External"/><Relationship Id="rId46" Type="http://schemas.openxmlformats.org/officeDocument/2006/relationships/hyperlink" Target="https://www.sec.gov/Archives/edgar/data/1410428/000110465920057642/tm2018713d2_8k.htm" TargetMode="External"/><Relationship Id="rId47" Type="http://schemas.openxmlformats.org/officeDocument/2006/relationships/hyperlink" Target="https://www.sec.gov/Archives/edgar/data/1410428/000110465920059539/tm2019325-1_8k.htm" TargetMode="External"/><Relationship Id="rId48" Type="http://schemas.openxmlformats.org/officeDocument/2006/relationships/hyperlink" Target="https://www.sec.gov/Archives/edgar/data/1410428/000110465920065144/tm2020772d1_8k.htm" TargetMode="External"/><Relationship Id="rId49" Type="http://schemas.openxmlformats.org/officeDocument/2006/relationships/hyperlink" Target="https://www.sec.gov/Archives/edgar/data/1410428/000110465920067377/tm2021289d1_8k.htm" TargetMode="External"/><Relationship Id="rId50" Type="http://schemas.openxmlformats.org/officeDocument/2006/relationships/hyperlink" Target="https://www.sec.gov/Archives/edgar/data/1410428/000110465920069761/tm2021831d1_8k.htm" TargetMode="External"/><Relationship Id="rId51" Type="http://schemas.openxmlformats.org/officeDocument/2006/relationships/hyperlink" Target="https://www.sec.gov/Archives/edgar/data/1410428/000110465920071715/tm2021956d1_8k.htm" TargetMode="External"/><Relationship Id="rId52" Type="http://schemas.openxmlformats.org/officeDocument/2006/relationships/hyperlink" Target="https://www.sec.gov/Archives/edgar/data/1410428/000110465920074007/tm2022774d1_8k.htm" TargetMode="External"/><Relationship Id="rId53" Type="http://schemas.openxmlformats.org/officeDocument/2006/relationships/hyperlink" Target="http://www.sec.gov/Archives/edgar/data/1410428/000114420413024675/v342843_8a12b.htm" TargetMode="External"/><Relationship Id="rId60" Type="http://schemas.openxmlformats.org/officeDocument/2006/relationships/hyperlink" Target="http://www.sec.gov/Archives/edgar/data/1410428/000114420419026665/tv520725_10q.htm" TargetMode="External"/><Relationship Id="rId61" Type="http://schemas.openxmlformats.org/officeDocument/2006/relationships/hyperlink" Target="http://www.sec.gov/Archives/edgar/data/1410428/000114420419034328/tv525020_8k.htm" TargetMode="External"/><Relationship Id="rId84" Type="http://schemas.openxmlformats.org/officeDocument/2006/relationships/hyperlink" Target="http://www.sec.gov/Archives/edgar/data/1410428/000114420419022522/tv519608_10ka.htm" TargetMode="External"/><Relationship Id="rId86" Type="http://schemas.openxmlformats.org/officeDocument/2006/relationships/hyperlink" Target="http://www.sec.gov/Archives/edgar/data/1410428/000114420419007309/tv513163_8k.htm" TargetMode="External"/><Relationship Id="rId87" Type="http://schemas.openxmlformats.org/officeDocument/2006/relationships/hyperlink" Target="http://www.sec.gov/Archives/edgar/data/1410428/000114420419009610/tv514467_8k.htm" TargetMode="External"/><Relationship Id="rId88" Type="http://schemas.openxmlformats.org/officeDocument/2006/relationships/hyperlink" Target="http://www.sec.gov/Archives/edgar/data/1410428/000114420419014325/tv516349_8k.htm" TargetMode="External"/><Relationship Id="rId89" Type="http://schemas.openxmlformats.org/officeDocument/2006/relationships/hyperlink" Target="http://www.sec.gov/Archives/edgar/data/1410428/000114420419015650/tv516755_8k.htm" TargetMode="External"/><Relationship Id="rId90" Type="http://schemas.openxmlformats.org/officeDocument/2006/relationships/hyperlink" Target="http://www.sec.gov/Archives/edgar/data/1410428/000114420419022528/tv520089_8k.htm" TargetMode="External"/><Relationship Id="rId91" Type="http://schemas.openxmlformats.org/officeDocument/2006/relationships/hyperlink" Target="http://www.sec.gov/Archives/edgar/data/1410428/000114420419027101/tv521899_8k.htm" TargetMode="External"/><Relationship Id="rId92" Type="http://schemas.openxmlformats.org/officeDocument/2006/relationships/hyperlink" Target="http://www.sec.gov/Archives/edgar/data/1410428/000114420419031189/tv523626_8k.htm" TargetMode="External"/><Relationship Id="rId93" Type="http://schemas.openxmlformats.org/officeDocument/2006/relationships/hyperlink" Target="http://www.sec.gov/Archives/edgar/data/1410428/000114420419032532/tv524367_8k.htm" TargetMode="External"/><Relationship Id="rId94" Type="http://schemas.openxmlformats.org/officeDocument/2006/relationships/hyperlink" Target="http://www.sec.gov/Archives/edgar/data/1410428/000114420419033939/tv524856_8k.htm" TargetMode="External"/><Relationship Id="rId95" Type="http://schemas.openxmlformats.org/officeDocument/2006/relationships/hyperlink" Target="http://www.sec.gov/Archives/edgar/data/1410428/000119312510140514/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2020-06-18T15:11:45Z</dcterms:created>
  <dcterms:modified xsi:type="dcterms:W3CDTF">2020-06-18T15:11:45Z</dcterms:modified>
</cp:coreProperties>
</file>