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3920" w:right="2100" w:hanging="3791"/>
        <w:spacing w:after="0" w:line="500" w:lineRule="auto"/>
        <w:tabs>
          <w:tab w:leader="none" w:pos="3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40" w:right="1740" w:hanging="3911"/>
        <w:spacing w:after="0" w:line="500" w:lineRule="auto"/>
        <w:tabs>
          <w:tab w:leader="none" w:pos="3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1"/>
              </w:rPr>
              <w:t>Delaware</w:t>
            </w:r>
          </w:p>
        </w:tc>
        <w:tc>
          <w:tcPr>
            <w:tcW w:w="1960" w:type="dxa"/>
            <w:vAlign w:val="bottom"/>
          </w:tcPr>
          <w:p>
            <w:pPr>
              <w:spacing w:after="0"/>
              <w:rPr>
                <w:sz w:val="19"/>
                <w:szCs w:val="19"/>
                <w:color w:val="auto"/>
              </w:rPr>
            </w:pPr>
          </w:p>
        </w:tc>
        <w:tc>
          <w:tcPr>
            <w:tcW w:w="26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20-4988129</w:t>
            </w:r>
          </w:p>
        </w:tc>
        <w:tc>
          <w:tcPr>
            <w:tcW w:w="1920" w:type="dxa"/>
            <w:vAlign w:val="bottom"/>
          </w:tcPr>
          <w:p>
            <w:pPr>
              <w:spacing w:after="0"/>
              <w:rPr>
                <w:sz w:val="19"/>
                <w:szCs w:val="19"/>
                <w:color w:val="auto"/>
              </w:rPr>
            </w:pPr>
          </w:p>
        </w:tc>
      </w:tr>
      <w:tr>
        <w:trPr>
          <w:trHeight w:val="216"/>
        </w:trPr>
        <w:tc>
          <w:tcPr>
            <w:tcW w:w="474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(State or other jurisdiction of incorporation or</w:t>
            </w:r>
          </w:p>
        </w:tc>
        <w:tc>
          <w:tcPr>
            <w:tcW w:w="1960" w:type="dxa"/>
            <w:vAlign w:val="bottom"/>
          </w:tcPr>
          <w:p>
            <w:pPr>
              <w:spacing w:after="0"/>
              <w:rPr>
                <w:sz w:val="18"/>
                <w:szCs w:val="18"/>
                <w:color w:val="auto"/>
              </w:rPr>
            </w:pPr>
          </w:p>
        </w:tc>
        <w:tc>
          <w:tcPr>
            <w:tcW w:w="4540" w:type="dxa"/>
            <w:vAlign w:val="bottom"/>
            <w:gridSpan w:val="5"/>
          </w:tcPr>
          <w:p>
            <w:pPr>
              <w:jc w:val="center"/>
              <w:ind w:right="9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7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organization)</w:t>
            </w:r>
          </w:p>
        </w:tc>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54"/>
        </w:trPr>
        <w:tc>
          <w:tcPr>
            <w:tcW w:w="47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0"/>
        </w:trPr>
        <w:tc>
          <w:tcPr>
            <w:tcW w:w="474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5"/>
              </w:rPr>
              <w:t>New York, NY</w:t>
            </w:r>
          </w:p>
        </w:tc>
        <w:tc>
          <w:tcPr>
            <w:tcW w:w="1960" w:type="dxa"/>
            <w:vAlign w:val="bottom"/>
          </w:tcPr>
          <w:p>
            <w:pPr>
              <w:spacing w:after="0"/>
              <w:rPr>
                <w:sz w:val="19"/>
                <w:szCs w:val="19"/>
                <w:color w:val="auto"/>
              </w:rPr>
            </w:pPr>
          </w:p>
        </w:tc>
        <w:tc>
          <w:tcPr>
            <w:tcW w:w="26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10001</w:t>
            </w:r>
          </w:p>
        </w:tc>
        <w:tc>
          <w:tcPr>
            <w:tcW w:w="1920" w:type="dxa"/>
            <w:vAlign w:val="bottom"/>
          </w:tcPr>
          <w:p>
            <w:pPr>
              <w:spacing w:after="0"/>
              <w:rPr>
                <w:sz w:val="19"/>
                <w:szCs w:val="19"/>
                <w:color w:val="auto"/>
              </w:rPr>
            </w:pPr>
          </w:p>
        </w:tc>
      </w:tr>
      <w:tr>
        <w:trPr>
          <w:trHeight w:val="230"/>
        </w:trPr>
        <w:tc>
          <w:tcPr>
            <w:tcW w:w="4740" w:type="dxa"/>
            <w:vAlign w:val="bottom"/>
            <w:gridSpan w:val="3"/>
          </w:tcPr>
          <w:p>
            <w:pPr>
              <w:jc w:val="center"/>
              <w:ind w:left="790"/>
              <w:spacing w:after="0"/>
              <w:rPr>
                <w:sz w:val="20"/>
                <w:szCs w:val="20"/>
                <w:color w:val="auto"/>
              </w:rPr>
            </w:pPr>
            <w:r>
              <w:rPr>
                <w:rFonts w:ascii="Arial" w:cs="Arial" w:eastAsia="Arial" w:hAnsi="Arial"/>
                <w:sz w:val="18"/>
                <w:szCs w:val="18"/>
                <w:color w:val="auto"/>
                <w:w w:val="92"/>
              </w:rPr>
              <w:t>(Address of principal executive offices)</w:t>
            </w:r>
          </w:p>
        </w:tc>
        <w:tc>
          <w:tcPr>
            <w:tcW w:w="1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0"/>
              <w:spacing w:after="0"/>
              <w:rPr>
                <w:sz w:val="20"/>
                <w:szCs w:val="20"/>
                <w:color w:val="auto"/>
              </w:rPr>
            </w:pPr>
            <w:r>
              <w:rPr>
                <w:rFonts w:ascii="Arial" w:cs="Arial" w:eastAsia="Arial" w:hAnsi="Arial"/>
                <w:sz w:val="18"/>
                <w:szCs w:val="18"/>
                <w:color w:val="auto"/>
                <w:w w:val="91"/>
              </w:rPr>
              <w:t>(Zip Code)</w:t>
            </w:r>
          </w:p>
        </w:tc>
        <w:tc>
          <w:tcPr>
            <w:tcW w:w="1920" w:type="dxa"/>
            <w:vAlign w:val="bottom"/>
          </w:tcPr>
          <w:p>
            <w:pPr>
              <w:spacing w:after="0"/>
              <w:rPr>
                <w:sz w:val="20"/>
                <w:szCs w:val="20"/>
                <w:color w:val="auto"/>
              </w:rPr>
            </w:pPr>
          </w:p>
        </w:tc>
      </w:tr>
      <w:tr>
        <w:trPr>
          <w:trHeight w:val="432"/>
        </w:trPr>
        <w:tc>
          <w:tcPr>
            <w:tcW w:w="862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862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474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86"/>
              </w:rPr>
              <w:t>Title of each class</w:t>
            </w:r>
          </w:p>
        </w:tc>
        <w:tc>
          <w:tcPr>
            <w:tcW w:w="19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Trading Symbol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1"/>
              </w:rPr>
              <w:t>XSPA</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18"/>
        </w:trPr>
        <w:tc>
          <w:tcPr>
            <w:tcW w:w="862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52"/>
        </w:trPr>
        <w:tc>
          <w:tcPr>
            <w:tcW w:w="862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92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and “</w:t>
      </w:r>
      <w:r>
        <w:rPr>
          <w:rFonts w:ascii="Arial" w:cs="Arial" w:eastAsia="Arial" w:hAnsi="Arial"/>
          <w:sz w:val="18"/>
          <w:szCs w:val="18"/>
          <w:i w:val="1"/>
          <w:iCs w:val="1"/>
          <w:color w:val="auto"/>
        </w:rPr>
        <w:t>emerging growth</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6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as of June 28, 2019, the last business day of the registrant’s most recently completed second quarter, was $5,398,950 computed by reference to the closing sale price of $1.94 per share on the Nasdaq Stock Market LLC on June 28, 2019.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As of April 13, 2020, 86,500,160 shares of the registrant's common stock are outstanding.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Certain information required by Part III will be included in an amendment to this Annual Report on Form 10-K.</w:t>
      </w:r>
    </w:p>
    <w:p>
      <w:pPr>
        <w:sectPr>
          <w:pgSz w:w="11900" w:h="16854" w:orient="portrait"/>
          <w:cols w:equalWidth="0" w:num="1">
            <w:col w:w="11240"/>
          </w:cols>
          <w:pgMar w:left="320" w:top="729"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20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2"/>
        </w:trPr>
        <w:tc>
          <w:tcPr>
            <w:tcW w:w="920" w:type="dxa"/>
            <w:vAlign w:val="bottom"/>
            <w:tcBorders>
              <w:bottom w:val="single" w:sz="8" w:color="CCEEFF"/>
            </w:tcBorders>
          </w:tcPr>
          <w:p>
            <w:pPr>
              <w:spacing w:after="0"/>
              <w:rPr>
                <w:sz w:val="24"/>
                <w:szCs w:val="24"/>
                <w:color w:val="auto"/>
              </w:rPr>
            </w:pPr>
          </w:p>
        </w:tc>
        <w:tc>
          <w:tcPr>
            <w:tcW w:w="9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0"/>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Item 1:</w:t>
              </w:r>
            </w:hyperlink>
          </w:p>
        </w:tc>
        <w:tc>
          <w:tcPr>
            <w:tcW w:w="920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Item 1A:</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Item 1B:</w:t>
              </w:r>
            </w:hyperlink>
          </w:p>
        </w:tc>
        <w:tc>
          <w:tcPr>
            <w:tcW w:w="9200" w:type="dxa"/>
            <w:vAlign w:val="bottom"/>
          </w:tcPr>
          <w:p>
            <w:pPr>
              <w:ind w:left="2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Unresolved Staff Comments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Item 2:</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Properties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Item 3:</w:t>
              </w:r>
            </w:hyperlink>
          </w:p>
        </w:tc>
        <w:tc>
          <w:tcPr>
            <w:tcW w:w="9200" w:type="dxa"/>
            <w:vAlign w:val="bottom"/>
          </w:tcPr>
          <w:p>
            <w:pPr>
              <w:ind w:left="2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4:</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Part II</w:t>
              </w:r>
            </w:hyperlink>
          </w:p>
        </w:tc>
        <w:tc>
          <w:tcPr>
            <w:tcW w:w="9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5:</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w w:val="97"/>
              </w:rPr>
            </w:pPr>
            <w:hyperlink w:anchor="page32">
              <w:r>
                <w:rPr>
                  <w:rFonts w:ascii="Arial" w:cs="Arial" w:eastAsia="Arial" w:hAnsi="Arial"/>
                  <w:sz w:val="18"/>
                  <w:szCs w:val="18"/>
                  <w:u w:val="single" w:color="auto"/>
                  <w:color w:val="0000EE"/>
                  <w:w w:val="97"/>
                </w:rPr>
                <w:t>Market for the Registrant's Common Equity, Related Stockholder Matters and Issuer Purchases of Equity Securities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Item 6:</w:t>
              </w:r>
            </w:hyperlink>
          </w:p>
        </w:tc>
        <w:tc>
          <w:tcPr>
            <w:tcW w:w="920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Selected Financial Data</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Item 7:</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Item 7A:</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Item 8:</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Financial Statements and Supplementary Data</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Item 9:</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Changes in and Disagreements with Accountants on Accounting and Financial Disclosure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Item 9A:</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Controls and Procedures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Item 9B:</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Part III</w:t>
              </w:r>
            </w:hyperlink>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Item 10:</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Directors, Executive Officers and Corporate Governance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Item 11:</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Executive Compensation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12:</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Security Ownership of Certain Beneficial Owners and Management and Related Stockholder Matters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13:</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Certain Relationships and Related Transactions and Director Independence</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14:</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Principal Accounting Fees and Services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Part IV</w:t>
              </w:r>
            </w:hyperlink>
          </w:p>
        </w:tc>
        <w:tc>
          <w:tcPr>
            <w:tcW w:w="9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tcPr>
          <w:p>
            <w:pPr>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Item 15:</w:t>
              </w:r>
            </w:hyperlink>
          </w:p>
        </w:tc>
        <w:tc>
          <w:tcPr>
            <w:tcW w:w="9200" w:type="dxa"/>
            <w:vAlign w:val="bottom"/>
          </w:tcPr>
          <w:p>
            <w:pPr>
              <w:ind w:left="2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 and Financial Statement Schedules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216"/>
        </w:trPr>
        <w:tc>
          <w:tcPr>
            <w:tcW w:w="9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Item 16:</w:t>
              </w:r>
            </w:hyperlink>
          </w:p>
        </w:tc>
        <w:tc>
          <w:tcPr>
            <w:tcW w:w="9200" w:type="dxa"/>
            <w:vAlign w:val="bottom"/>
            <w:shd w:val="clear" w:color="auto" w:fill="CCEEFF"/>
          </w:tcPr>
          <w:p>
            <w:pPr>
              <w:ind w:left="2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Form 10-K Summary</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580" w:right="540" w:hanging="27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580" w:right="140" w:hanging="27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decision by our Board of Directors to potentially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material weakness related to our internal control over financial reporting;</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constraints associated with our outstanding indebtedness;</w:t>
      </w:r>
    </w:p>
    <w:p>
      <w:pPr>
        <w:spacing w:after="0" w:line="225" w:lineRule="exact"/>
        <w:rPr>
          <w:rFonts w:ascii="Arial" w:cs="Arial" w:eastAsia="Arial" w:hAnsi="Arial"/>
          <w:sz w:val="18"/>
          <w:szCs w:val="18"/>
          <w:color w:val="auto"/>
        </w:rPr>
      </w:pPr>
    </w:p>
    <w:p>
      <w:pPr>
        <w:ind w:left="580" w:right="400" w:hanging="27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580" w:right="460" w:hanging="27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580" w:right="60" w:hanging="27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or an adverse change with regard to, one or more of our significant suppliers, distributors, vendors or other business relationships;</w:t>
      </w:r>
    </w:p>
    <w:p>
      <w:pPr>
        <w:spacing w:after="0" w:line="236" w:lineRule="exact"/>
        <w:rPr>
          <w:rFonts w:ascii="Arial" w:cs="Arial" w:eastAsia="Arial" w:hAnsi="Arial"/>
          <w:sz w:val="17"/>
          <w:szCs w:val="17"/>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580" w:hanging="2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85" w:lineRule="auto"/>
        <w:rPr>
          <w:sz w:val="20"/>
          <w:szCs w:val="20"/>
          <w:color w:val="auto"/>
        </w:rPr>
      </w:pPr>
      <w:r>
        <w:rPr>
          <w:rFonts w:ascii="Arial" w:cs="Arial" w:eastAsia="Arial" w:hAnsi="Arial"/>
          <w:sz w:val="16"/>
          <w:szCs w:val="16"/>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3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references in this Annual Report on Form 10-K to “we,” “us” and “our” refer to </w:t>
      </w:r>
      <w:r>
        <w:rPr>
          <w:rFonts w:ascii="Arial" w:cs="Arial" w:eastAsia="Arial" w:hAnsi="Arial"/>
          <w:sz w:val="18"/>
          <w:szCs w:val="18"/>
          <w:i w:val="1"/>
          <w:iCs w:val="1"/>
          <w:color w:val="auto"/>
        </w:rPr>
        <w:t>XpresSpa Group, Inc. (prior to January 5, 2018, known as “FORM</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Corp.”)</w:t>
      </w:r>
      <w:r>
        <w:rPr>
          <w:rFonts w:ascii="Arial" w:cs="Arial" w:eastAsia="Arial" w:hAnsi="Arial"/>
          <w:sz w:val="18"/>
          <w:szCs w:val="18"/>
          <w:color w:val="auto"/>
        </w:rPr>
        <w:t>, a Delaware corporation, and its consolidated subsidiaries unless the context requires otherwise.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5, 2018, we changed our name to XpresSpa Group, Inc. (“XpresSpa Group” or the “Parent”) from FORM Holdings Corp. We rebranded to XpresSpa Group to align our corporate strategy to build a pure-play health and wellness services company, which commenced following our acquisition of XpresSpa Holdings, LLC (“Holdings” or “XpresSpa”) on December 23, 2016 (XpresSpa Group, Inc. and Holdings consolidated is referred to as the “Company”).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transition to a pure-play health and wellness services company, we currently have one operating segment that is also our sole reporting unit, XpresSpa, the leading airport retailer of spa services. XpresSpa offers travelers premium spa services, including massage, nail and skin care, as well as spa and travel products. XpresSpa is a well-recognized airport spa brand with 51 locations, consisting of 46 domestic and 5 international locations as of December 31, 2019. During 2019 and 2018, XpresSpa generated $48,515,000 and $50,094,000 in revenue, respectively. In 2019 and 2018, approximately 82% of XpresSpa’s total revenue in both years was generated by services, primarily massage and nailcare. In 2019 and 2018, retail products and travel accessories accounted for 15% and 16%, respectively, of revenue and 3% and 2%, respectively, was other revenue.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we entered into an amended and restated product sale and marketing agreement, with Calm, Inc. (“Calm”), a company that has developed the leading app for sleep, meditation and relaxation. The agreement primarily allows for the display, marketing, promotion, offer for sale and sale of Calm’s products in each of our branded stores worldwide. The agreement will remain in effect until July 31, 2021, unless terminated earlier in accordance with the terms of the agreement, and automatically renews for successive terms of six months unless either party provides written notice of termination no later than thirty days prior. On October 30, 2019, we entered into the second amendment to the agreement with Calm, which provides for the addition of other Calm branded products available for sale in XpresSpa spas.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2019, we signed a strategic partnership with Persona™, a Nestlé Health Science company and leading personalized vitamin subscription program, to offer Persona’s products in all of our domestic airport locations with our staff trained on the products by Persona’s nutritionists. Customers are able to purchase three different nutrition packs designed especially for travelers to support relaxation, immunity or jet lag, with customers receiving an exclusive discount on their first order. XpresSpa launched Persona in its airport locations in December 2019.</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certain patent portfolios, which, in prior years we monetized through sales and licensing agreements. During the year ended December 31, 2018, we determined that our intellectual property operating segment was no longer an area of focus for us and, as such, is no longer reflected as a separate operating segment, as it has not generated any material revenues or operating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2018, we completed the sale of Group Mobile Int’l LLC (“Group Mobile”). This entity was previously included in our technology operating segment. The results of operations for Group Mobile are presented in the consolidated statements of operations and comprehensive loss as consolidated net loss from discontinued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is a leading airport retailer of spa services and related products. XpresSpa was created for travelers to address the stress and idle time spent at the airport, allowing travelers to spend this time relaxing and focusing on personal care and wellness. We believe that XpresSpa is well positioned to benefit from consumers’ growing interest in health and wellness and increasing demand for spa services and related wellness products. It is a well-recognized and popular airport spa brand with a dominant market share in the United States, nearly three times the number of domestic locations as its closest competitor. Globally, it provides approximately one million services and products per year to its customers. As of December 31, 2019, XpresSpa operated 51 total locations in 25 airports, in three countries including the United States, Netherlands and United Arab Emirates. Key services and products offered include:</w:t>
      </w:r>
    </w:p>
    <w:p>
      <w:pPr>
        <w:spacing w:after="0" w:line="16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travel products, such as neck pillows, blankets and massage tools; and</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offerings through its strategic partnerships, such as sleep, meditation and relaxation therapies with Calm.com, vitamin and nutrition products through Persona, cryotherapy services, NormaTec compression services, and Dermalogica personal care services and retail products.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Coronavirus on Business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11, 2020, the World Health Organization declared the outbreak of the Coronavirus (“COVID-19”), which continues to spread throughout the U.S. and the world, as a pandemic. The outbreak is having an impact on the global economy, resulting in rapidly changing market and economic conditions. Similar to many businesses in the travel sector, our business has been materially adversely impacted by the recent COVID-19 outbreak and associated restrictions on travel that have been implemented. Effective March 24, 2020, we temporarily closed all global spa locations, largely due to the categorization of our spa locations by local jurisdictions as “non-essential services”. We intend to reopen our spa locations and resume normal operations once restrictions on non-essential services are lifted and airport traffic returns to sufficient levels to support our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25, 2020, we announced that during such period as we remain unable to reopen our spa locations for normal operations, we were advancing conversations with certain COVID-19 testing partners to develop a model for testing in U.S. airports.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temporary closing of our global spa operations has had a materially adverse impact on our cash flows from operations and caused a liquidity crisis. As a result, management has concluded that there was a long-lived asset impairment triggering event during the first quarter of 2020, which will result in management performing an impairment evaluation of certain of our long-lived asset balances (primarily leasehold improvements and right of use lease assets totaling approximately $16,318,000 as of December 31, 2019). This could lead to us recording an impairment charge during the first quarter of 2020.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currently seeking sources of capital to help fund our business operations during the COVID-19 crisis. We have been able to secure financing during 2020 totaling gross proceeds of approximately $9,440,000 by obtaining a cash advance on our accounts receivable balances, a loan from our senior secured lender, B3D, LLC (“B3D”), and through common stock offerings (see further discussion below). Depending on the impact of the COVID outbreak on our operations and cash position, we may need to obtain additional financing. If we need to obtain additional financing in the future and are unsuccessful, we may be required to curtail or terminate some or all of our business operations and cause our Board of Directors to possibly pursue a restructuring, which may include a reorganization or bankruptcy under Federal bankruptcy laws, or a dissolution, liquidation and/or winding up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8, 2019, Edward Jankowski resigned as our Chief Executive Officer and as a director.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February 11, 2019, Douglas Satzman was appointed by our Board of Directors as our Chief Executive Officer and as a director to fill the position vacated by Mr. Jankowski.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and Right Sizing of the Portfolio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Among the first initiatives of Mr. Satzman was a critical evaluation of the profitability and strategic fit of the portfolio of spas. Consequently, a determination was made to close nine underperforming and strategically mismatched spas, or approximately 20% of the spa portfolio, while focusing efforts and capital on the performing spas, renovations of existing spas and expansion of the spa portfolio into new airports and terminals.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Recent Developments and Liquidity and Going Concern” sections in this Annual Report on Form 10-K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XpresSpa operated 51 locations, which includes 46 domestic locations and 5 international locations as of December 31, 2019. Our domestic units operate within many of the largest and most heavily trafficked airports in the United States. The balance of the domestic market is highly fragmented and is represented largely by small, privately-owned entities. The largest domestic competitor operates 15 locations in nine airports in the United States.</w:t>
      </w: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Market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Airport retailers differ significantly from traditional retailers. Unlike traditional retailers, airport retailers benefit from a steady and largely predictable flow of traffic from a constantly changing customer base. Airport retailers also benefit from “dwell time,” the period after travelers have passed through airport security and before they board an aircraft. 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was developed to address the stressful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Equally as important to the industry growth is XpresSpa’s flexible, valuable and desirable retail format and footprint within the airport retail segment. XpresSpa opens multiple locations annually, which have ranged in size from 200 square feet to 2,600 square feet, with a typical size of approximately 800 square feet. XpresSpa is able to adapt its operating model to almost any size location available in space constrained airports. This increased flexibility compared to other retail concepts allows XpresSpa to operate multiple stores within an airport, from which it enjoys synergies due to shared labor between stores.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XpresSpa believes that its operating metrics represent an attractive return on invested capital and, as a result, is pursuing new locations at airports and terminals around the country. Historically, XpresSpa has won the majority of all requests for proposal (“RFP”) in which it has participated.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Normal market conditions and behavior have been negatively impacted by the recent outbreak of COVID-19. On March 11, 2020, the World Health Organization declared the outbreak a pandemic. The outbreak is having an impact on the global economy, resulting in rapidly changing market and economic conditions. Similar to many businesses in the travel sector, our business has been materially adversely impacted by the recent COVID-19 outbreak and associated restrictions on travel that have been implemented. Effective March 24, 2020, we temporarily closed all global spa locations, largely due to the categorization of our spa locations by local jurisdictions as “non-essential services”. We believe the market conditions will return to normal and we intend to reopen our spa locations and resume normal operations once the restrictions on non-essential services are lifted and airport traffic returns to sufficient levels to support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 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the Fair Labor Standards Act, the Immigration Reform and Control Act of 1986, the Occupational Safety and Health Act, the Family and Medical Leave Act, the Affordable Care Act, the Healthcare Insurance Portability and Accountability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continued listing standards of Nasdaq provide, among other things, that a company may be delisted if the bid price of its stock drops below $1.00 for a period of 30 consecutive business days or if stockholders’ equity is less than $2,500,000. As of December 31, 2019, our stockholders’ equity balance was in a deficit position. On January 2, 2020, we received a deficiency letter from The Nasdaq Stock Market which provided us a grace period of 180 calendar days, or until June 30, 2020, to regain compliance with the minimum bid price requirement.</w:t>
      </w:r>
    </w:p>
    <w:p>
      <w:pPr>
        <w:sectPr>
          <w:pgSz w:w="11900" w:h="16906" w:orient="portrait"/>
          <w:cols w:equalWidth="0" w:num="1">
            <w:col w:w="11240"/>
          </w:cols>
          <w:pgMar w:left="320" w:top="904" w:right="339" w:bottom="0" w:gutter="0" w:footer="0" w:header="0"/>
        </w:sectPr>
      </w:pPr>
    </w:p>
    <w:bookmarkStart w:id="8" w:name="page9"/>
    <w:bookmarkEnd w:id="8"/>
    <w:p>
      <w:pPr>
        <w:jc w:val="center"/>
        <w:ind w:right="5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As of March 15, 2020, we had approximately 507 full-time and 221 part-time employees. XpresSpa had approximately 10 employees in San Francisco International Airport, who are represented by a labor union and are covered by a collective bargaining agreement. XpresSpa had approximately 24 employees in Los Angeles International Airport, who are represented by a labor union and are covered by a collective bargaining agreement. We consider our relationships with our employees to be good.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24, 2020, we temporarily closed all global locations and furloughed the majority of its employees, largely due to the categorization of our spa locations by local jurisdictions as “non-essential services” in connection with the outbreak of COVID-19. We intend on reinstating the furloughed employees when restrictions related to non-essential services are relaxed and/or eliminated.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5, 2018, we changed our name to XpresSpa Group, Inc. from FORM Holdings Corp. as part of a rebranding that aligned our corporate strategy to build a pure-play health and wellness services company. Our Common Stock, par value $0.01 per share, which was previously listed under the trading symbol “FH” on the Nasdaq Capital Market, has been listed under the trading symbol “XSPA” since January 8, 2018. Our principal executive offices are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Annual Report on Form 10-K to our website address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20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corporate code of conduct and our insider trading compliance manual;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Additional risks and uncertainties not presently known to us or that we currently deem immaterial also may materially affect our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registered public accounting firm has expressed substantial doubt as to our ability to continue as a going concern.</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audited financial statements included in this Annual Report on Form 10-K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2019 and 2018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recent COVID-19 outbreak was declared a pandemic by the World Health Organization on March 11, 2020 and has rapidly spread to the United States and many other parts of the world and may continue to adversely affect our business operations, employee availability, financial condition, liquidity and cash flow for an extended period of time.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outbreak is having an impact on the global economy, resulting in rapidly changing market and economic conditions. Similar to many businesses in the travel sector, our business has been materially adversely impacted by the recent COVID-19 outbreak due to the restrictions on travel that have been implemented. Effective March 24, 2020, we temporarily closed all global spa locations, largely due to the categorization of our spa locations by local jurisdictions as “non-essential services” in connection with the outbreak of COVID-19. This has had a materially adverse impact on our cash flows from operations and caused a liquidity crisis. Ongoing significant reductions in business related activities could result in further loss of sales and profits and other material adverse effects. The extent of the impact of COVID-19 on our business, financial results, liquidity and cash flows will depend largely on future developments, including new information that may emerge concerning the severity and action taken to contain or prevent further spread within the U.S. and the related impact on consumer confidence and spending, all of which are highly uncertain and cannot be predicted. As the outbreak of COVID-19 continues to spread rapidly in the U.S. and globally, related government and private sector responsive actions may continue to adversely affect our business operations. It is impossible to predict the effect and ultimate impact of the COVID-19 pandemic as the situation is rapidly evolving. If the COVID-19 outbreak continues and persists for an extended period of time, we expect there will be significant and material disruptions to our operations, which will have a material adverse effect on our business, financial condition and results of operations.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process to identify and evaluate potential business alternatives, including identifying appropriate financing, is not successful, our Board of Directors may decide to pursue a restructuring, which may include a reorganization or bankruptcy under Federal bankruptcy laws, or a dissolution, liquidation and/or winding up of our Company</w:t>
      </w:r>
      <w:r>
        <w:rPr>
          <w:rFonts w:ascii="Arial" w:cs="Arial" w:eastAsia="Arial" w:hAnsi="Arial"/>
          <w:sz w:val="18"/>
          <w:szCs w:val="18"/>
          <w:color w:val="auto"/>
        </w:rPr>
        <w: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the process to identify and evaluate potential business alternatives, including identifying appropriate financing,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secured and unsecured debt and our Common Stock may lose their entire investment in the event of a reorganization, bankruptcy, liquidation, dissolution or winding up of our Company.</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b w:val="1"/>
          <w:bCs w:val="1"/>
          <w:i w:val="1"/>
          <w:iCs w:val="1"/>
          <w:color w:val="auto"/>
        </w:rPr>
        <w:t>In connection with the preparation of our annual financial statements for the year ended December 31, 2019, we identified a material weakness in our internal control over financial reporting. Any failure to maintain effective internal control over financial reporting could have a material adverse effect on our results of operations and financial position.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2019,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additional formal procedures need to be put in place in the financial close and reporting process to ensure that appropriate reviews occur on all financial reporting analysis in a timely manner. We also concluded that we did not maintain a sufficient complement of corporate employee personnel with appropriate levels of accounting and controls knowledge and experience commensurate with our financial reporting requirements to appropriately analyze, record and disclose accounting matters completely and accurately. As this deficiency created a reasonable possibility that a material misstatement would not have been prevented or detected in a timely basis, management concluded that the control deficiency represented a material weakness and accordingly our internal control over financial reporting was not effective as of December 31, 2019.</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still considering the full extent of the procedures to implement in order to remediate the material weakness described above. Our preliminary remediation plan, complimented by our existing outsourced internal audit procedures, includes implementing a more robust review process, an increase in the supervision and monitoring of the financial reporting processes and our accounting personnel, and implementing better controls over calculations, analysis and conclusions associated with non-routine transactions at a more precise level.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adversely affect our results of operations and financial condition.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 including the impact of the receipt of an explanatory paragraph with respect to our financial statements for the years ended December 31, 2019 and 2018, indicating that there is substantial doubt about our ability to continue as a going concern.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is obligated under a credit agreement and convertible secured promissory note payable to B3D, LLC (“B3D”) of approximately $3,547,000 as of April 13, 2020, with a maturity date of May 31, 2021 (the “Senior Secured Note”). The Senior Secured Note accrues interest of 9.0% per annum. XpresSpa is obligated to make periodic interest payments on such debt obligations in cash, shares of our Common Stock, or a combination thereof. While we do not anticipate failing to make any such payments, the failure to do so may result in the default of loan obligations, leading to financial and operational hardship. XpresSpa has granted B3D a security interest in all of its tangible and intangible personal property to secure its obligations under the Senior Secured Note. The Senior Secured Note is an outstanding obligation of XpresSpa but is guaranteed by 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above and elsewhere in this Annual Report on Form 10-K, the report of our independent registered public accounting firm on our financial statements for the years ended December 31, 2019 and 2018 includes an explanatory paragraph indicating that there is substantial doubt about our ability to continue as a going concern. The receipt of this explanatory paragraph with respect to our financial statements for the years ended December 31, 2019 and 2018 will result in a breach of a covenant under the Senior Secured Note which, if unremedied for a period of 30 days after the date hereof, will constitute an event of default under the Senior Secured Note. Upon the occurrence of an event of default under the Senior Secured Note, B3D may, among other things, declare the Senior Secured Note and all accrued and unpaid interest thereon and all other amounts owing under the Senior Secured Note to be due and payable.</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also obligated under an unsecured subordinated note to Calm of approximately $2,500,000. The Calm Note will mature on May 31, 2022, and bears interest at a rate of 5% per annum, subject to increase in the event of default. The Calm Note is convertible at any time, in whole or in part, at the option of Calm into shares of Series E Preferred Stock at a conversion price equal to $0.27125 per share after giving effect to certain anti-dilution adjustments. Interest on the Calm Note is payable in arrears and may be paid in cash, shares of Series E Preferred Stock or a combination thereof.</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fail to meet certain conditions under the terms of our outstanding indebtedness, we will be obligated to repay in cash any principal amount, interest and any other sum that remains outstanding. If the maturity date of our indebtedness is accelerated as a result of an event of default, the outstanding principal amount, liquidated damages and other amounts owing in respect thereof through the date of acceleration, shall become, at the holder’s election, immediately due and payable in cash.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215"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2019, our estimated aggregate total net operating loss carryforwards (“NOLs”) were $182,327,000 for U.S. federal purposes, expiring 20 years from the respective tax years to which they relate, and $31,401,000 for U.S. federal purposes with an indefinite life due to new regulations in the Tax Cuts and Jobs Act of 2017.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the Tax Reform Act of 1986 imposed substantial restrictions on the utilization of NOL and tax credits in the event of an ownership change of a corporation. Thus, the Company’s ability to utilize all such NOL and credit carryforwards may be limited. Future changes in stock ownership may also trigger an ownership change and, consequently, a Section 382 limitation.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(the “CARES Act”) was enacted on March 27, 2020 and includes favorable changes to tax law and incentives for businesses impacted by COVID-19. However, we do not anticipate the income tax law changes and incentives will have a material impact on our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post-security clearance check points.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4" w:lineRule="exact"/>
        <w:rPr>
          <w:sz w:val="20"/>
          <w:szCs w:val="20"/>
          <w:color w:val="auto"/>
        </w:rPr>
      </w:pPr>
    </w:p>
    <w:p>
      <w:pPr>
        <w:jc w:val="both"/>
        <w:ind w:left="660" w:hanging="328"/>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a public health epidemic, including the novel coronavirus (“COVID-19”), which has interfered and may continue to interfere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impacts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78"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temporary closure of our spa locations, largely due to the categorization of such spa locations by local jurisdictions as “non-essential services” in connection with the recent outbreak of COVID-19;</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terrorist activities (including cyber-attacks)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ectPr>
          <w:pgSz w:w="11900" w:h="16838" w:orient="portrait"/>
          <w:cols w:equalWidth="0" w:num="1">
            <w:col w:w="11240"/>
          </w:cols>
          <w:pgMar w:left="320" w:top="908" w:right="339" w:bottom="0" w:gutter="0" w:footer="0" w:header="0"/>
        </w:sectPr>
      </w:pPr>
    </w:p>
    <w:bookmarkStart w:id="13" w:name="page14"/>
    <w:bookmarkEnd w:id="13"/>
    <w:p>
      <w:pPr>
        <w:jc w:val="center"/>
        <w:ind w:right="7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 w:name="page15"/>
    <w:bookmarkEnd w:id="14"/>
    <w:p>
      <w:pPr>
        <w:jc w:val="both"/>
        <w:spacing w:after="0" w:line="311"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existing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pandemics,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macroeconomic conditions, nationally locally and internationally;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XpresSpa’s expansion into new airports or off-airport locations may present increased risks due to its unfamiliarity with those areas.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2"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estimates and assumptions we use to determine the size of our market are inaccurate, our future growth rate may be impacted.</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on Form 10-K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2020, XpresSpa had approximately 507 full-time and 221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March 24, 2020, we temporarily closed all global locations and furloughed the majority of our employees, largely due to the categorization of such spa locations by local jurisdictions as “non-essential services” in connection with the outbreak of COVID-19. We intend on reinstating the furloughed employees when restrictions related to non-essential services are relaxed and/or eliminated, but there can be no assurances that such employees will return to our locations in a timely manner or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line="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could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could increase XpresSpa’s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ectPr>
          <w:pgSz w:w="11900" w:h="16905" w:orient="portrait"/>
          <w:cols w:equalWidth="0" w:num="1">
            <w:col w:w="11240"/>
          </w:cols>
          <w:pgMar w:left="320" w:top="908" w:right="339" w:bottom="0" w:gutter="0" w:footer="0" w:header="0"/>
        </w:sectPr>
      </w:pPr>
    </w:p>
    <w:bookmarkStart w:id="19" w:name="page20"/>
    <w:bookmarkEnd w:id="19"/>
    <w:p>
      <w:pPr>
        <w:jc w:val="center"/>
        <w:ind w:right="7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by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monetize our patents and, thus, we may fail to realize all of the anticipated benefits of acquisitions from third parties.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50"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 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1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w:t>
      </w:r>
    </w:p>
    <w:p>
      <w:pPr>
        <w:spacing w:after="0" w:line="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an 85% ownership level by an acquirer or the transaction is later approved by our Board of Directors and by our stockholders by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ectPr>
          <w:pgSz w:w="11900" w:h="16838" w:orient="portrait"/>
          <w:cols w:equalWidth="0" w:num="1">
            <w:col w:w="11240"/>
          </w:cols>
          <w:pgMar w:left="320" w:top="908" w:right="339" w:bottom="0" w:gutter="0" w:footer="0" w:header="0"/>
        </w:sectPr>
      </w:pPr>
    </w:p>
    <w:bookmarkStart w:id="23" w:name="page24"/>
    <w:bookmarkEnd w:id="23"/>
    <w:p>
      <w:pPr>
        <w:jc w:val="center"/>
        <w:ind w:right="7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24" w:name="page25"/>
    <w:bookmarkEnd w:id="24"/>
    <w:p>
      <w:pPr>
        <w:ind w:left="430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that COVID-19 might have on our results of operations and financial position;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April 13, 2020, we have 86,500,160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exercise of a substantial number of warrants or options by our security holders may have an adverse effect on the market price of our Common Stock.</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Should our warrants outstanding as of April 13, 2020 be exercised, there would be an additional 27,009,331 shares of Common Stock eligible for trading in the public market. The incentive equity instruments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of the shares of Common Stock underlying the warrants and options could have an adverse effect on the market price for our securities and/or on our ability to obtain future financing.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836"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COVID-19 on our business, financial condition, results of operations and cash flows;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continued listing standards of Nasdaq provide, among other things, that a company may be delisted if the bid price of its stock drops below $1.00 for a period of 30 consecutive business days or if stockholders’ equity is less than $2,500,000. As of December 31, 2019, our stockholders’ equity balance was in a deficit position. On January 2, 2020, we received a deficiency letter from The Nasdaq Stock Market which provided us a grace period of 180 calendar days, or until June 30, 2020, to regain compliance with the minimum bid price requirement. If we fail to regain compliance on or prior to June 30, 2020, we may be eligible for an additional 180-day compliance period. Additionally, if we fail to comply with any other continued listing standards of Nasdaq, our Common Stock will also be subject to delisting. If that were to occur, our Common Stock would be subject to rules that impose additional sales practice requirements on broker-dealers who sell our securities. The additional burdens imposed upon broker-dealers by these requirements could discourage broker-dealers from effecting transactions in our Common Stock. This would significantly and negatively affect the ability of investors to trade our securities and would significantly and negatively affect the value and liquidity of our Common Stock. These factors could contribute to lower prices and larger spreads in the bid and ask prices for our Common Stock. If we seek to implement a reverse stock split in order to remain listed on The Nasdaq Capital Market, the announcement and/or implementation of a reverse stock split could significantly negatively affect the price of our Common Stock.</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74" w:gutter="0" w:footer="0" w:header="0"/>
        </w:sectPr>
      </w:pPr>
    </w:p>
    <w:bookmarkStart w:id="26" w:name="page27"/>
    <w:bookmarkEnd w:id="26"/>
    <w:p>
      <w:pPr>
        <w:jc w:val="both"/>
        <w:spacing w:after="0" w:line="308" w:lineRule="auto"/>
        <w:rPr>
          <w:sz w:val="20"/>
          <w:szCs w:val="20"/>
          <w:color w:val="auto"/>
        </w:rPr>
      </w:pPr>
      <w:r>
        <w:rPr>
          <w:rFonts w:ascii="Arial" w:cs="Arial" w:eastAsia="Arial" w:hAnsi="Arial"/>
          <w:sz w:val="17"/>
          <w:szCs w:val="17"/>
          <w:b w:val="1"/>
          <w:bCs w:val="1"/>
          <w:i w:val="1"/>
          <w:iCs w:val="1"/>
          <w:color w:val="auto"/>
        </w:rPr>
        <w:t>Our Common Stock has historically traded in low volumes. We cannot predict whether an active trading market for our Common Stock will ever develop. Even if an active trading market develops, the market price of our Common Stock may be significantly volatile.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Common Stock has experienced a lack of consistent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we exercise the option to repay the Series E preferred stock (the “Series E Preferred Stock”) in Common Stock rather than cash, such repayment may result in the issuance of a large number of shares of Common Stock which may have a negative effect on the trading price of our Common Stock as well as a dilutive effect.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terms of the shares of Series E Preferred Stock, on the seven-year anniversary of the initial issuance date of the shares of Series E Preferred Stock (which is November 14, 2025 in the case the 645,161 shares of Series E Preferred Stock issued on November 14, 2018 and December 28, 2025 in the case of the 322,581 shares of Series E Preferred Stock issued on December 28, 2018), we may repay each share of Series E Preferred Stock, at our option, in cash, by delivery of shares of Common Stock or through any combination thereof. If we elect to make a payment, or any portion thereof, in shares of Common Stock, the Base Shares will be based on the Base Price plus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E Preferred Stock upon maturity which may have a negative effect on the trading price of our Common Stock.</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2025 or December 28, 2025, as applicable, upon the maturity of the Series E Preferred Stock, when determining whether to repay the Series 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potential issuance of a large number of shares of Common Stock upon the conversion of our Series F Convertible Preferred Stock (the “Series F Preferred Stock”) may have a negative effect on the trading price of our Common Stock as well as a dilutive effect.</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share of Series F Preferred Stock is convertible, at the option of the holder thereof, at any time and from time to time, and without the payment of additional consideration by the holder thereof, into such number of fully paid and nonassessable shares of Common Stock as is determined by dividing the stated value of the Series F Preferred Stock (plus any accrued but unpaid dividends) by the Series F conversion price in effect at the time of conversion. The Series F conversion price was initially equal to $2.00 per share but was subsequently reduced to $0.175 per share. As of April 13, 2020, there were 1,531 shares of Series F Preferred Stock outstanding, which were convertible into 874,858 shares of Common Stock. The issuance of a large number of shares of Common Stock upon conversion of the Series F Preferred Stock could cause substantial dilution to our existing stockholders and could depress the market price of our Common Stock.</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XpresSpa had 51 Company-operated stores in 25 airports, in the United States, Netherlands and United Arab Emirates. All of the stores as of that date were leased, typically with one or two renewal options after the initial term. Economic terms vary by type and location of store and, on average, the lease terms are 5-8 years with several stores operating on a month-to-month basis.</w:t>
      </w:r>
    </w:p>
    <w:p>
      <w:pPr>
        <w:spacing w:after="0" w:line="18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October 2019, we relocated our Global Support Center from 780 Third Avenue to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in New York City. The sublease expires in September 2023. The new Global Support Center houses all corporate employees. We believe that our facility is adequate to accommodate our business needs.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outstanding legal matters include speculative claims for substantial or indeterminate amounts of damages. We regularly evaluate developments in our legal matters that could affect the amount of any potential liability and makes adjustments as appropriate. Significant judgment is required to determine both the likelihood of there being any potential liability and the estimated amount of a loss related to our legal matters.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 respect to our outstanding legal matters, based on our current knowledge, our management believes that the amount or range of a potential loss will not, either individually or in the aggregate, have a material adverse effect on our business, consolidated financial position, results of operations or cash flows. However, the outcome of such legal matters is inherently unpredictable and subject to significant uncertainties. We evaluated the outstanding legal matters and assessed the probability and likelihood of the occurrence of liability. Based on management’s estimates, we have recorded a liability of approximately $1,800,000 for all outstanding legal matters as of December 31, 2019 which is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in the consolidated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during early 2019. Oral argument on the appeal went forward on March 20, 2019, and the Company expects the court to rule on the appeal in the coming months.</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7"/>
          <w:szCs w:val="17"/>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Clients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numerous complaints it received from Cordial, the City of Atlanta required the parties to engage in mediation.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22, 2019, a Mutual Release and Settlement Agreement (the “Settlement Agreement”) and a Confidential Payment Agreement (the “Payment Agreement”) were executed by the applicable parties, except the City of Atlanta, and are pending the requisite approval by the FAA of the terms of the Settlement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Settlement Agreement is ultimately expected to be executed in 2020, by and among Cordial Endeavor Concessions of Atlanta, LLC, Shelia Edwards, Steven A. White, the City of Atlanta, XpresSpa Holdings, LLC, XpresSpa Atlanta Terminal A, LLC, Azure Services, LLC, Adra Wilson, Meme Marketing &amp; Communications LLC, Melanie Hutchinson, Kenja Parks, and Bernard Parks, Jr.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requisite approval from the FAA has been obtained and the Leases have been executed by the Company. However, the condition precedent that an operating agreement between the Company and Cordial is finalized and executed has not yet been satisfied. Based on this, management has determined that the matter may not be completely resolved, at least to the extent of one or more of the Settling Parties seeking to enforce the terms of the Settlement Agreement, and thus resulting in a continuation of the litigation.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continues to be involved in settlement negotiations seeking to resolve all pending matters with Cordial and the city of Atlanta, and those negotiations are continuing.</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who will then have a 60-day window to decide whether to participate in the case. The notice of pendency was sent out in February 2020 and putative collective members had until April 3, 2020 to return a Consent to Join the case. As of April 3, 2020, 304 individuals had joined the case.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et al v. FORM Holdings Corp. et al.</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21, 2019, the Court granted the defendant’s motion for summary judgement in full, dismissing all claims in the action. On July 3, 2019, the plaintiffs filed a notice of appeal in the United States Court of Appeals for the second circuit. The Company and its directors continue to believe that this action is without merit and intend to defend the appeal vigorously.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has been scheduled for May 4,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et al. v. Bernstein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defendants filed a motion to dismiss on October 23, 2019. The court heard oral argument on the defendants’ motion to dismiss on January 22, 2020 and has not yet ruled on the motion.</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215"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 opposed the motion and filed a cross-motion for a partial stay. Defendants’ motion to dismiss was fully briefed as of June 19, 2019.</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Plaintiff had 30 days to file a notice of appeal. On April 10, 2020, plaintiff filed a notice of appeal to the United States Court of Appeals for the Second Circuit. We and our directors continue to believe that this action is without merit and intend to defend the appeal.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or about May 23, 2018, Route1 Inc., Route1 Security Corporation (together, “Route1”) and Group Mobile Int’l, LLC (“Group Mobile”) commenced a legal proceeding against the Company in the Ontario Superior Court of Justice.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All capitalized terms not otherwise defined herein have the meanings ascribed to them in the Agreement.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Plaintiffs allege that the Company: (i) failed to ensure all Tax Returns were true, correct and compliant in all respects and that all Taxes had been paid in full; (ii) failed to ensure that all inventory of Group Mobile had been priced in accordance with GAAP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 The litigation is at an early stage, and it is not yet possible to assess the likelihood of success and/or liability.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counterclaimed against the Plaintiffs for amounts owed to the Company in relation to the sale of Excluded Inventory and is seeking damages thereon.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delivered a draft amended counterclaim to the Plaintiffs on or around November 2019 seeking, among other things, damages. The Company is seeking the Plaintiffs’ consent to amend its counterclaim. Examinations for discovery are scheduled to take place in Toronto, Canada on June 9th and 10th, 2020. The parties currently expect to attend a one-day mediation in Toronto on May 7,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Rodger Jenkins v. XpresSpa Group,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On or about January 3, 2020, the court granted the plaintiffs’ motion to amend their pleading to increase their total demand.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denied the material allegations of the complaint and is currently defending the action. Efforts to settle the parties’ dispute at a court-ordered mediation in March 2020 were not successful. The action is currently scheduled for a bench trial on May 18,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Other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par value $0.01 per share, has been listed under the trading symbol “XSPA” since January 8,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2019, the Company filed a certificate of amendment to its amended and restated certificate of incorporation with the Secretary of State of the State of Delaware to effect a 1-for-20 reverse stock split of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13, 2020, we had 115 stockholders of record of the 86,500,160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 as defined by Item 10 of Regulation S-K.</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2000" w:right="1240" w:hanging="1993"/>
        <w:spacing w:after="0" w:line="312" w:lineRule="auto"/>
        <w:rPr>
          <w:sz w:val="20"/>
          <w:szCs w:val="20"/>
          <w:color w:val="auto"/>
        </w:rPr>
      </w:pPr>
      <w:r>
        <w:rPr>
          <w:rFonts w:ascii="Arial" w:cs="Arial" w:eastAsia="Arial" w:hAnsi="Arial"/>
          <w:sz w:val="17"/>
          <w:szCs w:val="17"/>
          <w:b w:val="1"/>
          <w:bCs w:val="1"/>
          <w:color w:val="auto"/>
        </w:rPr>
        <w:t xml:space="preserve">ITEM 7. MANAGEMENT'S DISCUSSION AND ANALYSIS OF FINANCIAL CONDITION AND RESULTS OF OPERATIONS </w:t>
      </w:r>
      <w:r>
        <w:rPr>
          <w:rFonts w:ascii="Arial" w:cs="Arial" w:eastAsia="Arial" w:hAnsi="Arial"/>
          <w:sz w:val="17"/>
          <w:szCs w:val="17"/>
          <w:i w:val="1"/>
          <w:iCs w:val="1"/>
          <w:color w:val="auto"/>
        </w:rPr>
        <w:t>Unless otherwise stated, dollar amounts are provided in thousands, except share and per share data.</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5, 2018, we changed our name to XpresSpa Group, Inc. (“XpresSpa Group” or the “Company”) from FORM Holdings Corp. Our Common Stock, par value $0.01 per share, has been listed under the trading symbol “XSPA” on the Nasdaq Capital Market since January 8, 2018. Rebranding to XpresSpa Group aligned our corporate strategy to build a pure-play health and wellness services company, which we commenced following our acquisition of XpresSpa Holdings, LLC (“XpresSpa”) on December 23, 2016.</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51 locations, consisting of 46 domestic and 5 international locations as of December 31, 2019. XpresSpa offers travelers premium spa services, including massage, nail and skin care, as well as spa and travel products. During 2019, approximately 82% of XpresSpa’s total revenue was generated by services, primarily massage and nailcare, 15% was generated by retail products, primarily travel accessories and 3% other revenue.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own certain patent portfolios, which we, in prior years, monetized through sales and licensing agreements. During the year ended December 31, 2018, we determined that our former intellectual property operating segment would no longer be an area of focus and, as such, will no longer operate as a separate operating segment, as it is not expected to generate any material revenues or operating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Coronavirus on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11, 2020, the World Health Organization declared the outbreak of the novel coronavirus (“COVID-19”), which continues to spread throughout the U.S. and the world, as a pandemic. The outbreak is having an impact on the global economy, resulting in rapidly changing market and economic conditions. Similar to many businesses in the travel sector, our business has been materially adversely impacted by the recent COVID-19 outbreak and associated restrictions on travel that have been implemented. Effective March 24, 2020, we temporarily closed all global spa locations, largely due to the categorization of our spa locations by local jurisdictions as “non-essential services”. We intend to reopen our spa locations and resume normal operations once restrictions on non-essential services are lifted and airport traffic returns to sufficient levels to support our operations. On March 25, 2020, we announced that, during such period as we remain unable to reopen our spa locations for normal operations, we were advancing conversations with certain COVID-19 testing partners to develop a model for testing in U.S. airports.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temporary closing of our global spa operations has had a materially adverse impact on our cash flows from operations and caused a liquidity crisis. As a result, management has concluded that there was a long-lived asset impairment triggering event during the first quarter of 2020, which will result in management performing an impairment evaluation of certain of its long-lived asset balances (primarily leasehold improvements and right of use lease assets totaling approximately $16,318 as of December 31, 2019). This could lead to us recording an impairment charge during the first quarter of 2020.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currently seeking sources of capital to help fund our business operations during the COVID-19 crisis. We have been able to secure financing during the first quarter of 2020 totaling gross proceeds of approximately $9,440 by obtaining a cash advance on our accounts receivable balances, a loan from our senior secured lender, B3D, LLC (“B3D”), and through common stock offerings (see discussion below). Depending on the impact of the COVID-19 outbreak on our operations and cash position we may need to obtain additional financing. If we need to obtain additional financing in the future and are unsuccessful, we may be required to curtail or terminate some or all of our business operations and cause our Board of Directors to possibly pursue a restructuring, which may include a reorganization or bankruptcy under Federal bankruptcy laws, or a dissolution, liquidation and/or winding up of the Company. Accordingly, holders of our secured and unsecured debt and common stock may lose their entire investment in the event of a reorganization, bankruptcy, liquidation, dissolution or winding up of the Company.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2019, we had approximately $2,184 of cash and cash equivalents, total current assets of approximately $3,933. Our total current liabilities balance, which includes primarily accounts payable, accrued expenses, and the current portion of operating lease liabilities was $16,220 as of December 31, 2019. The working capital deficiency was $12,287 as of December 31, 2019, compared to a working capital deficiency of $10,899 as of December 31, 2018. The increase in the working capital deficiency was primarily due to the reduction in cash and other current asset balances from 2018 and the inclusion of a portion of lease liability of $3,669 in current liabilities in 2019 but not in 2018, partially offset by the refinancing and recapitalization transactions the Company completed in July of 2019, which are discussed in the notes to the consolidated financial statements.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aggressively reduced operating and overhead expenses, and while we continue to focus on our overall profitability, we have continued to generate negative cash flows from operations, and we expect to incur net losses for the foreseeable future, especially considering the negative impact COVID-19 will have on our liquidity and financial position. As discussed elsewhere in this Annual Report on Form 10-K, the report of our independent registered public accounting firm on our financial statements for the years ended December 31, 2019 and 2018 includes an explanatory paragraph indicating that there is substantial doubt about our ability to continue as a going concern. The audited consolidated financial statements included in this Annual Report on Form 10-K have been prepared assuming that we will continue as a going concern and do not include any adjustments that might result if we cease to continue as a going concern.</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taken actions to improve our overall cash position and access to liquidity through debt and equity financings, by exploring valuable strategic partnerships, right-sizing our corporate structure, and stream-lining our operations. These actions improve our overall cash position and assist with our liquidity needs; however, there can be no assurance that these actions will be sufficient.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9, 2020, fifteen of our wholly 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(the “Collection Amount”). The Borrowers agreed to repay the Collection Amount on or before the 12-month anniversary of the funding date of the advance by authorizing the CC Lender to retain a fixed daily repayment amount. The advance of funds is secured by substantially all of the assets of the CC Borrowers, including CC Borrowers’ existing and future accounts receivable and other rights to payment, including accounts receivable arising out of the CC Borrowers’ acceptance or other use of any credit cards, charge cards, debit cards or similar forms of payments. The funds received from advances may be used in the ordinary course of business consistent with past practices. The CC Agreement additionally includes certain stated events of default, upon which the Lender is entitled to increase the fixed daily payments made to the Lender and to increase the interest rate. As a result of the COVID-19 pandemic and closing of our spas on March 24, 2020, we have entered into a revised, reduced repayment amount equal to $10 per week versus approximately $31 per week.</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compensation for the consent of existing creditor B3D to the Agreement described above, on January 9, 2020, XpresSpa Holdings, LLC, (“XpresSpa Holdings”) our wholly-owned subsidiary, entered into a fifth amendment (the “Fifth Credit Agreement Amendment”) to its existing Credit Agreement with B3D in order to, among other provisions, (i) amend and restate its existing convertible promissory note (the “B3D Note”) in order to increase the principal amount owed to B3D from $7,000 to $7,150, which additional $150 in principal and any interest accrued thereon will be convertible, at B3D’s option, into shares of our Common Stock subject to receipt of the approval of our stockholders in accordance with applicable law and the rules and regulations of the Nasdaq Stock Market and (ii) provide for the advance payment of 291,669 shares of Common Stock in satisfaction of the interest payable pursuant to the B3D Note for the months of October, November and December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B3D Senior Secured Loan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6, 2020, XpresSpa Holdings, entered into a sixth amendment (the “Sixth Credit Agreement Amendment”) to its existing credit agreement with B3D in order to, among other provisions, (i) amend and restate the B3D Note in order to increase the principal amount owed to B3D from $7,150 to $7,900, which additional $750 in principal (consisting of $500 in new funding discussed below and $250 in unfunded principal) and any interest accrued thereon will be convertible, at B3D’s option, into shares of our Common Stock; provided, however, that the additional $750 in principal and any interest accrued thereon shall neither be convertible into Common Stock or interest payable in Common Stock prior to receipt of the approval of our stockholders in accordance with applicable law and the rules and regulations of the Nasdaq Stock Market and (ii) decrease the conversion rate under the B3D Note from $2.00 per share to $0.56 per share, pursuant to the authority of our Board of Directors to voluntarily reduce the conversion rate in its discretion, which was previously approved by our stockholders on October 2, 2019.</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Sixth Credit Agreement Amendment and B3D Note, B3D agreed to provide us with $500 in additional funding and to submit conversion notices to convert (i) an aggregate of $375 in principal to Common Stock on March 6, 2020 and (ii) an additional aggregate of $375 in principal to Common Stock on or prior to March 27, 2020.</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Common Stock Offerings and Warrant Exchange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19, 2020, we entered into a Securities Purchase Agreement (the “First Purchase Agreement”) with certain purchasers named therein, pursuant to which we agreed to issue and sell, in a registered direct offering, (i) 4,153,383 shares of our Common Stock, at an offering price of $0.175 per share and (ii) an aggregate of 2,132,333 pre-funded warrants exercisable for shares of Common Stock (the “First Pre-Funded Warrants”) at an offering price of $0.165 per First Pre-Funded Warrant (the offering of the shares of Common Stock and the First Pre-Funded Warrants, the “First Offering”). We received gross proceeds of approximately $1,100 in connection with the First Offering, before deducting financial advisory consultant fees and related offering expenses. The First Pre-Funded Warrants were sold to the purchasers to the extent that a purchaser’s subscription of shares of Common Stock in the First Offering would otherwise result in the purchaser, together with its affiliates and certain related parties, beneficially owning more than 4.99% of our outstanding Common Stock immediately following the consummation of the Offering, in lieu of shares of Common Stock. Each First Pre-Funded Warrant represented the right to purchase one share of Common Stock at an exercise price of $0.01 per share. The First Pre-Funded Warrants were exercised in full in March 2020.</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19, 2020, we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Pursuant to the Exchange Agreements, on the closing date and subject to (i) the receipt of approval of our stockholders as required by the applicable rules and regulations of the Nasdaq Stock Market and (ii) the receipt of approval of our stockholders to increase our authorized shares, the holders of Exchanged Warrants would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 and (ii) 1.5 (the “Exchange”). To the extent any holder of Exchanged Warrants would otherwise beneficially own in excess of any beneficial ownership limitation applicable to such holder after giving effect to the Exchange, that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 The closing is expected to take place on the first business day on which the conditions to the closing are satisfied or waived, subject to satisfaction of customary closing conditions.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25, 2020, we entered into a Securities Purchase Agreement (the “Second Purchase Agreement”) with certain purchasers, pursuant to which we agreed to issue and sell, in a registered direct offering, (i) 7,450,000 shares of our Common Stock, at an offering price of $0.20 per share and (ii) an aggregate of 1,500,000 pre-funded warrants exercisable for shares of Common Stock (the “Second Pre-Funded Warrants”) at an offering price of $0.19 per Second Pre-Funded Warrant (the offering of the shares of Common Stock and the Second Pre-Funded Warrants, the “Second Offering”). We received gross proceeds of approximately $1,790 in connection with the Second Offering, before deducting financial advisory consultant fees and related offering expenses. The Second Pre-Funded Warrants are being sold to the purchasers to the extent that a purchaser’s subscription of shares of Common Stock in the Second Offering would not otherwise result in the purchaser, together with its affiliates and certain related parties, beneficially owning more than 4.99% (or, in certain cases, 9.99%) of our outstanding Common Stock immediately following the consummation of the Second Offering, in lieu of shares of Common Stock. Each Second Prefunded Warrant represented the right to purchase one share of Common Stock at an exercise price of $0.01 per share. The Second Pre-Funded Warrants were exercised in full in March 2020.</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we entered into a Securities Purchase Agreement (the “Third Purchase Agreement”) with certain purchasers named therein, pursuant to which we agreed to issue and sell, in a registered direct offering, (i) 7,895,000 shares of our Common Stock, at an offering price of $0.20 per share and (ii) an aggregate of 2,105,000 pre-funded warrants exercisable for shares of Common Stock (the “Third Pre-Funded Warrants”) at an offering price of $0.19 per Third Pre-Funded Warrant (the offering of the shares of Common Stock and the Pre-Funded Warrants, the “Offering”). We received gross proceeds of approximately $2,000 in connection with the Third Offering, before deducting financial advisory consultant fees and related offering expenses. The Third Pre-Funded Warrants are being sold to the purchasers to the extent that a purchaser’s subscription of shares of Common Stock in the Offering would otherwise result in the purchaser, together with its affiliates and certain related parties, beneficially owning more than 4.99% (or, in certain cases, 9.99%) of our outstanding Common Stock immediately following the consummation of the Third Offering, in lieu of shares of Common Stock. Each Third Prefunded Warrant represents the right to purchase one share of Common Stock at an exercise price of $0.01 per share. The Third Pre-Funded Warrants were exercised in full in March and April 2020.</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6, 2020, we entered into a Securities Purchase Agreement (the “Fourth Purchase Agreement”) with certain purchasers named therein, pursuant to which we agreed to issue and sell, in a registered direct offering, (i) 12,418,179 shares of Common Stock, at an offering price of $0.22 per share and (ii) an aggregate of 1,445,454 pre-funded warrants exercisable for shares of Common Stock (the “Fourth Pre-Funded Warrants”) at an offering price of $0.21 per Fourth Pre-Funded Warrant (the offering of the shares of Common Stock and the Fourth Pre-Funded Warrants, the “Fourth Offering”). We received gross proceeds of approximately $3,050 in connection with the Fourth Offering, before deducting financial advisory consultant fees and related offering expenses. The Fourth Pre-Funded Warrants were sold to the purchasers to the extent that a purchaser’s subscription of shares of Common Stock in the Fourth Offering would otherwise result in the purchaser, together with its affiliates and certain related parties, beneficially owning more than 4.99% (or, in certain cases, 9.99%) of our outstanding Common Stock immediately following the consummation of the Fourth Offering, in lieu of shares of Common Stock. Each Fourth Prefunded Warrant represented the right to purchase one share of Common Stock at an exercise price of $0.01 per share.</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Calm Private Placement and Collaboration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Calm Private Placement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8, 2019, we entered into a securities purchase agreement (the “Calm Purchase Agreement”) with Calm.com (“Calm”) pursuant to which we agreed to sell (i) an aggregate principal amount of $2,500 in an unsecured convertible note due 2022 (the “Calm Note”), which is convertible into shares of Series E Convertible Preferred Stock (the “Series E Preferred Stock”) and (ii) warrants to purchase 937,500 shares of our Common Stock, at an exercise price of $2.00 per share (the “Calm Warrants”) (collectively, the “Calm Private Placement”).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Calm Note is an unsecured subordinated obligation of ours. Unless earlier converted or redeemed, the Calm Note will mature on May 31, 2022. The Calm Note bears interest at a rate of 5% per annum, subject to increase in the event of default to the lesser of 18% per annum or the maximum rate permitted under applicable law. The Calm Note is convertible at any time, in whole or in part, at the option of Calm into shares of Series E Preferred Stock at a conversion price equal to $0.27125 per share, after giving effect to certain anti-dilution adjustments, except that no shares of Series E Preferred Stock could be issued as payment of interest or in connection with anti-dilution protection or voluntary reduction of the conversion price until receipt of shareholder approval, which approval was obtained on October 2, 2019. Interest on the Calm Note is payable in arrears beginning on the last day of each February, May, August and November. We may elect to pay interest in cash, shares of Series E Preferred Stock or a combination thereof.</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17, 2020, we entered into an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Calm Warrants entitle Calm to purchase an aggregate of 937,500 shares of Common Stock. The Calm Warrants are exercisable beginning six months from the date of issuance, have a term of five years and feature an exercise price equal to $0.175 per share after giving effect to certain anti-dilution adjustments.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Long-term Notes and Convertible Notes”,</w:t>
      </w:r>
      <w:r>
        <w:rPr>
          <w:rFonts w:ascii="Arial" w:cs="Arial" w:eastAsia="Arial" w:hAnsi="Arial"/>
          <w:sz w:val="18"/>
          <w:szCs w:val="18"/>
          <w:color w:val="auto"/>
        </w:rPr>
        <w:t xml:space="preserve"> to the consolidated financial statements for discussion of the accounting for the Calm Private Placement.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Calm Collaboration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8, 2019, we entered into an Amended and Restated Product Sale and Marketing Agreement with Calm (the “Amended and Restated Collaboration Agreement”), which replaced the parties’ previous Product Sale and Marketing Agreement. The Amended and Restated Collaboration Agreement primarily relates to the display, marketing, promotion, offer for sale and sale of Calm’s products in each of our branded stores worldwide. The Amended and Restated Collaboration Agreement will remain in effect until July 31, 2021, unless terminated earlier in accordance with the Amended and Restated Collaboration Agreement, and automatically renews for successive terms of six months unless either party provides written notice of termination no later than thirty days prior to any such automatic renewal of the Amended and Restated Collaboration Agreement. On October 30, 2019, we and Calm entered into an amendment to the Amended and Restated Collaboration Agreement which provides for the addition of certain Calm branded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Designation of Series E Convertible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July 8, 2019, we filed a certificate of amendment to the Certificate of Designation of Series E Convertible Preferred Stock (the “Series E COD Amendment”) with the State of Delaware to (i) increase the number of authorized shares of Series E Preferred Stock to 2,397,060 and (ii) upon receipt of Shareholder Approval, reduce the conversion price to $2.00. The Series E COD Amendment was approved by our Board of Directors and we obtained shareholder approval of the Series E COD Amendment on October 2, 2019. See Note 11, </w:t>
      </w:r>
      <w:r>
        <w:rPr>
          <w:rFonts w:ascii="Arial" w:cs="Arial" w:eastAsia="Arial" w:hAnsi="Arial"/>
          <w:sz w:val="18"/>
          <w:szCs w:val="18"/>
          <w:i w:val="1"/>
          <w:iCs w:val="1"/>
          <w:color w:val="auto"/>
        </w:rPr>
        <w:t>“Preferred Stock and Warrants”</w:t>
      </w:r>
      <w:r>
        <w:rPr>
          <w:rFonts w:ascii="Arial" w:cs="Arial" w:eastAsia="Arial" w:hAnsi="Arial"/>
          <w:sz w:val="18"/>
          <w:szCs w:val="18"/>
          <w:color w:val="auto"/>
        </w:rPr>
        <w:t xml:space="preserve"> to the consolidated financial statements for further discussion</w:t>
      </w:r>
      <w:r>
        <w:rPr>
          <w:rFonts w:ascii="Arial" w:cs="Arial" w:eastAsia="Arial" w:hAnsi="Arial"/>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B3D Transaction and Senior Secured Note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8, 2019, Holdings entered into the fourth amendment (the “Credit Agreement Amendment”) to its existing Credit Agreement with B3D, LLC (“B3D”) (the “Senior Secured Note” or the “B3D Note”) in order to, among other provisions, (i) extend the maturity date to May 31, 2021, (ii) reduce the applicable interest rate to 9.0%, and (iii) to amend and restate certain other provisions relating to its 11.24% Senior Secured Note. As consideration for these and other modifications the principal amount owed to B3D was increased to $7.0 million. Principal and any interest accrued thereon are convertible, at B3D’s option, into Common Stock subject to receipt of shareholder approval, which was obtained on October 2, 2019 (the “B3D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B3D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B3D Note is a senior secured and guaranteed obligation of Holdings, secured by the personal property of the parent company of Holdings (XpresSpa Group, Inc.) and Holdings’ wholly owned subsidiaries. Unless earlier converted or redeemed, the B3D Note will mature on May 31, 2021. The B3D Note bears interest at a rate of 9.00% per annum, calculated on a monthly basis. Interest only is payable in arrears on the last business date of each month (the "Monthly Interest"). At the option of Holdings, under certain conditions all or any portion of the Monthly Interest that is payable may be paid in shares of our Common Stock. At the option of B3D, all or any portion of the outstanding principal amount of the B3D Note, plus any accrued and unpaid interest thereon, shall be convertible into our Common Stock at a conversion price equal to $0.175 per share after giving effect to certain anti-dilution adjustments.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"Long-term Notes and Convertible Notes"</w:t>
      </w:r>
      <w:r>
        <w:rPr>
          <w:rFonts w:ascii="Arial" w:cs="Arial" w:eastAsia="Arial" w:hAnsi="Arial"/>
          <w:sz w:val="18"/>
          <w:szCs w:val="18"/>
          <w:color w:val="auto"/>
        </w:rPr>
        <w:t>, to the consolidated financial statements for discussion of the accounting for the B3D Transaction and B3D Note.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2019, we entered into an amendment to the B3D Note. Among other provisions, the amendment provided that B3D shall not have the right to convert the B3D Note into shares of Common Stock to the extent that such conversion would cause B3D to beneficially own in excess of the applicable beneficial ownership limitation initially defined as 4.99% of the number of shares of Common Stock outstanding immediately after giving effect to the issuance of shares of Common Stock issuable upon conversion of the B3D Note.</w:t>
      </w:r>
    </w:p>
    <w:p>
      <w:pPr>
        <w:sectPr>
          <w:pgSz w:w="11900" w:h="16838" w:orient="portrait"/>
          <w:cols w:equalWidth="0" w:num="1">
            <w:col w:w="11240"/>
          </w:cols>
          <w:pgMar w:left="320" w:top="908" w:right="339" w:bottom="0" w:gutter="0" w:footer="0" w:header="0"/>
        </w:sectPr>
      </w:pPr>
    </w:p>
    <w:bookmarkStart w:id="36" w:name="page37"/>
    <w:bookmarkEnd w:id="36"/>
    <w:p>
      <w:pPr>
        <w:jc w:val="center"/>
        <w:ind w:right="7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Series D Convertible Preferred Stock Amendment and December 2016 Warrant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D Convertible Preferred Stock Amendment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8, 2019, we filed a certificate of amendment to the Certificate of Designation of Series D Convertible Preferred Stock (the “Series D COD Amendment”) with the State of Delaware to, upon receipt of shareholder approval, reduce the conversion price to $2.00 and provide for automatic conversion of the Series D Convertible Preferred Stock (the “Series D Preferred Stock”) into shares of Common Stock. The Series D COD Amendment was approved by our Board and we obtained shareholder approval on October 2, 2019. In connection with the approval of the Series D COD Amendment, on October 4, 2019 all issued and outstanding shares of our Series D Preferred Stock were converted into 12,772,500 shares of our Common Stock except to the extent that any holder of Series D Preferred Stock would otherwise beneficially own in excess any beneficial ownership limitation applicable to such holder after giving effect to the conversion, in which case such holder’s Series D Preferred Stock converted automatically into warrants to purchase the number of shares of our Common Stock equal to the number of shares of Common Stock into which the holder’s Series D Preferred Stock would otherwise have converted.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2016 Warrant Amendment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8, 2019, we entered into an amendment to certain outstanding warrants issued in December 2016 (the “December 2016 Warrants”) to the holders of our Series D Preferred Stock (the “December 2016 Warrant Amendment”) to provide for (i) a reduction in the price to convert to Common Stock to $2.00,</w:t>
      </w:r>
    </w:p>
    <w:p>
      <w:pPr>
        <w:jc w:val="both"/>
        <w:ind w:firstLine="8"/>
        <w:spacing w:after="0" w:line="302" w:lineRule="auto"/>
        <w:tabs>
          <w:tab w:leader="none" w:pos="2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anti-dilution price protection and (iii) voluntary reduction of the conversion price by us in our discretion. We obtained shareholder approval in connection with the December 2016 Warrant Amendment on October 2, 2019. The December 2016 Warrants were recorded as an equity instrument at December 31, 2016. As such, no adjustment to the consolidated financial statements was made as a result of the change in the conversion price.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2018 SPA Amendment, Series F Preferred Stock and Series B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May 2018 SPA Amendment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15, 2018, in a private placement offering, we issued (i) 5% Secured Convertible Notes (the “5% Secured Convertible Notes”) convertible into Common Stock at $12.40 per share, due November 2019, (ii) May 2018 Class A Warrants to purchase 357,863 shares of Common Stock (the “May 2018 Class A Warrants”) and (iii) Class B Warrants to purchase 178,932 shares of Common Stock (the “May 2018 Class B Warrants”).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June 27, 2019, we entered into the Third Amendment Agreement to the 5% Secured Convertible Notes (the “Third Amendment”) whereby the holders of the 5% Convertible Notes agreed to convert their notes then held into Common Stock. The Third Amendment reduced the conversion price of the 5% Convertible Notes to Common Stock from $12.40 per share to $2.48 per share. As a result of the reduction in the conversion price, we recorded debt conversion expense of $1,584 to account for the additional consideration paid over what was agreed to in the original 5% Secured Convertible Notes agreement. The expense is reflected in </w:t>
      </w:r>
      <w:r>
        <w:rPr>
          <w:rFonts w:ascii="Arial" w:cs="Arial" w:eastAsia="Arial" w:hAnsi="Arial"/>
          <w:sz w:val="17"/>
          <w:szCs w:val="17"/>
          <w:i w:val="1"/>
          <w:iCs w:val="1"/>
          <w:color w:val="auto"/>
        </w:rPr>
        <w:t>“Other non-operating income (expense), net”</w:t>
      </w:r>
      <w:r>
        <w:rPr>
          <w:rFonts w:ascii="Arial" w:cs="Arial" w:eastAsia="Arial" w:hAnsi="Arial"/>
          <w:sz w:val="17"/>
          <w:szCs w:val="17"/>
          <w:color w:val="auto"/>
        </w:rPr>
        <w:t xml:space="preserve"> in the consolidated statement of operations and comprehensive loss. The 5% Secured Convertible Notes holders converted their remaining outstanding principal balances plus accrued interest into 586,389 shares of Common Stock and 356 ,772 Class A Warrants (the “June 2019 Class A Warrants”). The June 2019 Class A Warrants had an exercise price of $0.01 and are otherwise identical in form and substance to our existing May 2018 Class A Warrants.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had an independent third party perform an appraisal of the June 2019 Class A Warrants as of June 30, 2019. The June 2019 Class A Warrants were assigned an initial appraised value of $689. The value of these warrants was recorded as a derivative liability on the consolidated balance sheet and is marked to market at the end of each reporting period. The expense of $689 is included in </w:t>
      </w:r>
      <w:r>
        <w:rPr>
          <w:rFonts w:ascii="Arial" w:cs="Arial" w:eastAsia="Arial" w:hAnsi="Arial"/>
          <w:sz w:val="17"/>
          <w:szCs w:val="17"/>
          <w:i w:val="1"/>
          <w:iCs w:val="1"/>
          <w:color w:val="auto"/>
        </w:rPr>
        <w:t>“Other non-operating income (expense), net”</w:t>
      </w:r>
      <w:r>
        <w:rPr>
          <w:rFonts w:ascii="Arial" w:cs="Arial" w:eastAsia="Arial" w:hAnsi="Arial"/>
          <w:sz w:val="17"/>
          <w:szCs w:val="17"/>
          <w:color w:val="auto"/>
        </w:rPr>
        <w:t xml:space="preserve"> in the consolidated statement of operations and comprehensive loss in the second quarter of 2019 and is included in our current period year end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June 2019 Class A Warrants were converted into 354,502 shares of Common Stock in July 2019.</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8, 2019, we entered into an amendment (the “May 2018 SPA Amendment”) to our Securities Purchase Agreement, dated as of May 15, 2018, by and between us and the purchasers party thereto (the “May 2018 SPA”), to provide for, among other provisions, (i) an update to certain definitions, including the definition of an “Exempt Issuance,” (ii) the waiver of certain provisions regarding restrictions on subsequent equity sales and participation in subsequent financings, (iii) the removal of certain of such provisions upon receipt of shareholder approval (obtained on October 2, 2019), (iv) the amendment to certain provisions of the May 2018 Class A Warrants issued pursuant to the May 2018 SPA to modify certain provisions in connection with a Notice Failure (as such term is defined in the May 2018 Class A Warrants), and the reduction in the exercise price of the May 2018 Class A Warrants issuable pursuant to anti-dilution price protection contained in such May 2018 Class A Warrants to $2.00 per share following receipt of shareholder approval, which approval was obtained on October 2, 2019, (v) the cancellation of all outstanding May 2018 Class B Warrants and (vi) the establishment of a new class of preferred stock, designated Series F Convertible Preferred Stock, par value $0.01 per share (the “Series F Preferred Stock”) and the issuance of 8,996 shares of such Series F Preferred Stock to the parties to the May 2018 SPA Amendment, which are convertible into Common Stock upon receipt of shareholder approval, which approval was obtained on October 2,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Series F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May 2018 SPA Amendment, on July 8, 2019, we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Preferred Stock. We designated 9,000 shares of Series F Preferred Stock. The Series F Convertible Preferred Stock was recorded at its fair value on July 8, 2019 of $1,131 in our consolidated balance sheet. See Note 11. </w:t>
      </w:r>
      <w:r>
        <w:rPr>
          <w:rFonts w:ascii="Arial" w:cs="Arial" w:eastAsia="Arial" w:hAnsi="Arial"/>
          <w:sz w:val="18"/>
          <w:szCs w:val="18"/>
          <w:i w:val="1"/>
          <w:iCs w:val="1"/>
          <w:color w:val="auto"/>
        </w:rPr>
        <w:t>“Preferred Stock and</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for further discussion.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47"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Material Weakness in Internal Controls over Financial Reporting</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In connection with our audit of the year ended December 31, 2019, we identified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Our management has concluded that the financial close and reporting process needs additional formal procedures to ensure that appropriate reviews occur on all financial reporting analysis in a timely manner. We also concluded that we did not maintain a sufficient complement of corporate personnel with appropriate levels of accounting and controls knowledge and experience commensurate with our financial reporting requirements to appropriately analyze, record and disclose accounting matters completely and accurately. As these deficiencies created a reasonable possibility that a material misstatement would not be prevented or detected in a timely basis, management concluded that the control deficiencies represented a material weakness and, accordingly, our internal control over financial reporting was not effective as of December 31, 2019.</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still considering the full extent of the procedures to implement in order to remediate the material weakness described above. Our preliminary remediation plan includes implementing a more robust review process, and an increase in the supervision and monitoring of the financial reporting processes and our accounting personnel. We will ensure that corporate accounting personnel have the level of accounting and controls knowledge and experience commensurate with our financial reporting requirements by instituting a training program for all accounting personnel on a regular basis on proper internal control procedures over financial reporting. The preliminary remediation plan also includes implementing controls over calculations, analysis and conclusions associated with non-routine transactions at a more precise level. We will also allocate additional resources to the corporate accounting function, which may include the use of independent consultants with sufficient expertise to assist in the preparation and review of certain non-recurring transactions, timely review of the account reconciliations and the preparation of quarterly and year end reporting. Lastly we will automate, where possible and practical, account analysis and calculations currently being done manually by better utilizing our current general ledger accounting system. Where cost effective, we will outsource any manual processes that are time consuming and complex so as to free up accounting personnel to spend more time preparing and reviewing account analysis.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received termination benefits including $375 payable in equal installments over a twelve-month term which commenced on February 13, 2019 and COBRA continuation coverage paid in full by the Company for up to a maximum of twelve months.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February 11, 2019, Douglas Satzman was appointed by the Company’s Board of Directors as the Chief Executive Officer of the Company and as a director of the Company to fill the position vacated by Mr. Jankowski.</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Among the first initiatives of Mr. Satzman was a critical evaluation of the profitability and strategic fit of the portfolio of spas. Consequently, a determination was made to close nine underperforming and strategically mismatched spas, or approximately 20% of the spa portfolio, while focusing efforts and capital on the performing spas, renovations of existing spas and expansion of the spa portfolio into new airports and terminals.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Relocation of Corporate Headquarters and Global Support Team</w:t>
      </w:r>
    </w:p>
    <w:p>
      <w:pPr>
        <w:spacing w:after="0" w:line="225" w:lineRule="exact"/>
        <w:rPr>
          <w:sz w:val="20"/>
          <w:szCs w:val="20"/>
          <w:color w:val="auto"/>
        </w:rPr>
      </w:pPr>
    </w:p>
    <w:p>
      <w:pPr>
        <w:jc w:val="both"/>
        <w:ind w:right="20"/>
        <w:spacing w:after="0" w:line="225" w:lineRule="auto"/>
        <w:rPr>
          <w:sz w:val="20"/>
          <w:szCs w:val="20"/>
          <w:color w:val="auto"/>
        </w:rPr>
      </w:pPr>
      <w:r>
        <w:rPr>
          <w:rFonts w:ascii="Arial" w:cs="Arial" w:eastAsia="Arial" w:hAnsi="Arial"/>
          <w:sz w:val="18"/>
          <w:szCs w:val="18"/>
          <w:color w:val="auto"/>
        </w:rPr>
        <w:t>On October 21, 2019, the Company relocated its corporate office functions and its Global Support Center in New York City from 780 Third Avenue to 254 W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The new XpresSpa Global Support Center houses all corporate employees and the move yielded a cost reduction in occupancy expenses of approximately $360 annually.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22, 2019, we filed a certificate of amendment to our amended and restated certificate of incorporation with the Secretary of State of the State of Delaware to effect a 1-for-20 reverse stock split of our shares of Common Stock. Such amendment and ratio were previously approved by our stockholders and board of directors, respectively.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reverse stock split, every twenty (20) shares of our pre-reverse split Common Stock were combined and reclassified into one (1) share of Common Stock. Proportionate voting rights and other rights of Common Stockholders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our Common Stock on February 22, 2019 and rounded to the nearest cent. No fractional shares were issued in connection with the reverse stock split.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began trading on the Nasdaq Capital Market on a post-reverse split basis at the open of business on February 25, 2019.</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October 20, 2017, we sold FLI Charge to a group of private investors and FLI Charge management, who now own and operate FLI Charge. 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 and is included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in the consolidated statement of operations and comprehensive loss for the year ended December 31, 2019.</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March 22, 2018, we sold Group Mobile to a third party. We have not provided any continued management or financing support to FLI Charge or Group Mobile. See Note 17, </w:t>
      </w:r>
      <w:r>
        <w:rPr>
          <w:rFonts w:ascii="Arial" w:cs="Arial" w:eastAsia="Arial" w:hAnsi="Arial"/>
          <w:sz w:val="18"/>
          <w:szCs w:val="18"/>
          <w:i w:val="1"/>
          <w:iCs w:val="1"/>
          <w:color w:val="auto"/>
        </w:rPr>
        <w:t>“Discontinued Operations”</w:t>
      </w:r>
      <w:r>
        <w:rPr>
          <w:rFonts w:ascii="Arial" w:cs="Arial" w:eastAsia="Arial" w:hAnsi="Arial"/>
          <w:sz w:val="18"/>
          <w:szCs w:val="18"/>
          <w:color w:val="auto"/>
        </w:rPr>
        <w:t>, to the consolidated financial statements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Rebranding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5, 2018, we changed our name to XpresSpa Group, Inc. from FORM Holdings Corp, which aligned our corporate strategy to build a pure-play health and wellness services company. Our Common Stock, par value $0.01 per share, which had previously been listed under the trading symbol “FH” on the Nasdaq Capital Market, has been listed under the trading symbol “XSPA” since January 8,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Patents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2018, we sold certain patents to Crypto Currency Patent Holdings Company LLC, a unit of Marathon Patent Group, Inc. (“Marathon”), for approximately $1,250 comprised of $250 in cash and 250,000 shares of Marathon Common Stock valued at approximately $1,000 (the “Marathon Common Stock”) at the time of the transaction. The Marathon Common Stock was subject to a lockup period (the “Lockup Period”) which commenced on the Transaction Date and ended on July 11, 2018, subject to a leak-out provision. On December 31, 2018, the Company determined based on its evaluation of its investment that certain of Marathon’s unrealized losses represented an other-than-temporary impairment and the Company recognized an impairment charge of $148 for the year ended December 31, 2018, equal to the excess of carrying value over fair value. Also, during the year ended December 31, 2018, the Company sold 205,646 shares of Marathon Common Stock, with a carrying value of $279, for net proceeds of $200. During the year ended December 31, 2019, the Company sold its remaining shares of Marathon Common Stock of $23, for net proceeds of $14.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r>
      <w:tr>
        <w:trPr>
          <w:trHeight w:val="198"/>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1"/>
              </w:rPr>
              <w:t>Non-Comp</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Non-Comp</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 Store</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Store</w:t>
            </w:r>
          </w:p>
        </w:tc>
        <w:tc>
          <w:tcPr>
            <w:tcW w:w="2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 Store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Store</w:t>
            </w:r>
          </w:p>
        </w:tc>
        <w:tc>
          <w:tcPr>
            <w:tcW w:w="240" w:type="dxa"/>
            <w:vAlign w:val="bottom"/>
          </w:tcPr>
          <w:p>
            <w:pPr>
              <w:spacing w:after="0"/>
              <w:rPr>
                <w:sz w:val="20"/>
                <w:szCs w:val="20"/>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1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7"/>
        </w:trPr>
        <w:tc>
          <w:tcPr>
            <w:tcW w:w="1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 Store Sales increased 2.9% during the year ended December 31, 2019 as compared to the same period in 2018. As of December 31, 2019, XpresSpa had 51 open locations; during the year, XpresSpa opened four new locations, and closed nine underperforming locations while having 56 open locations as of December 31, 2018. The increase in Comp Store sales was due to an increase in traffic, an increase in average ticket price per customer and an increase in the sale of new products (Calm products, and Persona subscriptions and vitamin packs).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grow XpresSpa by continuing to focus on spa-level productivity and leveraging retail partnerships to increase units per transaction, which will contribute to the growth of the Comp Store Sales and through the opening of new locations. On March 25, 2020, we announced that, during such period as we remain unable to reopen our spa locations for normal operations due to the COVID-19 outbreak, we were advancing conversations with certain COVID-19 testing partners to develop a model for testing in U.S. airports.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Full-Year 2019 and 2018 Adjusted EBITDA Loss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3760" w:type="dxa"/>
            <w:vAlign w:val="bottom"/>
            <w:tcBorders>
              <w:top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2"/>
              </w:rPr>
              <w:t>Years ended December 31,</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7,320</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5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1,206</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48,515</w:t>
            </w:r>
          </w:p>
        </w:tc>
        <w:tc>
          <w:tcPr>
            <w:tcW w:w="26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50,094</w:t>
            </w:r>
          </w:p>
        </w:tc>
        <w:tc>
          <w:tcPr>
            <w:tcW w:w="16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Labor</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22,847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24,369</w:t>
            </w: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7,831</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4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and other operating costs</w:t>
            </w:r>
          </w:p>
        </w:tc>
        <w:tc>
          <w:tcPr>
            <w:tcW w:w="22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7,176</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cost of sales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37,854</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39,451</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Store margin</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margin as a % of total revenue</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6,124</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Impairment/disposal of assets</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6,090</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14,319</w:t>
            </w: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16,240</w:t>
            </w:r>
          </w:p>
        </w:tc>
        <w:tc>
          <w:tcPr>
            <w:tcW w:w="0" w:type="dxa"/>
            <w:vAlign w:val="bottom"/>
          </w:tcPr>
          <w:p>
            <w:pPr>
              <w:spacing w:after="0"/>
              <w:rPr>
                <w:sz w:val="1"/>
                <w:szCs w:val="1"/>
                <w:color w:val="auto"/>
              </w:rPr>
            </w:pPr>
          </w:p>
        </w:tc>
      </w:tr>
      <w:tr>
        <w:trPr>
          <w:trHeight w:val="236"/>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64,387</w:t>
            </w:r>
          </w:p>
        </w:tc>
        <w:tc>
          <w:tcPr>
            <w:tcW w:w="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Loss from continuing operations</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(15,872)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(34,725)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6"/>
        </w:trPr>
        <w:tc>
          <w:tcPr>
            <w:tcW w:w="8360" w:type="dxa"/>
            <w:vAlign w:val="bottom"/>
            <w:gridSpan w:val="2"/>
          </w:tcPr>
          <w:p>
            <w:pPr>
              <w:ind w:left="24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(1,904)</w:t>
            </w:r>
          </w:p>
        </w:tc>
        <w:tc>
          <w:tcPr>
            <w:tcW w:w="2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gridSpan w:val="2"/>
          </w:tcPr>
          <w:p>
            <w:pPr>
              <w:ind w:left="2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gridSpan w:val="2"/>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2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8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6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(15,872)</w:t>
            </w:r>
          </w:p>
        </w:tc>
        <w:tc>
          <w:tcPr>
            <w:tcW w:w="2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(34,725)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 back:</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6,124</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Impairment/disposal of assets</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One-time costs</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use GAAP and non-GAAP measurements to assess the trends in our business. With respect to XpresSpa, we review its Adjusted EBITDA, a non-GAAP measure, which we define as earnings before interest, tax, depreciation and amortization expense, excluding merger and acquisition, integration and one-time costs and stock-based compensation.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Adjusted EBITDA is a supplemental measure of financial performance that is not required by, or presented in accordance with, GAAP. Reconciliations of operating loss from continuing operations for the Company for the years ended December 31, 2019 and 2018 to Adjusted EBITDA loss are presented in the tables above.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863"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from the sale of XpresSpa products and services when the services are rendered at our stores and from the sale of products at the time products are purchased at our stores or online (usually by credit card), net of discounts and applicable sales taxes. Accordingly, we recognize revenue for our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 We exclude all sales taxes assessed to our customers. Sales taxes assessed on revenues are included in accounts payable, accrued expenses and other current liabilities in the consolidated balance sheets until remitted to state agencies.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includes one-time intellectual property licenses as well as the sale of certain of our intellectual property. Revenue from patent licensing is recognized when we transfer promised intellectual property rights to purchasers in an amount that reflects the consideration to which we expect to be entitled in exchange for those intellectual property rights. During the year ended December 31, 2018, we determined that our intellectual property operating segment was no longer an area of focus for us and, as such, is no longer reflected as a separate operating segment, as it is not expected to generate any material revenues or operating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associated with revenue from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is stated at cost, net of accumulated depreciation. Depreciation is calculated on a straight-line basis over the estimated useful lives of the assets. The useful lives of our property and equipment is based on estimates of the period over which we expect the assets to be of economic benefit to us. Our property and equipment assets primarily consist of leasehold improvements to our stores and are amortized over the shorter of the useful life of the asset or the term of the 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our intangible assets are recognized on a straight-line basis over the remaining useful life of the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Impairment/disposal of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test our long-lived assets (which primarily includes property and equipment and right of use lease asset) for impairment on at least an annual basis or whenever circumstances indicate that the carrying amount may not be recoverable. Long-lived assets are tested for impairment at the lowest level at which there are identifiable operating cash flows. An impairment loss is recognized if the carrying amount of a fixed asset (asset group) is not recoverable and exceeds its fair value.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Impairment charges related to our amortized, intangible assets are recorded when an impairment indicator exists and the carrying amount of the related asset exceeds its fair value.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public and investor relations, overhead/office costs, insurance legal fees, accounting fees and various other professional fees, as well as sales and marketing costs and stock-based compensation for management and administrative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Non-operating income (expense) includes transaction gains (losses) from foreign exchange rate differences, bank charges, as well as fair value adjustments related to our derivative liabilities. The value of these derivative liabilities is highly influenced by assumptions used in its valuation, as well as by our stock price as of the period end (revaluation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deferred tax assets generated from our activities in the United States were offset by a valuation allowance because realization depends on generating future taxable income, which, in our estimation, is not more likely than not to be generated before such net operating loss carryforwards expire.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gridSpan w:val="2"/>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Products</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7,320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(811)</w:t>
            </w: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17"/>
        </w:trPr>
        <w:tc>
          <w:tcPr>
            <w:tcW w:w="6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48,515</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2019, total revenues decreased $1,579, or 3.2%, mainly due to the decrease in the number of spas open during the year as compared to the comparable prior year period. The Company closed nine stores during the year ended December 31, 2019, all of which were unprofitable. During 2019, we generated 82% of our revenues from services, 15% of our revenues from retail sales and 3% from other revenue. We plan to grow XpresSpa’s revenue through a combination of increases in sales at our existing XpresSpa locations and the addition of new locations.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2017, we sold FLI Charge, a wholly-owned subsidiary, to a group of private investors and FLI Charge management. In February 2019, we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 and is included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in the consolidated statement of operations and comprehensive loss for the year ended December 31, 2019.</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year ended December 31, 2018, we sold certain of our patents for consideration which included $250 and 250,000 shares of Common Stock in Marathon Patent Group, Inc. that were fair valued at $450, which amounts were included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in our consolidated statement of operations and comprehensive loss for the year ended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b w:val="1"/>
                <w:bCs w:val="1"/>
                <w:i w:val="1"/>
                <w:iCs w:val="1"/>
                <w:color w:val="auto"/>
              </w:rPr>
              <w:t>Cost of sales</w:t>
            </w:r>
          </w:p>
        </w:tc>
        <w:tc>
          <w:tcPr>
            <w:tcW w:w="3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9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96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20"/>
                <w:szCs w:val="20"/>
                <w:color w:val="auto"/>
              </w:rPr>
            </w:pP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37,854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39,451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decrease in cost of sales of $1,597, or 4.0%, was due to the decrease in revenues, as we have experienced a decrease associated with labor and benefits. We had 51 open locations as of December 31, 2019, and 56 open locations as of December 31, 2018. The largest component in the cost of sales are labor costs at the store-level, as our associates receive commission-based compensation as well as additional incentives based on individual and store performance. Cost of sales also includes rent and related occupancy costs, which are primarily also a percentage of sales, as well as product costs directly associated with the procurement of retail inventory and other operating costs.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Cost of sales also decreased as a result of the impact of initiatives taken by management to streamline processes and reduce store-level costs.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7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64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20"/>
                <w:szCs w:val="20"/>
                <w:color w:val="auto"/>
              </w:rPr>
            </w:pPr>
          </w:p>
        </w:tc>
      </w:tr>
      <w:tr>
        <w:trPr>
          <w:trHeight w:val="24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1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6,124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2019, depreciation and amortization expense decreased $1,277, or 17.2%, compared to the depreciation and amortization expense recorded during the year ended December 31, 2018. The decrease was primarily due to the decrease in the number of stores open during the year ended December 31, 2019 compared to the year ended December 31, 2018. Fewer locations resulted in lower amortization of leasehold improvements. Depreciation and amortization expense also decreased as a result of the impairment and disposal of fixed assets during the year ended December 31, 2019.</w:t>
      </w:r>
    </w:p>
    <w:p>
      <w:pPr>
        <w:sectPr>
          <w:pgSz w:w="11900" w:h="16838" w:orient="portrait"/>
          <w:cols w:equalWidth="0" w:num="1">
            <w:col w:w="11240"/>
          </w:cols>
          <w:pgMar w:left="320" w:top="908" w:right="339" w:bottom="0" w:gutter="0" w:footer="0" w:header="0"/>
        </w:sectPr>
      </w:pPr>
    </w:p>
    <w:bookmarkStart w:id="43" w:name="page44"/>
    <w:bookmarkEnd w:id="43"/>
    <w:p>
      <w:pPr>
        <w:jc w:val="center"/>
        <w:ind w:right="7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Impairment/disposal of assets</w:t>
            </w:r>
          </w:p>
        </w:tc>
        <w:tc>
          <w:tcPr>
            <w:tcW w:w="2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w w:val="90"/>
              </w:rPr>
              <w:t>Year ended December 31,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4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Impairment/disposal of assets</w:t>
            </w:r>
          </w:p>
        </w:tc>
        <w:tc>
          <w:tcPr>
            <w:tcW w:w="3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completed an assessment of our property and equipment and right of use lease assets for impairment as of December 31, 2019. Based upon the results of the impairment test, we recorded an impairment expense of approximately $3,060. The expense was primarily related to the impairment of leasehold improvements made to certain locations and right of use lease assets where management determined that the locations discounted future cash flow was not enough to support the carrying value of the leasehold improvements and right of use lease assets over the remaining lease term. The impairment expense represents the excess of the carrying value of the leasehold improvements and right of use lease assets over the estimated future discounted cash flows. Management calculated the future cash flow of each location using a present value income approach. The sum of expected cash flow for the remainder of the lease term for each location was present valued at a discount rate of 9.0%, which represents the current borrowing rate of our note payable to B3D. We believe that this rate incorporates the time value of money and an appropriate risk premium.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the second quarter of 2019, we impaired our investment in Route1, which we received from the disposition of Group Mobile in March 2018, due to an under performance of operating results. We recorded an impairment charge of $1,141, which is included in </w:t>
      </w:r>
      <w:r>
        <w:rPr>
          <w:rFonts w:ascii="Arial" w:cs="Arial" w:eastAsia="Arial" w:hAnsi="Arial"/>
          <w:sz w:val="18"/>
          <w:szCs w:val="18"/>
          <w:i w:val="1"/>
          <w:iCs w:val="1"/>
          <w:color w:val="auto"/>
        </w:rPr>
        <w:t>“Impairment/disposal of assets”</w:t>
      </w:r>
      <w:r>
        <w:rPr>
          <w:rFonts w:ascii="Arial" w:cs="Arial" w:eastAsia="Arial" w:hAnsi="Arial"/>
          <w:sz w:val="18"/>
          <w:szCs w:val="18"/>
          <w:color w:val="auto"/>
        </w:rPr>
        <w:t xml:space="preserve"> on the consolidated statement of operations and comprehensive loss for the year ended December 31,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July 2019, the lease for our location in the World Trade Center in New York was terminated. As a result, we disposed of all assets (primarily leasehold improvements) at that location, which resulted in a charge of approximately $620, included in </w:t>
      </w:r>
      <w:r>
        <w:rPr>
          <w:rFonts w:ascii="Arial" w:cs="Arial" w:eastAsia="Arial" w:hAnsi="Arial"/>
          <w:sz w:val="18"/>
          <w:szCs w:val="18"/>
          <w:i w:val="1"/>
          <w:iCs w:val="1"/>
          <w:color w:val="auto"/>
        </w:rPr>
        <w:t>“Impairment/disposal of assets”</w:t>
      </w:r>
      <w:r>
        <w:rPr>
          <w:rFonts w:ascii="Arial" w:cs="Arial" w:eastAsia="Arial" w:hAnsi="Arial"/>
          <w:sz w:val="18"/>
          <w:szCs w:val="18"/>
          <w:color w:val="auto"/>
        </w:rPr>
        <w:t xml:space="preserve"> on the consolidated statement of operations and comprehensive loss for the year ended December 31,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2019, we recorded an impairment loss on our FLI Charge cost method investment, which we received from the disposition of FLI Charge in October 2017, of approximately $47 which is included in “</w:t>
      </w:r>
      <w:r>
        <w:rPr>
          <w:rFonts w:ascii="Arial" w:cs="Arial" w:eastAsia="Arial" w:hAnsi="Arial"/>
          <w:sz w:val="18"/>
          <w:szCs w:val="18"/>
          <w:i w:val="1"/>
          <w:iCs w:val="1"/>
          <w:color w:val="auto"/>
        </w:rPr>
        <w:t>Impairment/disposal of assets”</w:t>
      </w:r>
      <w:r>
        <w:rPr>
          <w:rFonts w:ascii="Arial" w:cs="Arial" w:eastAsia="Arial" w:hAnsi="Arial"/>
          <w:sz w:val="18"/>
          <w:szCs w:val="18"/>
          <w:color w:val="auto"/>
        </w:rPr>
        <w:t xml:space="preserve"> on our consolidated statements of operations and comprehensive loss for the year ended December 31, 2019.</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assessed our investment in InfoMedia Services Limited (“InfoMedia”) for impairment at December 31, 2019 as InfoMedia was to have obtained financing to fund continuing operations and a new product during 2019 but was unable to obtain the financing. We believe this represents a triggering event and determined we should write off our investment in InfoMedia and recorded an impairment expense of $787, which is included in </w:t>
      </w:r>
      <w:r>
        <w:rPr>
          <w:rFonts w:ascii="Arial" w:cs="Arial" w:eastAsia="Arial" w:hAnsi="Arial"/>
          <w:sz w:val="17"/>
          <w:szCs w:val="17"/>
          <w:i w:val="1"/>
          <w:iCs w:val="1"/>
          <w:color w:val="auto"/>
        </w:rPr>
        <w:t>“Impairment/disposal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assets” </w:t>
      </w:r>
      <w:r>
        <w:rPr>
          <w:rFonts w:ascii="Arial" w:cs="Arial" w:eastAsia="Arial" w:hAnsi="Arial"/>
          <w:sz w:val="17"/>
          <w:szCs w:val="17"/>
          <w:color w:val="auto"/>
        </w:rPr>
        <w:t>on our statement of operations and comprehensive loss for the year ended December 31, 2019.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expensed approximately $231 of pre-opening costs incurred during 2019 that had been capitalized in anticipation of opening new spas, that we later determined were not viable. We also wrote off approximately $109 related to a previous asset disposition, which was ultimately deemed not realizable as of December 31, 2019. These charges are included in the </w:t>
      </w:r>
      <w:r>
        <w:rPr>
          <w:rFonts w:ascii="Arial" w:cs="Arial" w:eastAsia="Arial" w:hAnsi="Arial"/>
          <w:sz w:val="18"/>
          <w:szCs w:val="18"/>
          <w:i w:val="1"/>
          <w:iCs w:val="1"/>
          <w:color w:val="auto"/>
        </w:rPr>
        <w:t>“Impairment/disposition of assets”</w:t>
      </w:r>
      <w:r>
        <w:rPr>
          <w:rFonts w:ascii="Arial" w:cs="Arial" w:eastAsia="Arial" w:hAnsi="Arial"/>
          <w:sz w:val="18"/>
          <w:szCs w:val="18"/>
          <w:color w:val="auto"/>
        </w:rPr>
        <w:t xml:space="preserve"> line in the consolidated statement of operations and comprehensive loss for the year ended December 31,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impairment/disposal of assets balance also includes an $85 write down of patent assets that were no longer expected to generate cash flow for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we recorded a $2,100 expense for impairment of fixed assets in locations where we have obligations under long-term leases.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Goodwill impairment</w:t>
            </w: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4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w w:val="93"/>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28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20"/>
                <w:szCs w:val="20"/>
                <w:color w:val="auto"/>
              </w:rPr>
            </w:pPr>
          </w:p>
        </w:tc>
      </w:tr>
      <w:tr>
        <w:trPr>
          <w:trHeight w:val="255"/>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we recorded of goodwill impairment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2018, we changed our name to XpresSpa Group as part of a rebranding effort to align our corporate strategy to build a pure-play health and wellness services company, which we commenced following our acquisition of XpresSpa on December 23, 2016. Following the subsequent sale of Group Mobile on March 22, 2018, which was the only remaining component of our technology operating segment, our management made the decision that our intellectual property operating segment would no longer be an area of focus and would no longer operate as a separate operating segment as it is not expected to generate any material revenues. This completed our transition into a pure-play health and wellness company with only one operating segment, consisting of our XpresSpa business.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fiscal year 2018, our stock price declined from an opening price of $27.20 on January 2, 2018 to $14.40 on March 29, 2018. Subsequently, on April 19, 2018, we entered into a separation agreement with our Chief Executive Officer regarding his resignation as Chief Executive Officer and as our Director.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events were identified by our management as triggering events requiring that goodwill be tested for impairment as of March 31, 2018. In addition to our rebranding efforts to become a pure-play health and wellness services company, our stock price continued to decline even after the announcement of the new Chief Executive Officer. As the stock price had not rebounded, we determined that the impairment related to the three-month period ended March 31,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testing on the estimated fair value of goodwill and, as a result, we recorded an impairment charge of $19,630 to reduce the carrying value of goodwill to its fair value, which was determined to be zero.</w:t>
      </w:r>
    </w:p>
    <w:p>
      <w:pPr>
        <w:sectPr>
          <w:pgSz w:w="11900" w:h="16838" w:orient="portrait"/>
          <w:cols w:equalWidth="0" w:num="1">
            <w:col w:w="11240"/>
          </w:cols>
          <w:pgMar w:left="320" w:top="908" w:right="339" w:bottom="118"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color w:val="auto"/>
        </w:rPr>
        <w:t>The impairment to goodwill was a result of the structural changes to the Company, including completion of the transition from a holding company to become a pure-play health and wellness company and the change in executive management.</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5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52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20"/>
                <w:szCs w:val="20"/>
                <w:color w:val="auto"/>
              </w:rPr>
            </w:pPr>
          </w:p>
        </w:tc>
      </w:tr>
      <w:tr>
        <w:trPr>
          <w:trHeight w:val="24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the year ended December 31, 2019, general and administrative expenses decreased by $1,921, or 11.8%. This decrease was due primarily to a reduction in management personnel salaries and benefits of approximately $2,400, an overall reduction in corporate overhead expenses and lower professional fees compared to the 2018 period where we incurred professional fees related to the sale of our Group Mobile division in March 2018 of approximately $500, and a reduction in stock-based compensation expense of $581 from $916 for the year ended December 31, 2018 to $335 for the year ended December 31, 2019. The reduction was partially offset by a litigation accrual of $1,400 related to ongoing legal disputes. See Note 19,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the consolidated financial statements for further discussion. The decrease in salaries and benefits included severance</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$350 recorded in 2018, and the decrease in professional fees included one-time project costs of $359 related to the buildout and implementation of a business analytics tool recorded in 2018, both of which did not recur in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7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10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20"/>
                <w:szCs w:val="20"/>
                <w:color w:val="auto"/>
              </w:rPr>
            </w:pP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7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2,900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increased $1,073, or 58.7%, due primarily to an increase in the accretion of interest expense associated with the Calm Note and the B3D Note of approximately $1,000.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Non-operating income (expense), net</w:t>
            </w: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8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20"/>
                <w:szCs w:val="20"/>
                <w:color w:val="auto"/>
              </w:rPr>
            </w:pPr>
          </w:p>
        </w:tc>
      </w:tr>
      <w:tr>
        <w:trPr>
          <w:trHeight w:val="24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(expense), net primarily includes, gain or loss on the revaluation of derivative liabilities, certain bank transaction fees and related costs and other 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transactions included in non-operating income (expense), net for the years ended December 31, 2019 and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revaluation of warrants and conversion options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Debt conversion expense related to conversion of 5% Secured Convertible Notes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(1,584)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F Preferred Stock, net of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Issuance of warrants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Bank fees and other financing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Issuance of common stock in lieu of cash payments on debt</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30"/>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non-operating income (expense),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non-operating income (expense), net for the year ended December 31, 2019 is expense (net of issuance costs) of $1,131 for the issuance of 8,996 shares of Series F Convertible Preferred Stock, which represents the fair value of the shares as of the date issued.</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June 27, 2019, we entered into the Third Amendment Agreement to the 5% Secured Convertible Notes (the “Third Amendment”) whereby the holders of the 5% Secured Convertible Notes agreed to convert their notes then held into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Third Amendment reduced the conversion price of the 5% Secured Convertible Notes to Common Stock from $12.40 per share to $2.48 per share. As a result of the reduction in the conversion price, we recorded a debt conversion expense of $1,584 to account for the additional consideration paid over what was agreed to in the original note agreement.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non-operating expenses for the year ended December 31, 2019, were partially offset by a $2,170 gain on the revaluation of the conversion feature and warrants related to the Calm Private Placement and the revaluation of the conversion feature related to the issuance of the B3D Note.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for additional information on the above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Non-operating income (expense) will be affected by the adjustments to the fair value of our derivative instruments, which could fluctuate materially from period to period. Fair value of these derivative instruments depends on a variety of assumptions, such as estimations regarding triggering of down-round protection and estimated future share price. An estimated increase in the price of our Common Stock would increase the value of the warrants and thus result in a loss on our statements of operations.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3" w:gutter="0" w:footer="0" w:header="0"/>
        </w:sectPr>
      </w:pPr>
    </w:p>
    <w:bookmarkStart w:id="47" w:name="page48"/>
    <w:bookmarkEnd w:id="47"/>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2018, we completed the sale of Group Mobile, which was previously a component of our technology operating segment. The results of operations for Group Mobile are presented in the consolidated statements of operations and comprehensive loss as consolidated net loss from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2019, our estimated aggregate total NOLs were $182,327 for U.S. federal purposes, expiring 20 years from the respective tax years to which they relate, and $31,401 for U.S. federal purposes with an indefinite life due to new regulations in the Tax Act of 2017. The NOL amounts are presented before Internal Revenue Code, Section 382 limitations. The Tax Reform Act of 1986 imposed substantial restrictions on the utilization of NOL and tax credits in the event of an ownership change of a corporation. Thus, our ability to utilize all such NOL and credit carryforwards may be limited. The CARES Act was enacted on March 27, 2020 and provides favorable changes to tax law for businesses impacted by COVID-19. However, we do not anticipate the income tax law changes will materially benefit us.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any material unrecognized tax benefits as of December 31, 2019.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24, 2020, we temporarily closed all global spa locations, largely due to the categorization of such spa locations by local jurisdictions as “non-essential services” in connection with the recent COVID-19 outbreak. We intend to reopen our spa locations and resume normal operations once such restrictions are lifted and airport traffic returns to sufficient levels to support such operations. On March 25, 2020, we announced that, during such period as we remain unable to reopen our spa locations for normal operations, we were advancing conversations with certain COVID-19 testing partners to develop a model for testing in U.S. airports.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coronavirus has spread, we have seen a material decline in demand across all our locations and this has resulted in a materially adverse impact on our cash flows from operations and has caused an immediate liquidity crisis. We are currently seeking sources of capital to help fund our business operations during the COVID-19 crisis. We have been able to secure financing in the first quarter of 2020 totaling approximately $9,440 by obtaining a cash advance on our accounts receivable balances, an additional loan from our senior secured lender, B3D and through common stock offerings (See Recent Developments above). Depending on the impact of the COVID-19 outbreak on our operations and cash position we may need to obtain additional financing. If we need to obtain additional financing in the future and are unsuccessful,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December 31, 2019, we had approximately $2,184 of cash and cash equivalents and total current assets of $3,933. Our total current liabilities balance, which primarily includes accounts payable, accrued expenses, and the current portion of operating lease liabilities was $16,220 as of December 31, 2019. The working capital deficiency was $12,287 as of December 31, 2019, compared to a working capital deficiency of $10,899 as of December 31,</w:t>
      </w:r>
    </w:p>
    <w:p>
      <w:pPr>
        <w:spacing w:after="0" w:line="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2018. The increase in the working capital deficiency was primarily due to the reduction in cash and other current asset balances from 2018 and the classification of a current portion of lease liability of $3,669 in current liabilities in 2019 but not in 2018, partially offset by the refinancing and recapitalization transactions the Company completed in July of 2019, which are discussed in detail in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in this Annual Report on Form 10-K and disclosed in the notes to the consolidated financial statements.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primary liquidity and capital requirements are for current and new XpresSpa locations. During the year ended December 31, 2019, we incurred $2,275 of capital expenditures, paid $714 in debt issuance costs associated with the B3D Note and the Calm Note, paid $735 of interest on the debt, distributed $1,197 to noncontrolling interests, and used $113 in operations. This was offset by the receipt of $2,500 in gross proceeds from the Calm Private Placement. We expect to utilize our cash and cash equivalents, along with cash flows from operations, to provide capital to support the growth of our business, primarily through opening new XpresSpa locations, maintaining our existing XpresSpa locations and supporting corporate functions.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aggressively reduced operating and corporate overhead expenses in order to stream-line our operations, improve our cash position, and improve our overall profitability, we continue to generate negative cash flows from operations, and we expect to continue to incur net losses in the foreseeable future. We have begun to take other actions to improve our access to liquidity by exploring strategic partnerships and identifying and evaluating potential business alternatives; however, there can be no assurance that these actions will be sufficient. The audited consolidated financial statements included in this Annual Report on Form 10-K have been prepared assuming that we will continue as a going concern and do not include any adjustments that might result if we cease to continue as a going concern.</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above and elsewhere in this Annual Report on Form 10-K, the report of our independent registered public accounting firm on our financial statements for the years ended December 31, 2019 and 2018 includes an explanatory paragraph indicating that there is substantial doubt about our ability to continue as a going concern. The audited financial statements included in this Annual Report on Form 10-K have been prepared assuming that we will continue as a going concern and do not include any adjustments that might result if we cease to continue as a going concern.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that the actions taken in 2019 and during the first quarter of 2020 will enhance our liquidity and financial position. If we continue to experience operating losses, and we are not able to generate additional liquidity through the actions described above or through some combination of other actions,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 We cannot reasonably predict with any certainty that the results of actions already taken in 2019 and during the first quarter of 2020 will be successful. If the actions already taken are not successful and if no transactions with respect to potential business alternatives are identified and completed, our Board of Directors may possibly pursue a restructuring, which may include a reorganization or bankruptcy under Federal bankruptcy laws, or a dissolution,</w:t>
      </w:r>
    </w:p>
    <w:p>
      <w:pPr>
        <w:sectPr>
          <w:pgSz w:w="11900" w:h="16926" w:orient="portrait"/>
          <w:cols w:equalWidth="0" w:num="1">
            <w:col w:w="11240"/>
          </w:cols>
          <w:pgMar w:left="320" w:top="908" w:right="339" w:bottom="0" w:gutter="0" w:footer="0" w:header="0"/>
        </w:sectPr>
      </w:pPr>
    </w:p>
    <w:bookmarkStart w:id="48" w:name="page49"/>
    <w:bookmarkEnd w:id="48"/>
    <w:p>
      <w:pPr>
        <w:jc w:val="both"/>
        <w:spacing w:after="0" w:line="288" w:lineRule="auto"/>
        <w:rPr>
          <w:sz w:val="20"/>
          <w:szCs w:val="20"/>
          <w:color w:val="auto"/>
        </w:rPr>
      </w:pPr>
      <w:r>
        <w:rPr>
          <w:rFonts w:ascii="Arial" w:cs="Arial" w:eastAsia="Arial" w:hAnsi="Arial"/>
          <w:sz w:val="16"/>
          <w:szCs w:val="16"/>
          <w:color w:val="auto"/>
        </w:rPr>
        <w:t>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our Company.</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(2,275)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(1,866)</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net cash used in operating activities was $113, as compared to net cash used in operating activities in 2018 of $6,566. The decrease in net cash used in operating activities was primarily due to the timing of payments of accounts payable and certain accrued expenses and to our cost cutting measures and reduced cash used in our daily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2019, net cash used in investing activities totaled $2,275, compared to net cash used in investing activities during the year ended December 31, 2018 of $1,866. Cash used in 2019 was used to acquire primarily leasehold improvements for new store openings and renovations to existing stores. In 2018, the cash used was partially reduced by $800 received in January 2018 related to the sale of FLI Charge, $250 received from the sale of one of our patents, and $200 received from the sale of 205,646 shares of Marathon Common 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open new stores and develop supporting infrastructure and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2019, net cash provided by financing activities totaled $1,165 compared to $5,644 during the comparable prior year period. Included in the net cash provided by financing activities in 2019 were the proceeds from the issuance of the Calm Note of $2,500 that was partially offset by distributions to noncontrolling interests and payments of debt issuance costs. During the year ended December 31, 2018, the Company received proceeds from the issuance of convertible notes and warrants of $4,350 and proceeds from the sale of our Series E Preferred Stock of $3,000.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following accounting estimates to be the most critical estimates we used in preparing our consolidated financial statements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(not including amortizable intangible assets)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Long-lived assets are tested for impairment at the lowest level at which there are identifiable operating cash flows, which is at the individual spa location for the XpresSpa business.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a present value income approach. Future cash flow was calculated based on forecasts over the estimated remaining useful life of the asset group, which for each of the Company’s spa locations, is the remaining term of the operating lease. The Company uses its existing borrowing rate as the discount rate since it expects that this rate incorporates not only the time value of money but also the expectations regarding future cash flows and an appropriate risk premium.</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 (see Note 6, </w:t>
      </w:r>
      <w:r>
        <w:rPr>
          <w:rFonts w:ascii="Arial" w:cs="Arial" w:eastAsia="Arial" w:hAnsi="Arial"/>
          <w:sz w:val="18"/>
          <w:szCs w:val="18"/>
          <w:i w:val="1"/>
          <w:iCs w:val="1"/>
          <w:color w:val="auto"/>
        </w:rPr>
        <w:t>Property and Equipment</w:t>
      </w:r>
      <w:r>
        <w:rPr>
          <w:rFonts w:ascii="Arial" w:cs="Arial" w:eastAsia="Arial" w:hAnsi="Arial"/>
          <w:sz w:val="18"/>
          <w:szCs w:val="18"/>
          <w:color w:val="auto"/>
        </w:rPr>
        <w:t xml:space="preserve"> and Note 9</w:t>
      </w:r>
      <w:r>
        <w:rPr>
          <w:rFonts w:ascii="Arial" w:cs="Arial" w:eastAsia="Arial" w:hAnsi="Arial"/>
          <w:sz w:val="18"/>
          <w:szCs w:val="18"/>
          <w:i w:val="1"/>
          <w:iCs w:val="1"/>
          <w:color w:val="auto"/>
        </w:rPr>
        <w:t>, Leases</w:t>
      </w:r>
      <w:r>
        <w:rPr>
          <w:rFonts w:ascii="Arial" w:cs="Arial" w:eastAsia="Arial" w:hAnsi="Arial"/>
          <w:sz w:val="18"/>
          <w:szCs w:val="18"/>
          <w:color w:val="auto"/>
        </w:rPr>
        <w:t xml:space="preserve"> to the consolidated financial statements for the impairment assessment performed as of December 31, 2019).</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Intangible assets include trade names, customer relationships, and technology, which were acquired as part of the acquisition of XpresSpa in December 2016 and are recorded based at the estimated fair value in purchase price allocation. Intangible assets also include purchased patents. The intangible assets are amortized over their estimated useful lives, which are periodically evaluated for reasonableness. The balance of intangible assets was approximately $6,800 as of December 31, 2019, which primarily represents the balance of trade names acquired as part of the acquisition of XpresSpa.</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intangible assets are reviewed for impairment whenever events or changes in circumstances indicate that the carrying amount of an asset may not be recoverable. In assessing the recoverability of our intangible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its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derivative liabilities are measured at fair value. Such liabilities are classified within Level 3 of the fair value hierarchy because they are valued using the Monte-Carlo model (as these warrants include down-round protection clauses), which utilize significant inputs that are unobservable in the market. The inputs to estimate the fair value of our derivative liabilities are the current market price of our Common Stock, the exercise price of the warrant, the warrants’ remaining expected term, the volatility of our Common Stock price, our assumptions regarding the probability and timing of a down-round protection triggering event and the risk-free interest rate.</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measurements of the derivative warrant liabilities are evaluated by management to ensure that changes are consistent with expectations of management based upon the sensitivity and nature of the related inputs. Significant changes in any of those inputs in isolation can result in a significant change in the fair value measurement. Generally, an increase in the market price of our Common Stock, an increase in the volatility of our Common Stock, an increase in the remaining term of the warrants, or an increase of a probability of a down-round triggering event would each result in a directionally similar change in the estimated fair value of our derivative warrant liabilities. Such changes would increase the associated liability while decreases in these assumptions would decrease the associated liability. An increase in the risk-free interest rate or a decrease in the positive differential between the warrants’ exercise price and the market price of our Common Stock would result in a decrease in the estimated fair value measurement of the warrants and thus a decrease in the associated liability. We have not, and do not plan to, declare dividends on our Common Stock and, as such, there is no change in the estimated fair value of the derivative warrant liabilities due to the dividend assumption. Had we made different assumptions about the inputs noted above, the recorded gain or loss, our net loss and net loss per share amounts could have been significantly different.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need for a valuation allowance, we look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our federal, state and foreign tax positions and in the determination of our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our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and comprehensive loss as general and administrative expenses.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standard and its amendments provide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2019, the Company adopted ASU 2016-02 on a prospective basis, beginning on January 1, 2019, using the optional transition method. The Company applied the transition options permitted by ASU 2018-11 and elected the package of practical expedients to alleviate certain operational and reporting complexities related to the adoption, one of which was not to recognize a right of use asset or lease liability for leases with a term of 12 months or less. See Note 9. “</w:t>
      </w:r>
      <w:r>
        <w:rPr>
          <w:rFonts w:ascii="Arial" w:cs="Arial" w:eastAsia="Arial" w:hAnsi="Arial"/>
          <w:sz w:val="18"/>
          <w:szCs w:val="18"/>
          <w:i w:val="1"/>
          <w:iCs w:val="1"/>
          <w:color w:val="auto"/>
        </w:rPr>
        <w:t>Leases</w:t>
      </w:r>
      <w:r>
        <w:rPr>
          <w:rFonts w:ascii="Arial" w:cs="Arial" w:eastAsia="Arial" w:hAnsi="Arial"/>
          <w:sz w:val="18"/>
          <w:szCs w:val="18"/>
          <w:color w:val="auto"/>
        </w:rPr>
        <w:t>” for further discussion. The Company recorded right of use assets and lease liabilities for its operating leases of $10,809 upon adoption of ASU 2016-02.</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standard provides guidance on the reclassification of certain tax effects from accumulated other comprehensive income to retained earnings in the period in which the effects of the change in the U.S. federal corporate income tax rate in the Tax Cuts and Jobs Act is recorded. The new standard is effective for the fiscal year beginning after December 15, 2018. The Company adopted this standard on January 1, 2019. Adoption of this standard did not have a material impact on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Based upon the outstanding balance of the Company’s trade receivables and its positive collection history, the Company’s management does not believe that the adoption of this standard will have a material impact on its consolidated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ASU No. 2018-13, Fair Value Measurement (Topic 820): Disclosure Framework—Changes to the Disclosure Requirements for Fair Value Measurement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Company’s management does not believe that the adoption of this standard will have a material impact on its consolidated financial position and results of results of operations.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required by this Item are set forth in Item 15 beginning on page F-1 of this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promulgated under the Exchange Act as a process designed by, or under the supervision of, our principal executive officer and principal financial and accounting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our inherent limitations, our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 Framework).</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December 31, 2019 due to a material weakness in our internal controls over our financial close and reporting process.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As this deficiency created a reasonable possibility that a material misstatement would not be prevented or detected in a timely basis, management concluded that the control deficiency represented a material weakness and accordingly our internal control over financial reporting was not effective as of December 31, 2019. Management concluded that additional formal procedures should be implemented in the financial close and reporting process to ensure that appropriate and timely reviews occur on all financial reporting analysis. Management also concluded that we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material weakness in our internal control over financial reporting resulted in proposed audit adjustments to the Company’s consolidated financial statements in the areas of lease accounting, long-lived asset impairment and accrued liabilities accounting as of and for the year ended December 31, 2019.</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still considering the full extent of the procedures to implement in order to remediate the material weakness described above. The current remediation plan includes a more robust review process, and an increase in the supervision and monitoring of the financial reporting processes and our accounting personnel. We will ensure that accounting personnel have the level of accounting and controls knowledge and experience commensurate with our financial reporting requirements by instituting a formal training program for all accounting personnel on a regular basis on internal control procedures over financial reporting. The current remediation plan also includes implementing controls over calculations, analysis and conclusions associated with non-routine transactions at a more precise level. We will also allocate additional resources to the corporate accounting function, which may include the use of independent consultants with sufficient expertise to assist in the preparation and review of certain non-recurring transactions and timely review of the account reconciliations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Lastly we will automate, where possible and practical, all account analysis and calculations currently being done manually by better utilizing our current general ledger accounting system. Where cost effective, we will outsource any manually processes that are time consuming to free up accounting personnel to spend more time preparing and reviewing account analysis.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cannot assure you that any of our remedial measures will be effective in resolving this material weakness. If our management is unable to conclude that we have effective internal control over financial reporting, or to certify the effectiveness of such controls, or if additional material weaknesses in our internal controls are identified in the future, which could result in material misstatements of future annual or interim consolidated financial statements that may not be prevented or detected. We could also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December 31, 2019 due to a material weakness in our internal control over our financial close and reporting process. Management concluded that we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the Principal Accounting Officer extensively used outside consultants who possessed the appropriate levels of accounting and controls knowledge.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11.</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 and is incorporated by reference in this Item 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called for by this Item will be included in an amendment to this Annual Report on Form 10-K to be filed with the SEC and is incorporated by reference in this Item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the financial statements included in this Annual Report on Form 10-K, see “Index to the Financial Statements” on page F-1.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 xml:space="preserve"> All schedules are omitted because they are not applicable or because the required information is included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or incorporated by reference into, this Annual Report on Form 10-K.</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20" w:type="dxa"/>
            <w:vAlign w:val="bottom"/>
            <w:gridSpan w:val="22"/>
          </w:tcPr>
          <w:p>
            <w:pPr>
              <w:ind w:left="204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20" w:type="dxa"/>
            <w:vAlign w:val="bottom"/>
            <w:gridSpan w:val="22"/>
          </w:tcPr>
          <w:p>
            <w:pPr>
              <w:ind w:left="28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2.1</w:t>
              </w:r>
            </w:hyperlink>
          </w:p>
        </w:tc>
        <w:tc>
          <w:tcPr>
            <w:tcW w:w="220" w:type="dxa"/>
            <w:vAlign w:val="bottom"/>
          </w:tcPr>
          <w:p>
            <w:pPr>
              <w:spacing w:after="0"/>
              <w:rPr>
                <w:sz w:val="24"/>
                <w:szCs w:val="24"/>
                <w:color w:val="auto"/>
              </w:rPr>
            </w:pPr>
          </w:p>
        </w:tc>
        <w:tc>
          <w:tcPr>
            <w:tcW w:w="944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2"/>
              </w:rPr>
            </w:pPr>
            <w:hyperlink r:id="rId58">
              <w:r>
                <w:rPr>
                  <w:rFonts w:ascii="Arial" w:cs="Arial" w:eastAsia="Arial" w:hAnsi="Arial"/>
                  <w:sz w:val="18"/>
                  <w:szCs w:val="18"/>
                  <w:color w:val="0000EE"/>
                  <w:w w:val="92"/>
                </w:rPr>
                <w:t>Agreement and Plan of Merger by and among FORM Holdings Corp., FHXMS, LLC, XpresSpa Holdings, LLC, the unitholders of</w:t>
              </w:r>
            </w:hyperlink>
          </w:p>
        </w:tc>
        <w:tc>
          <w:tcPr>
            <w:tcW w:w="440" w:type="dxa"/>
            <w:vAlign w:val="bottom"/>
            <w:tcBorders>
              <w:top w:val="single" w:sz="8" w:color="auto"/>
            </w:tcBorders>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XpresSpa who are parties thereto and Mistral XH Representative, LLC, as representative of the unitholders, dated as of August 8, 2016</w:t>
              </w:r>
            </w:hyperlink>
          </w:p>
        </w:tc>
        <w:tc>
          <w:tcPr>
            <w:tcW w:w="140" w:type="dxa"/>
            <w:vAlign w:val="bottom"/>
            <w:gridSpan w:val="5"/>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5"/>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(incorporated by reference to Exhibit 2.1 to our Current Report on Form 8-K filed with the SEC on August 8, 2016)</w:t>
              </w:r>
            </w:hyperlink>
          </w:p>
        </w:tc>
      </w:tr>
      <w:tr>
        <w:trPr>
          <w:trHeight w:val="392"/>
        </w:trPr>
        <w:tc>
          <w:tcPr>
            <w:tcW w:w="1140" w:type="dxa"/>
            <w:vAlign w:val="bottom"/>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2.2</w:t>
              </w:r>
            </w:hyperlink>
          </w:p>
        </w:tc>
        <w:tc>
          <w:tcPr>
            <w:tcW w:w="22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Arial" w:cs="Arial" w:eastAsia="Arial" w:hAnsi="Arial"/>
                <w:sz w:val="18"/>
                <w:szCs w:val="18"/>
                <w:color w:val="0000EE"/>
                <w:w w:val="92"/>
              </w:rPr>
            </w:pPr>
            <w:hyperlink r:id="rId59">
              <w:r>
                <w:rPr>
                  <w:rFonts w:ascii="Arial" w:cs="Arial" w:eastAsia="Arial" w:hAnsi="Arial"/>
                  <w:sz w:val="18"/>
                  <w:szCs w:val="18"/>
                  <w:color w:val="0000EE"/>
                  <w:w w:val="92"/>
                </w:rPr>
                <w:t>Amendment No. 1 to Agreement and Plan of Merger by and among FORM Holdings Corp., FHXMS, LLC, XpresSpa Holdings, LLC</w:t>
              </w:r>
            </w:hyperlink>
          </w:p>
        </w:tc>
        <w:tc>
          <w:tcPr>
            <w:tcW w:w="24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and Mistral XH Representative, LLC, as representative of the unitholders, dated September 8, 2016 (incorporated by reference to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September 9, 2016)</w:t>
              </w:r>
            </w:hyperlink>
          </w:p>
        </w:tc>
        <w:tc>
          <w:tcPr>
            <w:tcW w:w="4000" w:type="dxa"/>
            <w:vAlign w:val="bottom"/>
            <w:gridSpan w:val="15"/>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2.3</w:t>
              </w:r>
            </w:hyperlink>
          </w:p>
        </w:tc>
        <w:tc>
          <w:tcPr>
            <w:tcW w:w="220" w:type="dxa"/>
            <w:vAlign w:val="bottom"/>
          </w:tcPr>
          <w:p>
            <w:pPr>
              <w:spacing w:after="0"/>
              <w:rPr>
                <w:sz w:val="24"/>
                <w:szCs w:val="24"/>
                <w:color w:val="auto"/>
              </w:rPr>
            </w:pPr>
          </w:p>
        </w:tc>
        <w:tc>
          <w:tcPr>
            <w:tcW w:w="9640" w:type="dxa"/>
            <w:vAlign w:val="bottom"/>
            <w:tcBorders>
              <w:bottom w:val="single" w:sz="8" w:color="0000EE"/>
            </w:tcBorders>
            <w:gridSpan w:val="17"/>
          </w:tcPr>
          <w:p>
            <w:pPr>
              <w:spacing w:after="0"/>
              <w:rPr>
                <w:rFonts w:ascii="Arial" w:cs="Arial" w:eastAsia="Arial" w:hAnsi="Arial"/>
                <w:sz w:val="18"/>
                <w:szCs w:val="18"/>
                <w:color w:val="0000EE"/>
                <w:w w:val="92"/>
              </w:rPr>
            </w:pPr>
            <w:hyperlink r:id="rId60">
              <w:r>
                <w:rPr>
                  <w:rFonts w:ascii="Arial" w:cs="Arial" w:eastAsia="Arial" w:hAnsi="Arial"/>
                  <w:sz w:val="18"/>
                  <w:szCs w:val="18"/>
                  <w:color w:val="0000EE"/>
                  <w:w w:val="92"/>
                </w:rPr>
                <w:t>Amendment No. 2 to Agreement and Plan of Merger by and among FORM Holdings Corp., FHXMS, LLC, XpresSpa Holdings, LLC</w:t>
              </w:r>
            </w:hyperlink>
          </w:p>
        </w:tc>
        <w:tc>
          <w:tcPr>
            <w:tcW w:w="24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and Mistral XH Representative, LLC, as representative of the unitholders, dated October 25, 2016 (incorporated by reference to Exhibit</w:t>
              </w:r>
            </w:hyperlink>
          </w:p>
        </w:tc>
        <w:tc>
          <w:tcPr>
            <w:tcW w:w="1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2.</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Current Report on Form 8-K filed with the SEC on October 25, 2016)</w:t>
              </w:r>
            </w:hyperlink>
          </w:p>
        </w:tc>
      </w:tr>
      <w:tr>
        <w:trPr>
          <w:trHeight w:val="453"/>
        </w:trPr>
        <w:tc>
          <w:tcPr>
            <w:tcW w:w="114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3.1*</w:t>
              </w:r>
            </w:hyperlink>
          </w:p>
        </w:tc>
        <w:tc>
          <w:tcPr>
            <w:tcW w:w="220" w:type="dxa"/>
            <w:vAlign w:val="bottom"/>
          </w:tcPr>
          <w:p>
            <w:pPr>
              <w:spacing w:after="0"/>
              <w:rPr>
                <w:sz w:val="24"/>
                <w:szCs w:val="24"/>
                <w:color w:val="auto"/>
              </w:rPr>
            </w:pPr>
          </w:p>
        </w:tc>
        <w:tc>
          <w:tcPr>
            <w:tcW w:w="576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Amended and Restated Certificate of Incorporation</w:t>
              </w:r>
            </w:hyperlink>
          </w:p>
        </w:tc>
        <w:tc>
          <w:tcPr>
            <w:tcW w:w="4120" w:type="dxa"/>
            <w:vAlign w:val="bottom"/>
            <w:gridSpan w:val="16"/>
          </w:tcPr>
          <w:p>
            <w:pPr>
              <w:spacing w:after="0"/>
              <w:rPr>
                <w:sz w:val="24"/>
                <w:szCs w:val="24"/>
                <w:color w:val="auto"/>
              </w:rPr>
            </w:pPr>
          </w:p>
        </w:tc>
      </w:tr>
      <w:tr>
        <w:trPr>
          <w:trHeight w:val="391"/>
        </w:trPr>
        <w:tc>
          <w:tcPr>
            <w:tcW w:w="1140" w:type="dxa"/>
            <w:vAlign w:val="bottom"/>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3.2</w:t>
              </w:r>
            </w:hyperlink>
          </w:p>
        </w:tc>
        <w:tc>
          <w:tcPr>
            <w:tcW w:w="220" w:type="dxa"/>
            <w:vAlign w:val="bottom"/>
          </w:tcPr>
          <w:p>
            <w:pPr>
              <w:spacing w:after="0"/>
              <w:rPr>
                <w:sz w:val="24"/>
                <w:szCs w:val="24"/>
                <w:color w:val="auto"/>
              </w:rPr>
            </w:pPr>
          </w:p>
        </w:tc>
        <w:tc>
          <w:tcPr>
            <w:tcW w:w="9500" w:type="dxa"/>
            <w:vAlign w:val="bottom"/>
            <w:tcBorders>
              <w:bottom w:val="single" w:sz="8" w:color="0000EE"/>
            </w:tcBorders>
            <w:gridSpan w:val="1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Amended and Restated Bylaws (incorporated by reference to Exhibit 3.2 to our Annual Report on Form 10-K filed with the SEC on</w:t>
              </w:r>
            </w:hyperlink>
          </w:p>
        </w:tc>
        <w:tc>
          <w:tcPr>
            <w:tcW w:w="38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April 1,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4.1</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EE"/>
                <w:w w:val="95"/>
              </w:rPr>
            </w:pPr>
            <w:hyperlink r:id="rId62">
              <w:r>
                <w:rPr>
                  <w:rFonts w:ascii="Arial" w:cs="Arial" w:eastAsia="Arial" w:hAnsi="Arial"/>
                  <w:sz w:val="18"/>
                  <w:szCs w:val="18"/>
                  <w:color w:val="0000EE"/>
                  <w:w w:val="95"/>
                </w:rPr>
                <w:t>Form of Warrant (incorporated by reference from Exhibit 4.1 to our Current Report on Form 8-K filed with the SEC on October 16,</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2015)</w:t>
              </w:r>
            </w:hyperlink>
          </w:p>
        </w:tc>
        <w:tc>
          <w:tcPr>
            <w:tcW w:w="6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0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140" w:type="dxa"/>
            <w:vAlign w:val="bottom"/>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4.2</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u w:val="single" w:color="auto"/>
                <w:color w:val="0000EE"/>
                <w:w w:val="93"/>
              </w:rPr>
            </w:pPr>
            <w:hyperlink r:id="rId63">
              <w:r>
                <w:rPr>
                  <w:rFonts w:ascii="Arial" w:cs="Arial" w:eastAsia="Arial" w:hAnsi="Arial"/>
                  <w:sz w:val="18"/>
                  <w:szCs w:val="18"/>
                  <w:u w:val="single" w:color="auto"/>
                  <w:color w:val="0000EE"/>
                  <w:w w:val="93"/>
                </w:rPr>
                <w:t>Form of Warrant (incorporated by reference from Exhibit 10.3 to our Current Report on Form 8-K filed with the SEC on May 4, 2015)</w:t>
              </w:r>
            </w:hyperlink>
          </w:p>
        </w:tc>
      </w:tr>
      <w:tr>
        <w:trPr>
          <w:trHeight w:val="392"/>
        </w:trPr>
        <w:tc>
          <w:tcPr>
            <w:tcW w:w="1140" w:type="dxa"/>
            <w:vAlign w:val="bottom"/>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4.3</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Section 382 Rights Agreement, dated as of March 18, 2016, between Vringo, Inc. and American Stock Transfer &amp; Trust Company, LLC,</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which includes the Form of Certificate of Designation of Series C Junior Participating Preferred Stock as Exhibit A, the Form of Right</w:t>
              </w:r>
            </w:hyperlink>
          </w:p>
        </w:tc>
        <w:tc>
          <w:tcPr>
            <w:tcW w:w="1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Certificate as Exhibit B and the Summary of Rights to Purchase Preferred Stock as Exhibit C (incorporated by reference from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March 21, 2016)</w:t>
              </w:r>
            </w:hyperlink>
          </w:p>
        </w:tc>
        <w:tc>
          <w:tcPr>
            <w:tcW w:w="3960" w:type="dxa"/>
            <w:vAlign w:val="bottom"/>
            <w:tcBorders>
              <w:top w:val="single" w:sz="8" w:color="0000EE"/>
            </w:tcBorders>
            <w:gridSpan w:val="8"/>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4.4</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Amendment to Section 382 Rights Agreement, dated March 18, 2019, between the Company and American Stock Transfer &amp; Trust</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5"/>
          </w:tcPr>
          <w:p>
            <w:pPr>
              <w:spacing w:after="0"/>
              <w:rPr>
                <w:rFonts w:ascii="Arial" w:cs="Arial" w:eastAsia="Arial" w:hAnsi="Arial"/>
                <w:sz w:val="18"/>
                <w:szCs w:val="18"/>
                <w:u w:val="single" w:color="auto"/>
                <w:color w:val="0000EE"/>
                <w:w w:val="92"/>
              </w:rPr>
            </w:pPr>
            <w:hyperlink r:id="rId65">
              <w:r>
                <w:rPr>
                  <w:rFonts w:ascii="Arial" w:cs="Arial" w:eastAsia="Arial" w:hAnsi="Arial"/>
                  <w:sz w:val="18"/>
                  <w:szCs w:val="18"/>
                  <w:u w:val="single" w:color="auto"/>
                  <w:color w:val="0000EE"/>
                  <w:w w:val="92"/>
                </w:rPr>
                <w:t>Company, LLC (incorporated by reference from Exhibit 10.1 to our Current Report on Form 8-K filed with the SEC on March 22, 2019)</w:t>
              </w:r>
            </w:hyperlink>
          </w:p>
        </w:tc>
      </w:tr>
      <w:tr>
        <w:trPr>
          <w:trHeight w:val="392"/>
        </w:trPr>
        <w:tc>
          <w:tcPr>
            <w:tcW w:w="1140" w:type="dxa"/>
            <w:vAlign w:val="bottom"/>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4.5</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Form of Warrant to Purchase Shares of Common Stock of FORM Holdings Corp. (incorporated by reference from Annex F to our</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Registration Statement on Form S-4 filed with the SEC on October 26, 2016)</w:t>
              </w:r>
            </w:hyperlink>
          </w:p>
        </w:tc>
        <w:tc>
          <w:tcPr>
            <w:tcW w:w="520" w:type="dxa"/>
            <w:vAlign w:val="bottom"/>
            <w:gridSpan w:val="1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4.6</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Form of Secured Convertible Note (incorporated by reference from Exhibit 4.1 to our Quarterly Report on Form 10-Q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SEC on May 15, 2018)</w:t>
              </w:r>
            </w:hyperlink>
          </w:p>
        </w:tc>
        <w:tc>
          <w:tcPr>
            <w:tcW w:w="380" w:type="dxa"/>
            <w:vAlign w:val="bottom"/>
            <w:gridSpan w:val="10"/>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4.7</w:t>
              </w:r>
            </w:hyperlink>
          </w:p>
        </w:tc>
        <w:tc>
          <w:tcPr>
            <w:tcW w:w="2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Amendment to Secured Convertible Note (incorporated by reference from Exhibit 4.1 to our Current Report on Form 8-K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SEC on June 27, 2019)</w:t>
              </w:r>
            </w:hyperlink>
          </w:p>
        </w:tc>
        <w:tc>
          <w:tcPr>
            <w:tcW w:w="12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4.8</w:t>
              </w:r>
            </w:hyperlink>
          </w:p>
        </w:tc>
        <w:tc>
          <w:tcPr>
            <w:tcW w:w="220" w:type="dxa"/>
            <w:vAlign w:val="bottom"/>
          </w:tcPr>
          <w:p>
            <w:pPr>
              <w:spacing w:after="0"/>
              <w:rPr>
                <w:sz w:val="24"/>
                <w:szCs w:val="24"/>
                <w:color w:val="auto"/>
              </w:rPr>
            </w:pPr>
          </w:p>
        </w:tc>
        <w:tc>
          <w:tcPr>
            <w:tcW w:w="9860" w:type="dxa"/>
            <w:vAlign w:val="bottom"/>
            <w:tcBorders>
              <w:bottom w:val="single" w:sz="8" w:color="0000EE"/>
            </w:tcBorders>
            <w:gridSpan w:val="24"/>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Second Amended and Restated Convertible Promissory Note, dated as of July 8, 2019 (incorporated by reference from Exhibit 4.3 to our</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Current Report on Form 8-K filed with the SEC on July 8, 2019)</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4.9</w:t>
              </w:r>
            </w:hyperlink>
          </w:p>
        </w:tc>
        <w:tc>
          <w:tcPr>
            <w:tcW w:w="220" w:type="dxa"/>
            <w:vAlign w:val="bottom"/>
          </w:tcPr>
          <w:p>
            <w:pPr>
              <w:spacing w:after="0"/>
              <w:rPr>
                <w:sz w:val="24"/>
                <w:szCs w:val="24"/>
                <w:color w:val="auto"/>
              </w:rPr>
            </w:pPr>
          </w:p>
        </w:tc>
        <w:tc>
          <w:tcPr>
            <w:tcW w:w="9720" w:type="dxa"/>
            <w:vAlign w:val="bottom"/>
            <w:tcBorders>
              <w:bottom w:val="single" w:sz="8" w:color="0000EE"/>
            </w:tcBorders>
            <w:gridSpan w:val="19"/>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Third Amended and Restated Convertible Promissory Note, dated as of January 9, 2020 (incorporated by reference from Exhibit 4.1 to</w:t>
              </w:r>
            </w:hyperlink>
          </w:p>
        </w:tc>
        <w:tc>
          <w:tcPr>
            <w:tcW w:w="16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our Current Report on Form 8-K filed with the SEC on January 14, 2020)</w:t>
              </w:r>
            </w:hyperlink>
          </w:p>
        </w:tc>
        <w:tc>
          <w:tcPr>
            <w:tcW w:w="4580" w:type="dxa"/>
            <w:vAlign w:val="bottom"/>
            <w:gridSpan w:val="19"/>
          </w:tcPr>
          <w:p>
            <w:pPr>
              <w:spacing w:after="0"/>
              <w:rPr>
                <w:sz w:val="17"/>
                <w:szCs w:val="17"/>
                <w:color w:val="auto"/>
              </w:rPr>
            </w:pPr>
          </w:p>
        </w:tc>
      </w:tr>
      <w:tr>
        <w:trPr>
          <w:trHeight w:val="412"/>
        </w:trPr>
        <w:tc>
          <w:tcPr>
            <w:tcW w:w="1140" w:type="dxa"/>
            <w:vAlign w:val="bottom"/>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4.10</w:t>
              </w:r>
            </w:hyperlink>
          </w:p>
        </w:tc>
        <w:tc>
          <w:tcPr>
            <w:tcW w:w="220" w:type="dxa"/>
            <w:vAlign w:val="bottom"/>
          </w:tcPr>
          <w:p>
            <w:pPr>
              <w:spacing w:after="0"/>
              <w:rPr>
                <w:sz w:val="24"/>
                <w:szCs w:val="24"/>
                <w:color w:val="auto"/>
              </w:rPr>
            </w:pPr>
          </w:p>
        </w:tc>
        <w:tc>
          <w:tcPr>
            <w:tcW w:w="9700" w:type="dxa"/>
            <w:vAlign w:val="bottom"/>
            <w:tcBorders>
              <w:bottom w:val="single" w:sz="8" w:color="0000EE"/>
            </w:tcBorders>
            <w:gridSpan w:val="18"/>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Fourth Amended and Restated Convertible Promissory Note, dated as of March 6, 2020 (incorporated by reference from Exhibit 4.1 to</w:t>
              </w:r>
            </w:hyperlink>
          </w:p>
        </w:tc>
        <w:tc>
          <w:tcPr>
            <w:tcW w:w="1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our Current Report on Form 8-K filed with the SEC on March 6, 2020)</w:t>
              </w:r>
            </w:hyperlink>
          </w:p>
        </w:tc>
      </w:tr>
      <w:tr>
        <w:trPr>
          <w:trHeight w:val="722"/>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60" w:type="dxa"/>
            <w:vAlign w:val="bottom"/>
            <w:tcBorders>
              <w:top w:val="single" w:sz="8" w:color="0000EE"/>
              <w:bottom w:val="single" w:sz="8" w:color="auto"/>
            </w:tcBorders>
            <w:gridSpan w:val="4"/>
          </w:tcPr>
          <w:p>
            <w:pPr>
              <w:ind w:left="4120"/>
              <w:spacing w:after="0"/>
              <w:rPr>
                <w:sz w:val="20"/>
                <w:szCs w:val="20"/>
                <w:color w:val="auto"/>
              </w:rPr>
            </w:pPr>
            <w:r>
              <w:rPr>
                <w:rFonts w:ascii="Arial" w:cs="Arial" w:eastAsia="Arial" w:hAnsi="Arial"/>
                <w:sz w:val="22"/>
                <w:szCs w:val="22"/>
                <w:color w:val="auto"/>
              </w:rPr>
              <w:t>46</w:t>
            </w:r>
          </w:p>
        </w:tc>
        <w:tc>
          <w:tcPr>
            <w:tcW w:w="4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4.11</w:t>
              </w:r>
            </w:hyperlink>
          </w:p>
        </w:tc>
        <w:tc>
          <w:tcPr>
            <w:tcW w:w="10060" w:type="dxa"/>
            <w:vAlign w:val="bottom"/>
            <w:gridSpan w:val="21"/>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Form of Class A Warrant (incorporated by reference from Exhibit 4.2 to our Quarterly Report on Form 10-Q filed with the SEC on May</w:t>
              </w:r>
            </w:hyperlink>
          </w:p>
        </w:tc>
      </w:tr>
      <w:tr>
        <w:trPr>
          <w:trHeight w:val="196"/>
        </w:trPr>
        <w:tc>
          <w:tcPr>
            <w:tcW w:w="11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15, 2018)</w:t>
              </w:r>
            </w:hyperlink>
          </w:p>
        </w:tc>
        <w:tc>
          <w:tcPr>
            <w:tcW w:w="8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4.12</w:t>
              </w:r>
            </w:hyperlink>
          </w:p>
        </w:tc>
        <w:tc>
          <w:tcPr>
            <w:tcW w:w="10060" w:type="dxa"/>
            <w:vAlign w:val="bottom"/>
            <w:gridSpan w:val="21"/>
          </w:tcPr>
          <w:p>
            <w:pPr>
              <w:spacing w:after="0"/>
              <w:rPr>
                <w:rFonts w:ascii="Arial" w:cs="Arial" w:eastAsia="Arial" w:hAnsi="Arial"/>
                <w:sz w:val="18"/>
                <w:szCs w:val="18"/>
                <w:color w:val="0000EE"/>
                <w:w w:val="94"/>
              </w:rPr>
            </w:pPr>
            <w:hyperlink r:id="rId73">
              <w:r>
                <w:rPr>
                  <w:rFonts w:ascii="Arial" w:cs="Arial" w:eastAsia="Arial" w:hAnsi="Arial"/>
                  <w:sz w:val="18"/>
                  <w:szCs w:val="18"/>
                  <w:color w:val="0000EE"/>
                  <w:w w:val="94"/>
                </w:rPr>
                <w:t>Form of Class B Warrant (incorporated by reference from Exhibit 4.3 to our Quarterly Report on Form 10-Q filed with the SEC on May</w:t>
              </w:r>
            </w:hyperlink>
          </w:p>
        </w:tc>
      </w:tr>
      <w:tr>
        <w:trPr>
          <w:trHeight w:val="196"/>
        </w:trPr>
        <w:tc>
          <w:tcPr>
            <w:tcW w:w="118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15, 2018)</w:t>
              </w:r>
            </w:hyperlink>
          </w:p>
        </w:tc>
        <w:tc>
          <w:tcPr>
            <w:tcW w:w="8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4.13</w:t>
              </w:r>
            </w:hyperlink>
          </w:p>
        </w:tc>
        <w:tc>
          <w:tcPr>
            <w:tcW w:w="9940" w:type="dxa"/>
            <w:vAlign w:val="bottom"/>
            <w:tcBorders>
              <w:bottom w:val="single" w:sz="8" w:color="0000EE"/>
            </w:tcBorders>
            <w:gridSpan w:val="19"/>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Form of First Amendment to Warrant to Purchase Common Stock, dated as of May 16, 2019 (incorporated by reference to Exhibit 10.1 to</w:t>
              </w:r>
            </w:hyperlink>
          </w:p>
        </w:tc>
        <w:tc>
          <w:tcPr>
            <w:tcW w:w="12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0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our Current Report on Form 8-K filed with the SEC on May 17, 2019)</w:t>
              </w:r>
            </w:hyperlink>
          </w:p>
        </w:tc>
        <w:tc>
          <w:tcPr>
            <w:tcW w:w="4980" w:type="dxa"/>
            <w:vAlign w:val="bottom"/>
            <w:gridSpan w:val="12"/>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4.14</w:t>
              </w:r>
            </w:hyperlink>
          </w:p>
        </w:tc>
        <w:tc>
          <w:tcPr>
            <w:tcW w:w="10060" w:type="dxa"/>
            <w:vAlign w:val="bottom"/>
            <w:gridSpan w:val="2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Form of Second Amendment to Warrant to Purchase Common Stock, dated as of June 17, 2019 (incorporated by reference to Exhibit 10.1</w:t>
              </w:r>
            </w:hyperlink>
          </w:p>
        </w:tc>
      </w:tr>
      <w:tr>
        <w:trPr>
          <w:trHeight w:val="196"/>
        </w:trPr>
        <w:tc>
          <w:tcPr>
            <w:tcW w:w="1180" w:type="dxa"/>
            <w:vAlign w:val="bottom"/>
          </w:tcPr>
          <w:p>
            <w:pPr>
              <w:spacing w:after="0"/>
              <w:rPr>
                <w:sz w:val="17"/>
                <w:szCs w:val="17"/>
                <w:color w:val="auto"/>
              </w:rPr>
            </w:pPr>
          </w:p>
        </w:tc>
        <w:tc>
          <w:tcPr>
            <w:tcW w:w="5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to our Current Report on Form 8-K filed with the SEC on June 17, 2019)</w:t>
              </w:r>
            </w:hyperlink>
          </w:p>
        </w:tc>
        <w:tc>
          <w:tcPr>
            <w:tcW w:w="468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4.15</w:t>
              </w:r>
            </w:hyperlink>
          </w:p>
        </w:tc>
        <w:tc>
          <w:tcPr>
            <w:tcW w:w="10060" w:type="dxa"/>
            <w:vAlign w:val="bottom"/>
            <w:gridSpan w:val="21"/>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Unsecured Convertible Note due May 31, 2022 (incorporated by reference to Exhibit 4.1 to our Current Report on Form 8-K filed with the</w:t>
              </w:r>
            </w:hyperlink>
          </w:p>
        </w:tc>
      </w:tr>
      <w:tr>
        <w:trPr>
          <w:trHeight w:val="196"/>
        </w:trPr>
        <w:tc>
          <w:tcPr>
            <w:tcW w:w="1180" w:type="dxa"/>
            <w:vAlign w:val="bottom"/>
          </w:tcPr>
          <w:p>
            <w:pPr>
              <w:spacing w:after="0"/>
              <w:rPr>
                <w:sz w:val="17"/>
                <w:szCs w:val="17"/>
                <w:color w:val="auto"/>
              </w:rPr>
            </w:pPr>
          </w:p>
        </w:tc>
        <w:tc>
          <w:tcPr>
            <w:tcW w:w="99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SEC on July 8, 2019)</w:t>
              </w:r>
            </w:hyperlink>
          </w:p>
        </w:tc>
        <w:tc>
          <w:tcPr>
            <w:tcW w:w="8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4.16</w:t>
              </w:r>
            </w:hyperlink>
          </w:p>
        </w:tc>
        <w:tc>
          <w:tcPr>
            <w:tcW w:w="9840" w:type="dxa"/>
            <w:vAlign w:val="bottom"/>
            <w:tcBorders>
              <w:bottom w:val="single" w:sz="8" w:color="0000EE"/>
            </w:tcBorders>
            <w:gridSpan w:val="15"/>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Warrant to Purchase Common Stock in favor of Calm.com, Inc., dated as of July 8, 2019 (incorporated by reference to Exhibit 4.2 to our</w:t>
              </w:r>
            </w:hyperlink>
          </w:p>
        </w:tc>
        <w:tc>
          <w:tcPr>
            <w:tcW w:w="22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Current Report on Form 8-K filed with the SEC on July 8, 2019)</w:t>
              </w:r>
            </w:hyperlink>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4.17</w:t>
              </w:r>
            </w:hyperlink>
          </w:p>
        </w:tc>
        <w:tc>
          <w:tcPr>
            <w:tcW w:w="9940" w:type="dxa"/>
            <w:vAlign w:val="bottom"/>
            <w:tcBorders>
              <w:bottom w:val="single" w:sz="8" w:color="0000EE"/>
            </w:tcBorders>
            <w:gridSpan w:val="19"/>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Form of December 2016 Warrant Amendment, dated as of July 8, 2019 (incorporated by reference from Exhibit 4.4 to our Current Report</w:t>
              </w:r>
            </w:hyperlink>
          </w:p>
        </w:tc>
        <w:tc>
          <w:tcPr>
            <w:tcW w:w="12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on Form 8-K filed with the SEC on July 8, 2019)</w:t>
              </w:r>
            </w:hyperlink>
          </w:p>
        </w:tc>
        <w:tc>
          <w:tcPr>
            <w:tcW w:w="6520" w:type="dxa"/>
            <w:vAlign w:val="bottom"/>
            <w:gridSpan w:val="16"/>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4.18</w:t>
              </w:r>
            </w:hyperlink>
          </w:p>
        </w:tc>
        <w:tc>
          <w:tcPr>
            <w:tcW w:w="9480" w:type="dxa"/>
            <w:vAlign w:val="bottom"/>
            <w:tcBorders>
              <w:bottom w:val="single" w:sz="8" w:color="0000EE"/>
            </w:tcBorders>
            <w:gridSpan w:val="12"/>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Pre-Funded Warrant to Purchase Common Stock, dated March 19, 2020 (incorporated by reference from Exhibit 4.1 to our</w:t>
              </w:r>
            </w:hyperlink>
          </w:p>
        </w:tc>
        <w:tc>
          <w:tcPr>
            <w:tcW w:w="5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Current Report on Form 8-K filed with the SEC on March 19, 2020)</w:t>
              </w:r>
            </w:hyperlink>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4.19</w:t>
              </w:r>
            </w:hyperlink>
          </w:p>
        </w:tc>
        <w:tc>
          <w:tcPr>
            <w:tcW w:w="9480" w:type="dxa"/>
            <w:vAlign w:val="bottom"/>
            <w:tcBorders>
              <w:bottom w:val="single" w:sz="8" w:color="0000EE"/>
            </w:tcBorders>
            <w:gridSpan w:val="12"/>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Form of Pre-Funded Warrant to Purchase Common Stock, dated March 25, 2020 (incorporated by reference from Exhibit 4.1 to our</w:t>
              </w:r>
            </w:hyperlink>
          </w:p>
        </w:tc>
        <w:tc>
          <w:tcPr>
            <w:tcW w:w="5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Current Report on Form 8-K filed with the SEC on March 25, 2020)</w:t>
              </w:r>
            </w:hyperlink>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4.20</w:t>
              </w:r>
            </w:hyperlink>
          </w:p>
        </w:tc>
        <w:tc>
          <w:tcPr>
            <w:tcW w:w="9480" w:type="dxa"/>
            <w:vAlign w:val="bottom"/>
            <w:tcBorders>
              <w:bottom w:val="single" w:sz="8" w:color="0000EE"/>
            </w:tcBorders>
            <w:gridSpan w:val="12"/>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Form of Pre-Funded Warrant to Purchase Common Stock, dated March 27, 2020 (incorporated by reference from Exhibit 4.1 to our</w:t>
              </w:r>
            </w:hyperlink>
          </w:p>
        </w:tc>
        <w:tc>
          <w:tcPr>
            <w:tcW w:w="5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Current Report on Form 8-K filed with the SEC on March 27, 2020)</w:t>
              </w:r>
            </w:hyperlink>
          </w:p>
        </w:tc>
      </w:tr>
      <w:tr>
        <w:trPr>
          <w:trHeight w:val="20"/>
        </w:trPr>
        <w:tc>
          <w:tcPr>
            <w:tcW w:w="1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4.21</w:t>
              </w:r>
            </w:hyperlink>
          </w:p>
        </w:tc>
        <w:tc>
          <w:tcPr>
            <w:tcW w:w="10060" w:type="dxa"/>
            <w:vAlign w:val="bottom"/>
            <w:gridSpan w:val="21"/>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Form of Pre-Funded Warrant to Purchase Common Stock, dated April 6, 2020 (incorporated by reference from Exhibit 4.1 to our Current</w:t>
              </w:r>
            </w:hyperlink>
          </w:p>
        </w:tc>
      </w:tr>
      <w:tr>
        <w:trPr>
          <w:trHeight w:val="196"/>
        </w:trPr>
        <w:tc>
          <w:tcPr>
            <w:tcW w:w="118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Report on Form 8-K filed with the SEC on April 7, 2020)</w:t>
              </w:r>
            </w:hyperlink>
          </w:p>
        </w:tc>
        <w:tc>
          <w:tcPr>
            <w:tcW w:w="5720" w:type="dxa"/>
            <w:vAlign w:val="bottom"/>
            <w:tcBorders>
              <w:top w:val="single" w:sz="8" w:color="0000EE"/>
            </w:tcBorders>
            <w:gridSpan w:val="11"/>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453"/>
        </w:trPr>
        <w:tc>
          <w:tcPr>
            <w:tcW w:w="1180" w:type="dxa"/>
            <w:vAlign w:val="bottom"/>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4.22*</w:t>
              </w:r>
            </w:hyperlink>
          </w:p>
        </w:tc>
        <w:tc>
          <w:tcPr>
            <w:tcW w:w="10060" w:type="dxa"/>
            <w:vAlign w:val="bottom"/>
            <w:gridSpan w:val="21"/>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Description of the Registrant’s Securities</w:t>
              </w:r>
            </w:hyperlink>
          </w:p>
        </w:tc>
      </w:tr>
      <w:tr>
        <w:trPr>
          <w:trHeight w:val="391"/>
        </w:trPr>
        <w:tc>
          <w:tcPr>
            <w:tcW w:w="1180" w:type="dxa"/>
            <w:vAlign w:val="bottom"/>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4.23</w:t>
              </w:r>
            </w:hyperlink>
          </w:p>
        </w:tc>
        <w:tc>
          <w:tcPr>
            <w:tcW w:w="10060" w:type="dxa"/>
            <w:vAlign w:val="bottom"/>
            <w:gridSpan w:val="21"/>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Amended and Restated Calm Note, dated as of April 17, 2020 (incorporated by reference from Exhibit 4.1 to our Current Report on Form</w:t>
              </w:r>
            </w:hyperlink>
          </w:p>
        </w:tc>
      </w:tr>
      <w:tr>
        <w:trPr>
          <w:trHeight w:val="196"/>
        </w:trPr>
        <w:tc>
          <w:tcPr>
            <w:tcW w:w="118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8-K filed with the SEC on April 17, 2020).</w:t>
              </w:r>
            </w:hyperlink>
          </w:p>
        </w:tc>
        <w:tc>
          <w:tcPr>
            <w:tcW w:w="6820" w:type="dxa"/>
            <w:vAlign w:val="bottom"/>
            <w:tcBorders>
              <w:top w:val="single" w:sz="8" w:color="0000EE"/>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10.1†</w:t>
              </w:r>
            </w:hyperlink>
          </w:p>
        </w:tc>
        <w:tc>
          <w:tcPr>
            <w:tcW w:w="10060" w:type="dxa"/>
            <w:vAlign w:val="bottom"/>
            <w:gridSpan w:val="21"/>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Vringo, Inc. 2012 Employee, Director and Consultant Equity Incentive Plan, as amended (incorporated by reference from Appendix C of</w:t>
              </w:r>
            </w:hyperlink>
          </w:p>
        </w:tc>
      </w:tr>
      <w:tr>
        <w:trPr>
          <w:trHeight w:val="196"/>
        </w:trPr>
        <w:tc>
          <w:tcPr>
            <w:tcW w:w="118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our Proxy Statement on Schedule 14A (DEF 14A) filed with the SEC on September 25, 2015)</w:t>
              </w:r>
            </w:hyperlink>
          </w:p>
        </w:tc>
        <w:tc>
          <w:tcPr>
            <w:tcW w:w="3080" w:type="dxa"/>
            <w:vAlign w:val="bottom"/>
            <w:tcBorders>
              <w:top w:val="single" w:sz="8" w:color="0000EE"/>
            </w:tcBorders>
            <w:gridSpan w:val="5"/>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10.2†</w:t>
              </w:r>
            </w:hyperlink>
          </w:p>
        </w:tc>
        <w:tc>
          <w:tcPr>
            <w:tcW w:w="10060" w:type="dxa"/>
            <w:vAlign w:val="bottom"/>
            <w:gridSpan w:val="21"/>
          </w:tcPr>
          <w:p>
            <w:pPr>
              <w:spacing w:after="0"/>
              <w:rPr>
                <w:rFonts w:ascii="Arial" w:cs="Arial" w:eastAsia="Arial" w:hAnsi="Arial"/>
                <w:sz w:val="18"/>
                <w:szCs w:val="18"/>
                <w:color w:val="0000EE"/>
                <w:w w:val="95"/>
              </w:rPr>
            </w:pPr>
            <w:hyperlink r:id="rId85">
              <w:r>
                <w:rPr>
                  <w:rFonts w:ascii="Arial" w:cs="Arial" w:eastAsia="Arial" w:hAnsi="Arial"/>
                  <w:sz w:val="18"/>
                  <w:szCs w:val="18"/>
                  <w:color w:val="0000EE"/>
                  <w:w w:val="95"/>
                </w:rPr>
                <w:t>Form of Management Option Agreement (incorporated by reference from our Registration Statement on Form S-1 filed on March 29,</w:t>
              </w:r>
            </w:hyperlink>
          </w:p>
        </w:tc>
      </w:tr>
      <w:tr>
        <w:trPr>
          <w:trHeight w:val="196"/>
        </w:trPr>
        <w:tc>
          <w:tcPr>
            <w:tcW w:w="1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5">
              <w:r>
                <w:rPr>
                  <w:rFonts w:ascii="Arial" w:cs="Arial" w:eastAsia="Arial" w:hAnsi="Arial"/>
                  <w:sz w:val="18"/>
                  <w:szCs w:val="18"/>
                  <w:color w:val="0000EE"/>
                  <w:w w:val="86"/>
                </w:rPr>
                <w:t>2010).</w:t>
              </w:r>
            </w:hyperlink>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180" w:type="dxa"/>
            <w:vAlign w:val="bottom"/>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10.3†</w:t>
              </w:r>
            </w:hyperlink>
          </w:p>
        </w:tc>
        <w:tc>
          <w:tcPr>
            <w:tcW w:w="10060" w:type="dxa"/>
            <w:vAlign w:val="bottom"/>
            <w:gridSpan w:val="21"/>
          </w:tcPr>
          <w:p>
            <w:pPr>
              <w:spacing w:after="0"/>
              <w:rPr>
                <w:rFonts w:ascii="Arial" w:cs="Arial" w:eastAsia="Arial" w:hAnsi="Arial"/>
                <w:sz w:val="18"/>
                <w:szCs w:val="18"/>
                <w:u w:val="single" w:color="auto"/>
                <w:color w:val="0000EE"/>
                <w:w w:val="97"/>
              </w:rPr>
            </w:pPr>
            <w:hyperlink r:id="rId86">
              <w:r>
                <w:rPr>
                  <w:rFonts w:ascii="Arial" w:cs="Arial" w:eastAsia="Arial" w:hAnsi="Arial"/>
                  <w:sz w:val="18"/>
                  <w:szCs w:val="18"/>
                  <w:u w:val="single" w:color="auto"/>
                  <w:color w:val="0000EE"/>
                  <w:w w:val="97"/>
                </w:rPr>
                <w:t>Form of Stock Option Agreement (incorporated by reference from our Registration Statement on Form S-8 filed on July 26, 2012)</w:t>
              </w:r>
            </w:hyperlink>
          </w:p>
        </w:tc>
      </w:tr>
      <w:tr>
        <w:trPr>
          <w:trHeight w:val="432"/>
        </w:trPr>
        <w:tc>
          <w:tcPr>
            <w:tcW w:w="1180" w:type="dxa"/>
            <w:vAlign w:val="bottom"/>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10.4†</w:t>
              </w:r>
            </w:hyperlink>
          </w:p>
        </w:tc>
        <w:tc>
          <w:tcPr>
            <w:tcW w:w="10060" w:type="dxa"/>
            <w:vAlign w:val="bottom"/>
            <w:gridSpan w:val="21"/>
          </w:tcPr>
          <w:p>
            <w:pPr>
              <w:spacing w:after="0"/>
              <w:rPr>
                <w:rFonts w:ascii="Arial" w:cs="Arial" w:eastAsia="Arial" w:hAnsi="Arial"/>
                <w:sz w:val="18"/>
                <w:szCs w:val="18"/>
                <w:u w:val="single" w:color="auto"/>
                <w:color w:val="0000EE"/>
                <w:w w:val="92"/>
              </w:rPr>
            </w:pPr>
            <w:hyperlink r:id="rId87">
              <w:r>
                <w:rPr>
                  <w:rFonts w:ascii="Arial" w:cs="Arial" w:eastAsia="Arial" w:hAnsi="Arial"/>
                  <w:sz w:val="18"/>
                  <w:szCs w:val="18"/>
                  <w:u w:val="single" w:color="auto"/>
                  <w:color w:val="0000EE"/>
                  <w:w w:val="92"/>
                </w:rPr>
                <w:t>Form of Restricted Stock Unit Agreement (incorporated by reference from our Registration Statement on Form S-8 filed on July 26, 2012)</w:t>
              </w:r>
            </w:hyperlink>
          </w:p>
        </w:tc>
      </w:tr>
      <w:tr>
        <w:trPr>
          <w:trHeight w:val="391"/>
        </w:trPr>
        <w:tc>
          <w:tcPr>
            <w:tcW w:w="1180" w:type="dxa"/>
            <w:vAlign w:val="bottom"/>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10.5</w:t>
              </w:r>
            </w:hyperlink>
          </w:p>
        </w:tc>
        <w:tc>
          <w:tcPr>
            <w:tcW w:w="10060" w:type="dxa"/>
            <w:vAlign w:val="bottom"/>
            <w:gridSpan w:val="21"/>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Indemnification Agreement, dated January 31, 2013, by and between Vringo, Inc. and each of its Directors and Executive Officer</w:t>
              </w:r>
            </w:hyperlink>
          </w:p>
        </w:tc>
      </w:tr>
      <w:tr>
        <w:trPr>
          <w:trHeight w:val="236"/>
        </w:trPr>
        <w:tc>
          <w:tcPr>
            <w:tcW w:w="1180" w:type="dxa"/>
            <w:vAlign w:val="bottom"/>
          </w:tcPr>
          <w:p>
            <w:pPr>
              <w:spacing w:after="0"/>
              <w:rPr>
                <w:sz w:val="20"/>
                <w:szCs w:val="20"/>
                <w:color w:val="auto"/>
              </w:rPr>
            </w:pPr>
          </w:p>
        </w:tc>
        <w:tc>
          <w:tcPr>
            <w:tcW w:w="9940" w:type="dxa"/>
            <w:vAlign w:val="bottom"/>
            <w:tcBorders>
              <w:top w:val="single" w:sz="8" w:color="0000EE"/>
            </w:tcBorders>
            <w:gridSpan w:val="19"/>
          </w:tcPr>
          <w:p>
            <w:pPr>
              <w:spacing w:after="0"/>
              <w:rPr>
                <w:rFonts w:ascii="Arial" w:cs="Arial" w:eastAsia="Arial" w:hAnsi="Arial"/>
                <w:sz w:val="18"/>
                <w:szCs w:val="18"/>
                <w:u w:val="single" w:color="auto"/>
                <w:color w:val="0000EE"/>
                <w:w w:val="94"/>
              </w:rPr>
            </w:pPr>
            <w:hyperlink r:id="rId88">
              <w:r>
                <w:rPr>
                  <w:rFonts w:ascii="Arial" w:cs="Arial" w:eastAsia="Arial" w:hAnsi="Arial"/>
                  <w:sz w:val="18"/>
                  <w:szCs w:val="18"/>
                  <w:u w:val="single" w:color="auto"/>
                  <w:color w:val="0000EE"/>
                  <w:w w:val="94"/>
                </w:rPr>
                <w:t>(incorporated by reference from our Annual Report on Form 10-K for the period ended December 31, 2012 filed on March 21, 2013)</w:t>
              </w:r>
            </w:hyperlink>
          </w:p>
        </w:tc>
        <w:tc>
          <w:tcPr>
            <w:tcW w:w="120" w:type="dxa"/>
            <w:vAlign w:val="bottom"/>
            <w:gridSpan w:val="2"/>
          </w:tcPr>
          <w:p>
            <w:pPr>
              <w:spacing w:after="0"/>
              <w:rPr>
                <w:sz w:val="20"/>
                <w:szCs w:val="20"/>
                <w:color w:val="auto"/>
              </w:rPr>
            </w:pPr>
          </w:p>
        </w:tc>
      </w:tr>
      <w:tr>
        <w:trPr>
          <w:trHeight w:val="702"/>
        </w:trPr>
        <w:tc>
          <w:tcPr>
            <w:tcW w:w="11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7"/>
          </w:tcPr>
          <w:p>
            <w:pPr>
              <w:ind w:left="4300"/>
              <w:spacing w:after="0"/>
              <w:rPr>
                <w:sz w:val="20"/>
                <w:szCs w:val="20"/>
                <w:color w:val="auto"/>
              </w:rPr>
            </w:pPr>
            <w:r>
              <w:rPr>
                <w:rFonts w:ascii="Arial" w:cs="Arial" w:eastAsia="Arial" w:hAnsi="Arial"/>
                <w:sz w:val="22"/>
                <w:szCs w:val="22"/>
                <w:color w:val="auto"/>
              </w:rPr>
              <w:t>47</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10.6†</w:t>
              </w:r>
            </w:hyperlink>
          </w:p>
        </w:tc>
        <w:tc>
          <w:tcPr>
            <w:tcW w:w="9560" w:type="dxa"/>
            <w:vAlign w:val="bottom"/>
            <w:tcBorders>
              <w:bottom w:val="single" w:sz="8" w:color="0000EE"/>
            </w:tcBorders>
            <w:gridSpan w:val="13"/>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FORM Holdings Corp. 2012 Employee, Director and Consultant Equity Incentive Plan, as amended (incorporated by reference from</w:t>
              </w:r>
            </w:hyperlink>
          </w:p>
        </w:tc>
        <w:tc>
          <w:tcPr>
            <w:tcW w:w="500" w:type="dxa"/>
            <w:vAlign w:val="bottom"/>
            <w:gridSpan w:val="9"/>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Exhibit 10.1 to our Current Report on Form 8-K filed with the SEC on November 28, 2016)</w:t>
              </w:r>
            </w:hyperlink>
          </w:p>
        </w:tc>
        <w:tc>
          <w:tcPr>
            <w:tcW w:w="3440" w:type="dxa"/>
            <w:vAlign w:val="bottom"/>
            <w:gridSpan w:val="18"/>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10.7†</w:t>
              </w:r>
            </w:hyperlink>
          </w:p>
        </w:tc>
        <w:tc>
          <w:tcPr>
            <w:tcW w:w="10060" w:type="dxa"/>
            <w:vAlign w:val="bottom"/>
            <w:gridSpan w:val="22"/>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Independent Director’s Agreement, by and between FORM Holdings Corp. and Andrew R. Heyer, dated as of December 23, 2016</w:t>
              </w:r>
            </w:hyperlink>
          </w:p>
        </w:tc>
      </w:tr>
      <w:tr>
        <w:trPr>
          <w:trHeight w:val="237"/>
        </w:trPr>
        <w:tc>
          <w:tcPr>
            <w:tcW w:w="1180" w:type="dxa"/>
            <w:vAlign w:val="bottom"/>
          </w:tcPr>
          <w:p>
            <w:pPr>
              <w:spacing w:after="0"/>
              <w:rPr>
                <w:sz w:val="20"/>
                <w:szCs w:val="20"/>
                <w:color w:val="auto"/>
              </w:rPr>
            </w:pPr>
          </w:p>
        </w:tc>
        <w:tc>
          <w:tcPr>
            <w:tcW w:w="9380" w:type="dxa"/>
            <w:vAlign w:val="bottom"/>
            <w:tcBorders>
              <w:top w:val="single" w:sz="8" w:color="0000EE"/>
            </w:tcBorders>
            <w:gridSpan w:val="11"/>
          </w:tcPr>
          <w:p>
            <w:pPr>
              <w:spacing w:after="0"/>
              <w:rPr>
                <w:rFonts w:ascii="Arial" w:cs="Arial" w:eastAsia="Arial" w:hAnsi="Arial"/>
                <w:sz w:val="18"/>
                <w:szCs w:val="18"/>
                <w:u w:val="single" w:color="auto"/>
                <w:color w:val="0000EE"/>
                <w:w w:val="96"/>
              </w:rPr>
            </w:pPr>
            <w:hyperlink r:id="rId90">
              <w:r>
                <w:rPr>
                  <w:rFonts w:ascii="Arial" w:cs="Arial" w:eastAsia="Arial" w:hAnsi="Arial"/>
                  <w:sz w:val="18"/>
                  <w:szCs w:val="18"/>
                  <w:u w:val="single" w:color="auto"/>
                  <w:color w:val="0000EE"/>
                  <w:w w:val="96"/>
                </w:rPr>
                <w:t>(incorporated by reference from Exhibit 10.1 to our Current Report on Form 8-K filed with the SEC on December 23, 2016)</w:t>
              </w:r>
            </w:hyperlink>
          </w:p>
        </w:tc>
        <w:tc>
          <w:tcPr>
            <w:tcW w:w="680" w:type="dxa"/>
            <w:vAlign w:val="bottom"/>
            <w:gridSpan w:val="11"/>
          </w:tcPr>
          <w:p>
            <w:pPr>
              <w:spacing w:after="0"/>
              <w:rPr>
                <w:sz w:val="20"/>
                <w:szCs w:val="20"/>
                <w:color w:val="auto"/>
              </w:rPr>
            </w:pPr>
          </w:p>
        </w:tc>
      </w:tr>
      <w:tr>
        <w:trPr>
          <w:trHeight w:val="391"/>
        </w:trPr>
        <w:tc>
          <w:tcPr>
            <w:tcW w:w="1180" w:type="dxa"/>
            <w:vAlign w:val="bottom"/>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10.8†</w:t>
              </w:r>
            </w:hyperlink>
          </w:p>
        </w:tc>
        <w:tc>
          <w:tcPr>
            <w:tcW w:w="9960" w:type="dxa"/>
            <w:vAlign w:val="bottom"/>
            <w:tcBorders>
              <w:bottom w:val="single" w:sz="8" w:color="0000EE"/>
            </w:tcBorders>
            <w:gridSpan w:val="20"/>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Executive Employment Agreement, dated January 20, 2017, by and between FORM Holdings Corp. and Edward Jankowski (incorporated</w:t>
              </w:r>
            </w:hyperlink>
          </w:p>
        </w:tc>
        <w:tc>
          <w:tcPr>
            <w:tcW w:w="10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7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by reference from Exhibit 10.2 to our Quarterly Report on Form 10-Q filed with the SEC on May 15, 2017)</w:t>
              </w:r>
            </w:hyperlink>
          </w:p>
        </w:tc>
        <w:tc>
          <w:tcPr>
            <w:tcW w:w="2300" w:type="dxa"/>
            <w:vAlign w:val="bottom"/>
            <w:gridSpan w:val="14"/>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10.9</w:t>
              </w:r>
            </w:hyperlink>
          </w:p>
        </w:tc>
        <w:tc>
          <w:tcPr>
            <w:tcW w:w="9520" w:type="dxa"/>
            <w:vAlign w:val="bottom"/>
            <w:tcBorders>
              <w:bottom w:val="single" w:sz="8" w:color="0000EE"/>
            </w:tcBorders>
            <w:gridSpan w:val="12"/>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Credit Agreement dated as of April 22, 2015, by and between XpresSpa Holdings, LLC and Rockmore Investment Master Fund Ltd</w:t>
              </w:r>
            </w:hyperlink>
          </w:p>
        </w:tc>
        <w:tc>
          <w:tcPr>
            <w:tcW w:w="540" w:type="dxa"/>
            <w:vAlign w:val="bottom"/>
            <w:gridSpan w:val="10"/>
          </w:tcPr>
          <w:p>
            <w:pPr>
              <w:spacing w:after="0"/>
              <w:rPr>
                <w:sz w:val="24"/>
                <w:szCs w:val="24"/>
                <w:color w:val="auto"/>
              </w:rPr>
            </w:pPr>
          </w:p>
        </w:tc>
      </w:tr>
      <w:tr>
        <w:trPr>
          <w:trHeight w:val="237"/>
        </w:trPr>
        <w:tc>
          <w:tcPr>
            <w:tcW w:w="1180" w:type="dxa"/>
            <w:vAlign w:val="bottom"/>
          </w:tcPr>
          <w:p>
            <w:pPr>
              <w:spacing w:after="0"/>
              <w:rPr>
                <w:sz w:val="20"/>
                <w:szCs w:val="20"/>
                <w:color w:val="auto"/>
              </w:rPr>
            </w:pPr>
          </w:p>
        </w:tc>
        <w:tc>
          <w:tcPr>
            <w:tcW w:w="10060" w:type="dxa"/>
            <w:vAlign w:val="bottom"/>
            <w:gridSpan w:val="22"/>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(incorporated by reference from Exhibit 10.1 to our Quarterly Report on Form 10-Q filed with the SEC on May 15, 2018).</w:t>
              </w:r>
            </w:hyperlink>
          </w:p>
        </w:tc>
      </w:tr>
      <w:tr>
        <w:trPr>
          <w:trHeight w:val="391"/>
        </w:trPr>
        <w:tc>
          <w:tcPr>
            <w:tcW w:w="1180" w:type="dxa"/>
            <w:vAlign w:val="bottom"/>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10.10</w:t>
              </w:r>
            </w:hyperlink>
          </w:p>
        </w:tc>
        <w:tc>
          <w:tcPr>
            <w:tcW w:w="9940" w:type="dxa"/>
            <w:vAlign w:val="bottom"/>
            <w:tcBorders>
              <w:bottom w:val="single" w:sz="8" w:color="0000EE"/>
            </w:tcBorders>
            <w:gridSpan w:val="19"/>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First Amendment to Credit Agreement and Conditional Waiver dated as of August 8, 2016, by and between XpresSpa Holdings, LLC and</w:t>
              </w:r>
            </w:hyperlink>
          </w:p>
        </w:tc>
        <w:tc>
          <w:tcPr>
            <w:tcW w:w="12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Rockmore Investment Master Fund Ltd (incorporated by reference from Exhibit 10.2 to our Quarterly Report on Form 10-Q filed with the</w:t>
              </w:r>
            </w:hyperlink>
          </w:p>
        </w:tc>
        <w:tc>
          <w:tcPr>
            <w:tcW w:w="10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SEC on May 15, 2018).</w:t>
              </w:r>
            </w:hyperlink>
          </w:p>
        </w:tc>
        <w:tc>
          <w:tcPr>
            <w:tcW w:w="8340" w:type="dxa"/>
            <w:vAlign w:val="bottom"/>
            <w:gridSpan w:val="20"/>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10.11</w:t>
              </w:r>
            </w:hyperlink>
          </w:p>
        </w:tc>
        <w:tc>
          <w:tcPr>
            <w:tcW w:w="10060" w:type="dxa"/>
            <w:vAlign w:val="bottom"/>
            <w:gridSpan w:val="22"/>
          </w:tcPr>
          <w:p>
            <w:pPr>
              <w:spacing w:after="0"/>
              <w:rPr>
                <w:rFonts w:ascii="Arial" w:cs="Arial" w:eastAsia="Arial" w:hAnsi="Arial"/>
                <w:sz w:val="18"/>
                <w:szCs w:val="18"/>
                <w:color w:val="0000EE"/>
              </w:rPr>
            </w:pPr>
            <w:hyperlink r:id="rId94">
              <w:r>
                <w:rPr>
                  <w:rFonts w:ascii="Arial" w:cs="Arial" w:eastAsia="Arial" w:hAnsi="Arial"/>
                  <w:sz w:val="18"/>
                  <w:szCs w:val="18"/>
                  <w:color w:val="0000EE"/>
                </w:rPr>
                <w:t>Second Amendment to Credit Agreement dated as of May 10, 2017, by and between XpresSpa Holdings, LLC and B3D, LLC</w:t>
              </w:r>
            </w:hyperlink>
          </w:p>
        </w:tc>
      </w:tr>
      <w:tr>
        <w:trPr>
          <w:trHeight w:val="237"/>
        </w:trPr>
        <w:tc>
          <w:tcPr>
            <w:tcW w:w="1180" w:type="dxa"/>
            <w:vAlign w:val="bottom"/>
          </w:tcPr>
          <w:p>
            <w:pPr>
              <w:spacing w:after="0"/>
              <w:rPr>
                <w:sz w:val="20"/>
                <w:szCs w:val="20"/>
                <w:color w:val="auto"/>
              </w:rPr>
            </w:pPr>
          </w:p>
        </w:tc>
        <w:tc>
          <w:tcPr>
            <w:tcW w:w="9080" w:type="dxa"/>
            <w:vAlign w:val="bottom"/>
            <w:tcBorders>
              <w:top w:val="single" w:sz="8" w:color="0000EE"/>
            </w:tcBorders>
            <w:gridSpan w:val="10"/>
          </w:tcPr>
          <w:p>
            <w:pPr>
              <w:spacing w:after="0"/>
              <w:rPr>
                <w:rFonts w:ascii="Arial" w:cs="Arial" w:eastAsia="Arial" w:hAnsi="Arial"/>
                <w:sz w:val="18"/>
                <w:szCs w:val="18"/>
                <w:u w:val="single" w:color="auto"/>
                <w:color w:val="0000EE"/>
                <w:w w:val="94"/>
              </w:rPr>
            </w:pPr>
            <w:hyperlink r:id="rId94">
              <w:r>
                <w:rPr>
                  <w:rFonts w:ascii="Arial" w:cs="Arial" w:eastAsia="Arial" w:hAnsi="Arial"/>
                  <w:sz w:val="18"/>
                  <w:szCs w:val="18"/>
                  <w:u w:val="single" w:color="auto"/>
                  <w:color w:val="0000EE"/>
                  <w:w w:val="94"/>
                </w:rPr>
                <w:t>(incorporated by reference from Exhibit 10.3 to our Quarterly Report on Form 10-Q filed with the SEC on May 15, 2018).</w:t>
              </w:r>
            </w:hyperlink>
          </w:p>
        </w:tc>
        <w:tc>
          <w:tcPr>
            <w:tcW w:w="980" w:type="dxa"/>
            <w:vAlign w:val="bottom"/>
            <w:gridSpan w:val="12"/>
          </w:tcPr>
          <w:p>
            <w:pPr>
              <w:spacing w:after="0"/>
              <w:rPr>
                <w:sz w:val="20"/>
                <w:szCs w:val="20"/>
                <w:color w:val="auto"/>
              </w:rPr>
            </w:pPr>
          </w:p>
        </w:tc>
      </w:tr>
      <w:tr>
        <w:trPr>
          <w:trHeight w:val="392"/>
        </w:trPr>
        <w:tc>
          <w:tcPr>
            <w:tcW w:w="1180" w:type="dxa"/>
            <w:vAlign w:val="bottom"/>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10.12</w:t>
              </w:r>
            </w:hyperlink>
          </w:p>
        </w:tc>
        <w:tc>
          <w:tcPr>
            <w:tcW w:w="10060" w:type="dxa"/>
            <w:vAlign w:val="bottom"/>
            <w:gridSpan w:val="22"/>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Third Amendment to Credit Agreement dated as of May 14, 2018, by and between XpresSpa Holdings, LLC and B3D, LLC (incorporated</w:t>
              </w:r>
            </w:hyperlink>
          </w:p>
        </w:tc>
      </w:tr>
      <w:tr>
        <w:trPr>
          <w:trHeight w:val="196"/>
        </w:trPr>
        <w:tc>
          <w:tcPr>
            <w:tcW w:w="118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by reference from Exhibit 10.4 to our Quarterly Report on Form 10-Q filed with the SEC on May 15, 2018).</w:t>
              </w:r>
            </w:hyperlink>
          </w:p>
        </w:tc>
        <w:tc>
          <w:tcPr>
            <w:tcW w:w="2160" w:type="dxa"/>
            <w:vAlign w:val="bottom"/>
            <w:tcBorders>
              <w:top w:val="single" w:sz="8" w:color="0000EE"/>
            </w:tcBorders>
            <w:gridSpan w:val="11"/>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10.13</w:t>
              </w:r>
            </w:hyperlink>
          </w:p>
        </w:tc>
        <w:tc>
          <w:tcPr>
            <w:tcW w:w="10060" w:type="dxa"/>
            <w:vAlign w:val="bottom"/>
            <w:gridSpan w:val="22"/>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Fourth Amendment to Credit Agreement, dated as of July 8, 2019, by and between XpresSpa Holdings LLC and B3D, LLC (incorporated</w:t>
              </w:r>
            </w:hyperlink>
          </w:p>
        </w:tc>
      </w:tr>
      <w:tr>
        <w:trPr>
          <w:trHeight w:val="196"/>
        </w:trPr>
        <w:tc>
          <w:tcPr>
            <w:tcW w:w="1180" w:type="dxa"/>
            <w:vAlign w:val="bottom"/>
          </w:tcPr>
          <w:p>
            <w:pPr>
              <w:spacing w:after="0"/>
              <w:rPr>
                <w:sz w:val="17"/>
                <w:szCs w:val="17"/>
                <w:color w:val="auto"/>
              </w:rPr>
            </w:pPr>
          </w:p>
        </w:tc>
        <w:tc>
          <w:tcPr>
            <w:tcW w:w="9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by reference from Exhibit 10.3 to our Current Report on Form 8-K filed with the SEC on July 8, 2019)</w:t>
              </w:r>
            </w:hyperlink>
          </w:p>
        </w:tc>
        <w:tc>
          <w:tcPr>
            <w:tcW w:w="140" w:type="dxa"/>
            <w:vAlign w:val="bottom"/>
            <w:gridSpan w:val="4"/>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10.14</w:t>
              </w:r>
            </w:hyperlink>
          </w:p>
        </w:tc>
        <w:tc>
          <w:tcPr>
            <w:tcW w:w="9740" w:type="dxa"/>
            <w:vAlign w:val="bottom"/>
            <w:tcBorders>
              <w:bottom w:val="single" w:sz="8" w:color="0000EE"/>
            </w:tcBorders>
            <w:gridSpan w:val="14"/>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Registration Rights Agreement, dated as of July 8, 2019, by and between the Company and B3D, LLC (incorporated by reference from</w:t>
              </w:r>
            </w:hyperlink>
          </w:p>
        </w:tc>
        <w:tc>
          <w:tcPr>
            <w:tcW w:w="32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Exhibit 10.4 to our Current Report on Form 8-K filed with the SEC on July 8, 2019)</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4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10.15</w:t>
              </w:r>
            </w:hyperlink>
          </w:p>
        </w:tc>
        <w:tc>
          <w:tcPr>
            <w:tcW w:w="10060" w:type="dxa"/>
            <w:vAlign w:val="bottom"/>
            <w:gridSpan w:val="22"/>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Amendment to Second Amended and Restated Convertible Promissory Note, dated August 22, 2019, by and between XpresSpa Holdings</w:t>
              </w:r>
            </w:hyperlink>
          </w:p>
        </w:tc>
      </w:tr>
      <w:tr>
        <w:trPr>
          <w:trHeight w:val="196"/>
        </w:trPr>
        <w:tc>
          <w:tcPr>
            <w:tcW w:w="1180" w:type="dxa"/>
            <w:vAlign w:val="bottom"/>
          </w:tcPr>
          <w:p>
            <w:pPr>
              <w:spacing w:after="0"/>
              <w:rPr>
                <w:sz w:val="17"/>
                <w:szCs w:val="17"/>
                <w:color w:val="auto"/>
              </w:rPr>
            </w:pPr>
          </w:p>
        </w:tc>
        <w:tc>
          <w:tcPr>
            <w:tcW w:w="990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r:id="rId98">
              <w:r>
                <w:rPr>
                  <w:rFonts w:ascii="Arial" w:cs="Arial" w:eastAsia="Arial" w:hAnsi="Arial"/>
                  <w:sz w:val="18"/>
                  <w:szCs w:val="18"/>
                  <w:color w:val="0000EE"/>
                  <w:w w:val="94"/>
                </w:rPr>
                <w:t>LLC and B3D, LLC (incorporated by reference from Exhibit 10.1 to our Current Report on Form 8-K filed with the SEC on August 26,</w:t>
              </w:r>
            </w:hyperlink>
          </w:p>
        </w:tc>
        <w:tc>
          <w:tcPr>
            <w:tcW w:w="16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2019)</w:t>
              </w:r>
            </w:hyperlink>
          </w:p>
        </w:tc>
        <w:tc>
          <w:tcPr>
            <w:tcW w:w="1300" w:type="dxa"/>
            <w:vAlign w:val="bottom"/>
            <w:tcBorders>
              <w:top w:val="single" w:sz="8" w:color="0000EE"/>
            </w:tcBorders>
          </w:tcPr>
          <w:p>
            <w:pPr>
              <w:spacing w:after="0"/>
              <w:rPr>
                <w:sz w:val="17"/>
                <w:szCs w:val="17"/>
                <w:color w:val="auto"/>
              </w:rPr>
            </w:pPr>
          </w:p>
        </w:tc>
        <w:tc>
          <w:tcPr>
            <w:tcW w:w="43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10.16</w:t>
              </w:r>
            </w:hyperlink>
          </w:p>
        </w:tc>
        <w:tc>
          <w:tcPr>
            <w:tcW w:w="10060" w:type="dxa"/>
            <w:vAlign w:val="bottom"/>
            <w:tcBorders>
              <w:bottom w:val="single" w:sz="8" w:color="0000EE"/>
            </w:tcBorders>
            <w:gridSpan w:val="22"/>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Fifth Amendment to Credit Agreement, dated as of January 9, 2020, by and between XpresSpa Holdings LLC and B3D, LLC (incorporated</w:t>
              </w:r>
            </w:hyperlink>
          </w:p>
        </w:tc>
      </w:tr>
      <w:tr>
        <w:trPr>
          <w:trHeight w:val="196"/>
        </w:trPr>
        <w:tc>
          <w:tcPr>
            <w:tcW w:w="1180" w:type="dxa"/>
            <w:vAlign w:val="bottom"/>
          </w:tcPr>
          <w:p>
            <w:pPr>
              <w:spacing w:after="0"/>
              <w:rPr>
                <w:sz w:val="17"/>
                <w:szCs w:val="17"/>
                <w:color w:val="auto"/>
              </w:rPr>
            </w:pPr>
          </w:p>
        </w:tc>
        <w:tc>
          <w:tcPr>
            <w:tcW w:w="77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by reference from Exhibit 10.2 to our Current Report on Form 8-K filed with the SEC on January 14, 2020)</w:t>
              </w:r>
            </w:hyperlink>
          </w:p>
        </w:tc>
        <w:tc>
          <w:tcPr>
            <w:tcW w:w="2300" w:type="dxa"/>
            <w:vAlign w:val="bottom"/>
            <w:gridSpan w:val="14"/>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10.17</w:t>
              </w:r>
            </w:hyperlink>
          </w:p>
        </w:tc>
        <w:tc>
          <w:tcPr>
            <w:tcW w:w="10000" w:type="dxa"/>
            <w:vAlign w:val="bottom"/>
            <w:tcBorders>
              <w:bottom w:val="single" w:sz="8" w:color="0000EE"/>
            </w:tcBorders>
            <w:gridSpan w:val="2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Sixth Amendment to Credit Agreement, dated as of March 6, 2020, by and between XpresSpa Holdings LLC and B3D, LLC (incorporated</w:t>
              </w:r>
            </w:hyperlink>
          </w:p>
        </w:tc>
        <w:tc>
          <w:tcPr>
            <w:tcW w:w="6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5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by reference from Exhibit 10.1 to our Current Report on Form 8-K filed with the SEC on March 6, 2020)</w:t>
              </w:r>
            </w:hyperlink>
          </w:p>
        </w:tc>
        <w:tc>
          <w:tcPr>
            <w:tcW w:w="2480" w:type="dxa"/>
            <w:vAlign w:val="bottom"/>
            <w:gridSpan w:val="15"/>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10.18</w:t>
              </w:r>
            </w:hyperlink>
          </w:p>
        </w:tc>
        <w:tc>
          <w:tcPr>
            <w:tcW w:w="9760" w:type="dxa"/>
            <w:vAlign w:val="bottom"/>
            <w:tcBorders>
              <w:bottom w:val="single" w:sz="8" w:color="0000EE"/>
            </w:tcBorders>
            <w:gridSpan w:val="15"/>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Form of Securities Purchase Agreement, dated May 15, 2018, by and among the Company and the Investors (incorporated by reference</w:t>
              </w:r>
            </w:hyperlink>
          </w:p>
        </w:tc>
        <w:tc>
          <w:tcPr>
            <w:tcW w:w="30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from Exhibit 10.8 to our Quarterly Report on Form 10-Q filed with the SEC on May 15, 2018).</w:t>
              </w:r>
            </w:hyperlink>
          </w:p>
        </w:tc>
      </w:tr>
      <w:tr>
        <w:trPr>
          <w:trHeight w:val="722"/>
        </w:trPr>
        <w:tc>
          <w:tcPr>
            <w:tcW w:w="1180" w:type="dxa"/>
            <w:vAlign w:val="bottom"/>
            <w:tcBorders>
              <w:bottom w:val="single" w:sz="8" w:color="auto"/>
            </w:tcBorders>
          </w:tcPr>
          <w:p>
            <w:pPr>
              <w:spacing w:after="0"/>
              <w:rPr>
                <w:sz w:val="24"/>
                <w:szCs w:val="24"/>
                <w:color w:val="auto"/>
              </w:rPr>
            </w:pPr>
          </w:p>
        </w:tc>
        <w:tc>
          <w:tcPr>
            <w:tcW w:w="6060" w:type="dxa"/>
            <w:vAlign w:val="bottom"/>
            <w:tcBorders>
              <w:top w:val="single" w:sz="8" w:color="0000EE"/>
              <w:bottom w:val="single" w:sz="8" w:color="auto"/>
            </w:tcBorders>
            <w:gridSpan w:val="3"/>
          </w:tcPr>
          <w:p>
            <w:pPr>
              <w:ind w:left="4300"/>
              <w:spacing w:after="0"/>
              <w:rPr>
                <w:sz w:val="20"/>
                <w:szCs w:val="20"/>
                <w:color w:val="auto"/>
              </w:rPr>
            </w:pPr>
            <w:r>
              <w:rPr>
                <w:rFonts w:ascii="Arial" w:cs="Arial" w:eastAsia="Arial" w:hAnsi="Arial"/>
                <w:sz w:val="22"/>
                <w:szCs w:val="22"/>
                <w:color w:val="auto"/>
              </w:rPr>
              <w:t>48</w:t>
            </w:r>
          </w:p>
        </w:tc>
        <w:tc>
          <w:tcPr>
            <w:tcW w:w="5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10.19</w:t>
              </w:r>
            </w:hyperlink>
          </w:p>
        </w:tc>
        <w:tc>
          <w:tcPr>
            <w:tcW w:w="9760" w:type="dxa"/>
            <w:vAlign w:val="bottom"/>
            <w:tcBorders>
              <w:bottom w:val="single" w:sz="8" w:color="0000EE"/>
            </w:tcBorders>
            <w:gridSpan w:val="17"/>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Form of Registration Rights Agreement, dated May 15, 2018, by and among the Company and the Investors (incorporated by reference</w:t>
              </w:r>
            </w:hyperlink>
          </w:p>
        </w:tc>
        <w:tc>
          <w:tcPr>
            <w:tcW w:w="300" w:type="dxa"/>
            <w:vAlign w:val="bottom"/>
            <w:gridSpan w:val="9"/>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8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from Exhibit 10.9 to our Quarterly Report on Form 10-Q filed with the SEC on May 15, 2018).</w:t>
              </w:r>
            </w:hyperlink>
          </w:p>
        </w:tc>
        <w:tc>
          <w:tcPr>
            <w:tcW w:w="3200" w:type="dxa"/>
            <w:vAlign w:val="bottom"/>
            <w:gridSpan w:val="16"/>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10.20</w:t>
              </w:r>
            </w:hyperlink>
          </w:p>
        </w:tc>
        <w:tc>
          <w:tcPr>
            <w:tcW w:w="9860" w:type="dxa"/>
            <w:vAlign w:val="bottom"/>
            <w:tcBorders>
              <w:bottom w:val="single" w:sz="8" w:color="0000EE"/>
            </w:tcBorders>
            <w:gridSpan w:val="18"/>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Amendment to Securities Purchase Agreement and Class A Warrants and Class B Warrants, dated as of July 8, 2019, by and between the</w:t>
              </w:r>
            </w:hyperlink>
          </w:p>
        </w:tc>
        <w:tc>
          <w:tcPr>
            <w:tcW w:w="20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9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Company and the purchasers party thereto (incorporated by reference from Exhibit 10.5 to our Current Report on Form 8-K filed with the</w:t>
              </w:r>
            </w:hyperlink>
          </w:p>
        </w:tc>
        <w:tc>
          <w:tcPr>
            <w:tcW w:w="14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SEC on July 8, 2019)</w:t>
              </w:r>
            </w:hyperlink>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10.21</w:t>
              </w:r>
            </w:hyperlink>
          </w:p>
        </w:tc>
        <w:tc>
          <w:tcPr>
            <w:tcW w:w="10060" w:type="dxa"/>
            <w:vAlign w:val="bottom"/>
            <w:gridSpan w:val="26"/>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Product Sale and Marketing Agreement, dated November 12, 2018, by and between the Company and Calm.com, Inc. (incorporated by</w:t>
              </w:r>
            </w:hyperlink>
          </w:p>
        </w:tc>
      </w:tr>
      <w:tr>
        <w:trPr>
          <w:trHeight w:val="196"/>
        </w:trPr>
        <w:tc>
          <w:tcPr>
            <w:tcW w:w="1180" w:type="dxa"/>
            <w:vAlign w:val="bottom"/>
          </w:tcPr>
          <w:p>
            <w:pPr>
              <w:spacing w:after="0"/>
              <w:rPr>
                <w:sz w:val="17"/>
                <w:szCs w:val="17"/>
                <w:color w:val="auto"/>
              </w:rPr>
            </w:pPr>
          </w:p>
        </w:tc>
        <w:tc>
          <w:tcPr>
            <w:tcW w:w="9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10.28 to our Annual Report on Form 10-K filed with the SEC on April 1, 2019)</w:t>
              </w:r>
            </w:hyperlink>
          </w:p>
        </w:tc>
        <w:tc>
          <w:tcPr>
            <w:tcW w:w="320" w:type="dxa"/>
            <w:vAlign w:val="bottom"/>
            <w:gridSpan w:val="10"/>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10.22</w:t>
              </w:r>
            </w:hyperlink>
          </w:p>
        </w:tc>
        <w:tc>
          <w:tcPr>
            <w:tcW w:w="9560" w:type="dxa"/>
            <w:vAlign w:val="bottom"/>
            <w:tcBorders>
              <w:bottom w:val="single" w:sz="8" w:color="0000EE"/>
            </w:tcBorders>
            <w:gridSpan w:val="13"/>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Amendment to Amended and Restated Product Sale and Marketing, dated as of October 30, 2019, by and between the Company and</w:t>
              </w:r>
            </w:hyperlink>
          </w:p>
        </w:tc>
        <w:tc>
          <w:tcPr>
            <w:tcW w:w="500" w:type="dxa"/>
            <w:vAlign w:val="bottom"/>
            <w:gridSpan w:val="1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Calm.com, Inc. (incorporated by reference from Exhibit 10.8 to our Quarterly Report on Form 10-Q filed with the SEC on November 14,</w:t>
              </w:r>
            </w:hyperlink>
          </w:p>
        </w:tc>
      </w:tr>
      <w:tr>
        <w:trPr>
          <w:trHeight w:val="196"/>
        </w:trPr>
        <w:tc>
          <w:tcPr>
            <w:tcW w:w="11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5">
              <w:r>
                <w:rPr>
                  <w:rFonts w:ascii="Arial" w:cs="Arial" w:eastAsia="Arial" w:hAnsi="Arial"/>
                  <w:sz w:val="18"/>
                  <w:szCs w:val="18"/>
                  <w:color w:val="0000EE"/>
                  <w:w w:val="86"/>
                </w:rPr>
                <w:t>2019)</w:t>
              </w:r>
            </w:hyperlink>
          </w:p>
        </w:tc>
        <w:tc>
          <w:tcPr>
            <w:tcW w:w="8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10.23†</w:t>
              </w:r>
            </w:hyperlink>
          </w:p>
        </w:tc>
        <w:tc>
          <w:tcPr>
            <w:tcW w:w="9880" w:type="dxa"/>
            <w:vAlign w:val="bottom"/>
            <w:tcBorders>
              <w:bottom w:val="single" w:sz="8" w:color="0000EE"/>
            </w:tcBorders>
            <w:gridSpan w:val="19"/>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Separation Agreement between the Company and Mr. Edward Jankowski, dated March 14, 2019 (incorporated by reference from Exhibit</w:t>
              </w:r>
            </w:hyperlink>
          </w:p>
        </w:tc>
        <w:tc>
          <w:tcPr>
            <w:tcW w:w="18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our Current Report on Form 8-K filed with the SEC on March 15, 2019).</w:t>
              </w:r>
            </w:hyperlink>
          </w:p>
        </w:tc>
        <w:tc>
          <w:tcPr>
            <w:tcW w:w="4260" w:type="dxa"/>
            <w:vAlign w:val="bottom"/>
            <w:gridSpan w:val="20"/>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10.24†</w:t>
              </w:r>
            </w:hyperlink>
          </w:p>
        </w:tc>
        <w:tc>
          <w:tcPr>
            <w:tcW w:w="9680" w:type="dxa"/>
            <w:vAlign w:val="bottom"/>
            <w:tcBorders>
              <w:bottom w:val="single" w:sz="8" w:color="0000EE"/>
            </w:tcBorders>
            <w:gridSpan w:val="14"/>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Non-Disclosure Agreement between the Company and Mr. Edward Jankowski, dated March 14, 2019 (incorporated by reference from</w:t>
              </w:r>
            </w:hyperlink>
          </w:p>
        </w:tc>
        <w:tc>
          <w:tcPr>
            <w:tcW w:w="380" w:type="dxa"/>
            <w:vAlign w:val="bottom"/>
            <w:gridSpan w:val="1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63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Exhibit 10.2 to our Current Report on Form 8-K filed with the SEC on March 15, 2019).</w:t>
              </w:r>
            </w:hyperlink>
          </w:p>
        </w:tc>
        <w:tc>
          <w:tcPr>
            <w:tcW w:w="3680" w:type="dxa"/>
            <w:vAlign w:val="bottom"/>
            <w:gridSpan w:val="19"/>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10.25</w:t>
              </w:r>
            </w:hyperlink>
          </w:p>
        </w:tc>
        <w:tc>
          <w:tcPr>
            <w:tcW w:w="9700" w:type="dxa"/>
            <w:vAlign w:val="bottom"/>
            <w:tcBorders>
              <w:bottom w:val="single" w:sz="8" w:color="0000EE"/>
            </w:tcBorders>
            <w:gridSpan w:val="15"/>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Securities Purchase Agreement, dated as of July 8, 2019, by and between the Company and Calm.com, Inc. (incorporated by reference</w:t>
              </w:r>
            </w:hyperlink>
          </w:p>
        </w:tc>
        <w:tc>
          <w:tcPr>
            <w:tcW w:w="360" w:type="dxa"/>
            <w:vAlign w:val="bottom"/>
            <w:gridSpan w:val="11"/>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64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from Exhibit 10.1 to our Current Report on Form 8-K filed with the SEC on July 8, 2019)</w:t>
              </w:r>
            </w:hyperlink>
          </w:p>
        </w:tc>
        <w:tc>
          <w:tcPr>
            <w:tcW w:w="3580" w:type="dxa"/>
            <w:vAlign w:val="bottom"/>
            <w:gridSpan w:val="17"/>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10.26</w:t>
              </w:r>
            </w:hyperlink>
          </w:p>
        </w:tc>
        <w:tc>
          <w:tcPr>
            <w:tcW w:w="10060" w:type="dxa"/>
            <w:vAlign w:val="bottom"/>
            <w:gridSpan w:val="26"/>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Registration Rights Agreement, dated as of July 8, 2019, by and between the Company and Calm.com, Inc. (incorporated by reference</w:t>
              </w:r>
            </w:hyperlink>
          </w:p>
        </w:tc>
      </w:tr>
      <w:tr>
        <w:trPr>
          <w:trHeight w:val="196"/>
        </w:trPr>
        <w:tc>
          <w:tcPr>
            <w:tcW w:w="1180" w:type="dxa"/>
            <w:vAlign w:val="bottom"/>
          </w:tcPr>
          <w:p>
            <w:pPr>
              <w:spacing w:after="0"/>
              <w:rPr>
                <w:sz w:val="17"/>
                <w:szCs w:val="17"/>
                <w:color w:val="auto"/>
              </w:rPr>
            </w:pPr>
          </w:p>
        </w:tc>
        <w:tc>
          <w:tcPr>
            <w:tcW w:w="9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from Exhibit 10.2 to our Current Report on Form 8-K filed with the SEC on July 8, 2019)</w:t>
              </w:r>
            </w:hyperlink>
          </w:p>
        </w:tc>
        <w:tc>
          <w:tcPr>
            <w:tcW w:w="380" w:type="dxa"/>
            <w:vAlign w:val="bottom"/>
            <w:gridSpan w:val="1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10.27</w:t>
              </w:r>
            </w:hyperlink>
          </w:p>
        </w:tc>
        <w:tc>
          <w:tcPr>
            <w:tcW w:w="10060" w:type="dxa"/>
            <w:vAlign w:val="bottom"/>
            <w:tcBorders>
              <w:bottom w:val="single" w:sz="8" w:color="0000EE"/>
            </w:tcBorders>
            <w:gridSpan w:val="26"/>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Amendment No. 3 to Agreement and Plan of Merger, dated as of October 1, 2019, by and between the Company, XpresSpa Holdings, LLC,</w:t>
              </w:r>
            </w:hyperlink>
          </w:p>
        </w:tc>
      </w:tr>
      <w:tr>
        <w:trPr>
          <w:trHeight w:val="196"/>
        </w:trPr>
        <w:tc>
          <w:tcPr>
            <w:tcW w:w="1180" w:type="dxa"/>
            <w:vAlign w:val="bottom"/>
          </w:tcPr>
          <w:p>
            <w:pPr>
              <w:spacing w:after="0"/>
              <w:rPr>
                <w:sz w:val="17"/>
                <w:szCs w:val="17"/>
                <w:color w:val="auto"/>
              </w:rPr>
            </w:pPr>
          </w:p>
        </w:tc>
        <w:tc>
          <w:tcPr>
            <w:tcW w:w="99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and Mistral XH Representative, LLC, as representative of the unitholders of the Company (incorporated by reference from Exhibit 10.1 to</w:t>
              </w:r>
            </w:hyperlink>
          </w:p>
        </w:tc>
        <w:tc>
          <w:tcPr>
            <w:tcW w:w="8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our Current Report on Form 8-K filed with the SEC on October 3, 2019)</w:t>
              </w:r>
            </w:hyperlink>
          </w:p>
        </w:tc>
      </w:tr>
      <w:tr>
        <w:trPr>
          <w:trHeight w:val="20"/>
        </w:trPr>
        <w:tc>
          <w:tcPr>
            <w:tcW w:w="11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10.28</w:t>
              </w:r>
            </w:hyperlink>
          </w:p>
        </w:tc>
        <w:tc>
          <w:tcPr>
            <w:tcW w:w="10060" w:type="dxa"/>
            <w:vAlign w:val="bottom"/>
            <w:tcBorders>
              <w:bottom w:val="single" w:sz="8" w:color="0000EE"/>
            </w:tcBorders>
            <w:gridSpan w:val="26"/>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Form of Accounts Receivable Advance, dated as of January 9, 2020, by and between certain subsidiaries of the Company and CC Funding,</w:t>
              </w:r>
            </w:hyperlink>
          </w:p>
        </w:tc>
      </w:tr>
      <w:tr>
        <w:trPr>
          <w:trHeight w:val="196"/>
        </w:trPr>
        <w:tc>
          <w:tcPr>
            <w:tcW w:w="118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a division of Credit Cash NJ, LLC (incorporated by reference from Exhibit 10.1 to our Current Report on Form 8-K filed with the SEC on</w:t>
              </w:r>
            </w:hyperlink>
          </w:p>
        </w:tc>
        <w:tc>
          <w:tcPr>
            <w:tcW w:w="10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January 14, 2020)</w:t>
              </w:r>
            </w:hyperlink>
          </w:p>
        </w:tc>
        <w:tc>
          <w:tcPr>
            <w:tcW w:w="8760" w:type="dxa"/>
            <w:vAlign w:val="bottom"/>
            <w:gridSpan w:val="24"/>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10.29</w:t>
              </w:r>
            </w:hyperlink>
          </w:p>
        </w:tc>
        <w:tc>
          <w:tcPr>
            <w:tcW w:w="10040" w:type="dxa"/>
            <w:vAlign w:val="bottom"/>
            <w:tcBorders>
              <w:bottom w:val="single" w:sz="8" w:color="0000EE"/>
            </w:tcBorders>
            <w:gridSpan w:val="25"/>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Securities Purchase Agreement, date as of March 19, 2020, by and between the Company and the purchasers party thereto (incorporated by</w:t>
              </w:r>
            </w:hyperlink>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8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reference to Exhibit 10.1 to the Company’s Current Report on Form 8-K filed with the SEC on March 19, 2020)</w:t>
              </w:r>
            </w:hyperlink>
          </w:p>
        </w:tc>
        <w:tc>
          <w:tcPr>
            <w:tcW w:w="1980" w:type="dxa"/>
            <w:vAlign w:val="bottom"/>
            <w:gridSpan w:val="14"/>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10.30</w:t>
              </w:r>
            </w:hyperlink>
          </w:p>
        </w:tc>
        <w:tc>
          <w:tcPr>
            <w:tcW w:w="9900" w:type="dxa"/>
            <w:vAlign w:val="bottom"/>
            <w:tcBorders>
              <w:bottom w:val="single" w:sz="8" w:color="0000EE"/>
            </w:tcBorders>
            <w:gridSpan w:val="20"/>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Form of Exchange Agreement, date as of March 19, 2020 (incorporated by reference to Exhibit 10.2 to the Company’s Current Report on</w:t>
              </w:r>
            </w:hyperlink>
          </w:p>
        </w:tc>
        <w:tc>
          <w:tcPr>
            <w:tcW w:w="16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5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Form 8-K filed with the SEC on March 19, 2020)</w:t>
              </w:r>
            </w:hyperlink>
          </w:p>
        </w:tc>
        <w:tc>
          <w:tcPr>
            <w:tcW w:w="6480" w:type="dxa"/>
            <w:vAlign w:val="bottom"/>
            <w:gridSpan w:val="22"/>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10.31</w:t>
              </w:r>
            </w:hyperlink>
          </w:p>
        </w:tc>
        <w:tc>
          <w:tcPr>
            <w:tcW w:w="9940" w:type="dxa"/>
            <w:vAlign w:val="bottom"/>
            <w:tcBorders>
              <w:bottom w:val="single" w:sz="8" w:color="0000EE"/>
            </w:tcBorders>
            <w:gridSpan w:val="22"/>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Voting Agreement, date as of March 19, 2020, by and between the Company and Mistral Spa Holdings LLC (incorporated by reference to</w:t>
              </w:r>
            </w:hyperlink>
          </w:p>
        </w:tc>
        <w:tc>
          <w:tcPr>
            <w:tcW w:w="12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6"/>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Exhibit 10.3 to the Company’s Current Report on Form 8-K filed with the SEC on March 19, 2020)</w:t>
              </w:r>
            </w:hyperlink>
          </w:p>
        </w:tc>
      </w:tr>
      <w:tr>
        <w:trPr>
          <w:trHeight w:val="723"/>
        </w:trPr>
        <w:tc>
          <w:tcPr>
            <w:tcW w:w="1180" w:type="dxa"/>
            <w:vAlign w:val="bottom"/>
            <w:tcBorders>
              <w:bottom w:val="single" w:sz="8" w:color="auto"/>
            </w:tcBorders>
          </w:tcPr>
          <w:p>
            <w:pPr>
              <w:spacing w:after="0"/>
              <w:rPr>
                <w:sz w:val="24"/>
                <w:szCs w:val="24"/>
                <w:color w:val="auto"/>
              </w:rPr>
            </w:pPr>
          </w:p>
        </w:tc>
        <w:tc>
          <w:tcPr>
            <w:tcW w:w="5220" w:type="dxa"/>
            <w:vAlign w:val="bottom"/>
            <w:tcBorders>
              <w:top w:val="single" w:sz="8" w:color="0000EE"/>
              <w:bottom w:val="single" w:sz="8" w:color="auto"/>
            </w:tcBorders>
            <w:gridSpan w:val="5"/>
          </w:tcPr>
          <w:p>
            <w:pPr>
              <w:ind w:left="4300"/>
              <w:spacing w:after="0"/>
              <w:rPr>
                <w:sz w:val="20"/>
                <w:szCs w:val="20"/>
                <w:color w:val="auto"/>
              </w:rPr>
            </w:pPr>
            <w:r>
              <w:rPr>
                <w:rFonts w:ascii="Arial" w:cs="Arial" w:eastAsia="Arial" w:hAnsi="Arial"/>
                <w:sz w:val="22"/>
                <w:szCs w:val="22"/>
                <w:color w:val="auto"/>
              </w:rPr>
              <w:t>49</w:t>
            </w:r>
          </w:p>
        </w:tc>
        <w:tc>
          <w:tcPr>
            <w:tcW w:w="5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10.32</w:t>
              </w:r>
            </w:hyperlink>
          </w:p>
        </w:tc>
        <w:tc>
          <w:tcPr>
            <w:tcW w:w="10040" w:type="dxa"/>
            <w:vAlign w:val="bottom"/>
            <w:tcBorders>
              <w:bottom w:val="single" w:sz="8" w:color="0000EE"/>
            </w:tcBorders>
            <w:gridSpan w:val="9"/>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Securities Purchase Agreement, date as of March 25, 2020, by and between the Company and the purchasers party thereto (incorporated by</w:t>
              </w:r>
            </w:hyperlink>
          </w:p>
        </w:tc>
      </w:tr>
      <w:tr>
        <w:trPr>
          <w:trHeight w:val="196"/>
        </w:trPr>
        <w:tc>
          <w:tcPr>
            <w:tcW w:w="1180" w:type="dxa"/>
            <w:vAlign w:val="bottom"/>
          </w:tcPr>
          <w:p>
            <w:pPr>
              <w:spacing w:after="0"/>
              <w:rPr>
                <w:sz w:val="17"/>
                <w:szCs w:val="17"/>
                <w:color w:val="auto"/>
              </w:rPr>
            </w:pPr>
          </w:p>
        </w:tc>
        <w:tc>
          <w:tcPr>
            <w:tcW w:w="8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reference to Exhibit 10.1 to the Company’s Current Report on Form 8-K filed with the SEC on March 25, 2020)</w:t>
              </w:r>
            </w:hyperlink>
          </w:p>
        </w:tc>
        <w:tc>
          <w:tcPr>
            <w:tcW w:w="1940" w:type="dxa"/>
            <w:vAlign w:val="bottom"/>
            <w:gridSpan w:val="4"/>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10.33</w:t>
              </w:r>
            </w:hyperlink>
          </w:p>
        </w:tc>
        <w:tc>
          <w:tcPr>
            <w:tcW w:w="10040" w:type="dxa"/>
            <w:vAlign w:val="bottom"/>
            <w:tcBorders>
              <w:bottom w:val="single" w:sz="8" w:color="0000EE"/>
            </w:tcBorders>
            <w:gridSpan w:val="9"/>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Securities Purchase Agreement, date as of March 27, 2020, by and between the Company and the purchasers party thereto (incorporated by</w:t>
              </w:r>
            </w:hyperlink>
          </w:p>
        </w:tc>
      </w:tr>
      <w:tr>
        <w:trPr>
          <w:trHeight w:val="196"/>
        </w:trPr>
        <w:tc>
          <w:tcPr>
            <w:tcW w:w="1180" w:type="dxa"/>
            <w:vAlign w:val="bottom"/>
          </w:tcPr>
          <w:p>
            <w:pPr>
              <w:spacing w:after="0"/>
              <w:rPr>
                <w:sz w:val="17"/>
                <w:szCs w:val="17"/>
                <w:color w:val="auto"/>
              </w:rPr>
            </w:pPr>
          </w:p>
        </w:tc>
        <w:tc>
          <w:tcPr>
            <w:tcW w:w="80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reference to Exhibit 10.1 to the Company’s Current Report on Form 8-K filed with the SEC on March 27, 2020)</w:t>
              </w:r>
            </w:hyperlink>
          </w:p>
        </w:tc>
        <w:tc>
          <w:tcPr>
            <w:tcW w:w="1960" w:type="dxa"/>
            <w:vAlign w:val="bottom"/>
            <w:gridSpan w:val="5"/>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10.34</w:t>
              </w:r>
            </w:hyperlink>
          </w:p>
        </w:tc>
        <w:tc>
          <w:tcPr>
            <w:tcW w:w="9860" w:type="dxa"/>
            <w:vAlign w:val="bottom"/>
            <w:tcBorders>
              <w:bottom w:val="single" w:sz="8" w:color="0000EE"/>
            </w:tcBorders>
            <w:gridSpan w:val="7"/>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Securities Purchase Agreement, date as of April 6, 2020, by and between the Company and the purchasers party thereto (incorporated by</w:t>
              </w:r>
            </w:hyperlink>
          </w:p>
        </w:tc>
        <w:tc>
          <w:tcPr>
            <w:tcW w:w="180" w:type="dxa"/>
            <w:vAlign w:val="bottom"/>
            <w:gridSpan w:val="2"/>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9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reference to Exhibit 10.1 to the Company’s Current Report on Form 8-K filed with the SEC on April 7, 2020)</w:t>
              </w:r>
            </w:hyperlink>
          </w:p>
        </w:tc>
        <w:tc>
          <w:tcPr>
            <w:tcW w:w="2140" w:type="dxa"/>
            <w:vAlign w:val="bottom"/>
            <w:gridSpan w:val="6"/>
          </w:tcPr>
          <w:p>
            <w:pPr>
              <w:spacing w:after="0"/>
              <w:rPr>
                <w:sz w:val="17"/>
                <w:szCs w:val="17"/>
                <w:color w:val="auto"/>
              </w:rPr>
            </w:pPr>
          </w:p>
        </w:tc>
      </w:tr>
      <w:tr>
        <w:trPr>
          <w:trHeight w:val="453"/>
        </w:trPr>
        <w:tc>
          <w:tcPr>
            <w:tcW w:w="1180" w:type="dxa"/>
            <w:vAlign w:val="bottom"/>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21*</w:t>
              </w:r>
            </w:hyperlink>
          </w:p>
        </w:tc>
        <w:tc>
          <w:tcPr>
            <w:tcW w:w="10040" w:type="dxa"/>
            <w:vAlign w:val="bottom"/>
            <w:gridSpan w:val="9"/>
          </w:tcPr>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Subsidiaries of XpresSpa Group, Inc.</w:t>
              </w:r>
            </w:hyperlink>
          </w:p>
        </w:tc>
      </w:tr>
      <w:tr>
        <w:trPr>
          <w:trHeight w:val="432"/>
        </w:trPr>
        <w:tc>
          <w:tcPr>
            <w:tcW w:w="1180" w:type="dxa"/>
            <w:vAlign w:val="bottom"/>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23.1*</w:t>
              </w:r>
            </w:hyperlink>
          </w:p>
        </w:tc>
        <w:tc>
          <w:tcPr>
            <w:tcW w:w="10040" w:type="dxa"/>
            <w:vAlign w:val="bottom"/>
            <w:gridSpan w:val="9"/>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Consent of CohnReznick LLP, independent registered public accounting firm</w:t>
              </w:r>
            </w:hyperlink>
          </w:p>
        </w:tc>
      </w:tr>
      <w:tr>
        <w:trPr>
          <w:trHeight w:val="391"/>
        </w:trPr>
        <w:tc>
          <w:tcPr>
            <w:tcW w:w="1180" w:type="dxa"/>
            <w:vAlign w:val="bottom"/>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31.1*</w:t>
              </w:r>
            </w:hyperlink>
          </w:p>
        </w:tc>
        <w:tc>
          <w:tcPr>
            <w:tcW w:w="99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30">
              <w:r>
                <w:rPr>
                  <w:rFonts w:ascii="Arial" w:cs="Arial" w:eastAsia="Arial" w:hAnsi="Arial"/>
                  <w:sz w:val="18"/>
                  <w:szCs w:val="18"/>
                  <w:color w:val="0000EE"/>
                  <w:w w:val="91"/>
                </w:rPr>
                <w:t>Certification of Principal Executive Officer and Principal Financial Officer pursuant to Exchange Act, Rules 13a – 14(a) and 15d – 14(a),</w:t>
              </w:r>
            </w:hyperlink>
          </w:p>
        </w:tc>
        <w:tc>
          <w:tcPr>
            <w:tcW w:w="14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0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as adopted pursuant to Section 302 of the Sarbanes-Oxley Act of 2002</w:t>
              </w:r>
            </w:hyperlink>
          </w:p>
        </w:tc>
        <w:tc>
          <w:tcPr>
            <w:tcW w:w="4960" w:type="dxa"/>
            <w:vAlign w:val="bottom"/>
            <w:gridSpan w:val="7"/>
          </w:tcPr>
          <w:p>
            <w:pPr>
              <w:spacing w:after="0"/>
              <w:rPr>
                <w:sz w:val="17"/>
                <w:szCs w:val="17"/>
                <w:color w:val="auto"/>
              </w:rPr>
            </w:pPr>
          </w:p>
        </w:tc>
      </w:tr>
      <w:tr>
        <w:trPr>
          <w:trHeight w:val="412"/>
        </w:trPr>
        <w:tc>
          <w:tcPr>
            <w:tcW w:w="1180" w:type="dxa"/>
            <w:vAlign w:val="bottom"/>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32**</w:t>
              </w:r>
            </w:hyperlink>
          </w:p>
        </w:tc>
        <w:tc>
          <w:tcPr>
            <w:tcW w:w="10040" w:type="dxa"/>
            <w:vAlign w:val="bottom"/>
            <w:gridSpan w:val="9"/>
          </w:tcPr>
          <w:p>
            <w:pPr>
              <w:spacing w:after="0"/>
              <w:rPr>
                <w:rFonts w:ascii="Arial" w:cs="Arial" w:eastAsia="Arial" w:hAnsi="Arial"/>
                <w:sz w:val="18"/>
                <w:szCs w:val="18"/>
                <w:color w:val="0000EE"/>
                <w:w w:val="93"/>
              </w:rPr>
            </w:pPr>
            <w:hyperlink w:anchor="page231">
              <w:r>
                <w:rPr>
                  <w:rFonts w:ascii="Arial" w:cs="Arial" w:eastAsia="Arial" w:hAnsi="Arial"/>
                  <w:sz w:val="18"/>
                  <w:szCs w:val="18"/>
                  <w:color w:val="0000EE"/>
                  <w:w w:val="93"/>
                </w:rPr>
                <w:t>Certifications of Principal Executive Officer and Principal Financial Officer Pursuant to 18 U.S.C. Section 1350, as adopted pursuant to</w:t>
              </w:r>
            </w:hyperlink>
          </w:p>
        </w:tc>
      </w:tr>
      <w:tr>
        <w:trPr>
          <w:trHeight w:val="196"/>
        </w:trPr>
        <w:tc>
          <w:tcPr>
            <w:tcW w:w="1180" w:type="dxa"/>
            <w:vAlign w:val="bottom"/>
          </w:tcPr>
          <w:p>
            <w:pPr>
              <w:spacing w:after="0"/>
              <w:rPr>
                <w:sz w:val="17"/>
                <w:szCs w:val="17"/>
                <w:color w:val="auto"/>
              </w:rPr>
            </w:pPr>
          </w:p>
        </w:tc>
        <w:tc>
          <w:tcPr>
            <w:tcW w:w="3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31">
              <w:r>
                <w:rPr>
                  <w:rFonts w:ascii="Arial" w:cs="Arial" w:eastAsia="Arial" w:hAnsi="Arial"/>
                  <w:sz w:val="18"/>
                  <w:szCs w:val="18"/>
                  <w:color w:val="0000EE"/>
                  <w:w w:val="90"/>
                </w:rPr>
                <w:t>Section 906 of the Sarbanes-Oxley Act of 2002</w:t>
              </w:r>
            </w:hyperlink>
          </w:p>
        </w:tc>
        <w:tc>
          <w:tcPr>
            <w:tcW w:w="6400" w:type="dxa"/>
            <w:vAlign w:val="bottom"/>
            <w:tcBorders>
              <w:top w:val="single" w:sz="8" w:color="0000EE"/>
            </w:tcBorders>
            <w:gridSpan w:val="5"/>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453"/>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Exhibit 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Report of Independent Registered Public Accounting Firm</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Balance Sheets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Operations and Comprehensive Loss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Changes in Stockholders’ Equity (Deficit)</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12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Cash Flows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F-7</w:t>
            </w:r>
          </w:p>
        </w:tc>
      </w:tr>
      <w:tr>
        <w:trPr>
          <w:trHeight w:val="230"/>
        </w:trPr>
        <w:tc>
          <w:tcPr>
            <w:tcW w:w="1012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Notes to the Consolidated Financial Statements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F-8- F-38</w:t>
            </w: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XpresSpa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XpresSpa Group, Inc. and subsidiaries (the Company) as of December 31, 2019 and 2018, and the related consolidated statements of operations and comprehensive loss, changes in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two-year period ended December 31, 2019,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based on its projections, the Company anticipates that during 2020, it will not have sufficient capital to repay its current obligations. Furthermore, the Company’s recurring losses from operations, working capital deficiency and stockholders’ deficit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right="1040"/>
        <w:spacing w:after="0" w:line="250" w:lineRule="auto"/>
        <w:rPr>
          <w:sz w:val="20"/>
          <w:szCs w:val="20"/>
          <w:color w:val="auto"/>
        </w:rPr>
      </w:pPr>
      <w:r>
        <w:rPr>
          <w:rFonts w:ascii="Arial" w:cs="Arial" w:eastAsia="Arial" w:hAnsi="Arial"/>
          <w:sz w:val="18"/>
          <w:szCs w:val="18"/>
          <w:color w:val="auto"/>
        </w:rPr>
        <w:t>Property and equipment, net Intangible assets, net</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Operating lease right of use assets, net Other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30" w:lineRule="exact"/>
        <w:rPr>
          <w:sz w:val="20"/>
          <w:szCs w:val="20"/>
          <w:color w:val="auto"/>
        </w:rPr>
      </w:pPr>
    </w:p>
    <w:tbl>
      <w:tblPr>
        <w:tblLayout w:type="fixed"/>
        <w:tblInd w:w="4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418"/>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2,184</w:t>
            </w:r>
          </w:p>
        </w:tc>
        <w:tc>
          <w:tcPr>
            <w:tcW w:w="260" w:type="dxa"/>
            <w:vAlign w:val="bottom"/>
            <w:gridSpan w:val="2"/>
          </w:tcPr>
          <w:p>
            <w:pPr>
              <w:jc w:val="right"/>
              <w:ind w:right="78"/>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3,403</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1,574</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20" w:type="dxa"/>
            <w:vAlign w:val="bottom"/>
          </w:tcPr>
          <w:p>
            <w:pPr>
              <w:spacing w:after="0"/>
              <w:rPr>
                <w:sz w:val="20"/>
                <w:szCs w:val="20"/>
                <w:color w:val="auto"/>
              </w:rPr>
            </w:pPr>
          </w:p>
        </w:tc>
      </w:tr>
      <w:tr>
        <w:trPr>
          <w:trHeight w:val="4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8,064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6,783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9,167</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8,254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-1739265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-1456690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-1165225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-882015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-607695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720"/>
            <w:col w:w="744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4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12,551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3,669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Convertible notes, net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r>
      <w:tr>
        <w:trPr>
          <w:trHeight w:val="216"/>
        </w:trPr>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Senior secured note,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net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5,826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2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36"/>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220" w:type="dxa"/>
            <w:vAlign w:val="bottom"/>
          </w:tcPr>
          <w:p>
            <w:pPr>
              <w:spacing w:after="0" w:line="203" w:lineRule="exact"/>
              <w:rPr>
                <w:sz w:val="20"/>
                <w:szCs w:val="20"/>
                <w:color w:val="auto"/>
              </w:rPr>
            </w:pPr>
            <w:r>
              <w:rPr>
                <w:rFonts w:ascii="Arial" w:cs="Arial" w:eastAsia="Arial" w:hAnsi="Arial"/>
                <w:sz w:val="18"/>
                <w:szCs w:val="18"/>
                <w:b w:val="1"/>
                <w:bCs w:val="1"/>
                <w:color w:val="auto"/>
              </w:rPr>
              <w:t>Commitments and contingencies (see Note 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b w:val="1"/>
                <w:bCs w:val="1"/>
                <w:color w:val="auto"/>
              </w:rPr>
              <w:t>Stockholders’ equity/(deficit)*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A Convertible Preferred Stock, $0.01 par value per share; 6,968 shares authorized; 6,673 issued and none</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8"/>
              </w:rPr>
              <w:t>Series C Junior Preferred stock, $0.01 par value per share; 300,000 shares authorized; none issued and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D Convertible Preferred Stock, $0.01 par value per share, 500,000 shares authorized; 425,750 shares</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3"/>
              </w:rPr>
              <w:t>issued and outstanding at December 31, 2018 with a liquidation value of $20,436. None at December 31, 2019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5"/>
              </w:rPr>
              <w:t>Series E Convertible Preferred Stock, $0.01 par value per share, 2,397,060 shares authorized; 977,865 and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w w:val="91"/>
              </w:rPr>
              <w:t>967,742 shares issued and outstanding at December 31, 2019 and 2018, respectively, with a liquidation value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$3,031 and $3,000, respectively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02"/>
        </w:trPr>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F Convertible Preferred Stock, $0.01 par value per share, 9,000 shares authorized; 8,996 shares issued</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w w:val="99"/>
              </w:rPr>
              <w:t>and outstanding at December 31, 2019 and none at December 31, 2018 with a liquidation value of $900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20" w:type="dxa"/>
            <w:vAlign w:val="bottom"/>
          </w:tcPr>
          <w:p>
            <w:pPr>
              <w:spacing w:after="0" w:line="201" w:lineRule="exact"/>
              <w:rPr>
                <w:sz w:val="20"/>
                <w:szCs w:val="20"/>
                <w:color w:val="auto"/>
              </w:rPr>
            </w:pPr>
            <w:r>
              <w:rPr>
                <w:rFonts w:ascii="Arial" w:cs="Arial" w:eastAsia="Arial" w:hAnsi="Arial"/>
                <w:sz w:val="18"/>
                <w:szCs w:val="18"/>
                <w:color w:val="auto"/>
                <w:w w:val="94"/>
              </w:rPr>
              <w:t>Common Stock, $0.01 par value per share 150,000,000 shares authorized; 15,472,171 and 1,761,802 shares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issued and outstanding as of December 31, 2019 and 2018, respectively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301,681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295,904</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(308,136)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(286,913)</w:t>
            </w:r>
          </w:p>
        </w:tc>
      </w:tr>
      <w:tr>
        <w:trPr>
          <w:trHeight w:val="25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03"/>
        </w:trPr>
        <w:tc>
          <w:tcPr>
            <w:tcW w:w="8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equity/(deficit) attributable to common stockholders</w:t>
            </w: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(6,239)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9,106</w:t>
            </w:r>
          </w:p>
        </w:tc>
        <w:tc>
          <w:tcPr>
            <w:tcW w:w="100" w:type="dxa"/>
            <w:vAlign w:val="bottom"/>
            <w:tcBorders>
              <w:top w:val="single" w:sz="8" w:color="CCEEFF"/>
            </w:tcBorders>
          </w:tcPr>
          <w:p>
            <w:pPr>
              <w:spacing w:after="0"/>
              <w:rPr>
                <w:sz w:val="17"/>
                <w:szCs w:val="17"/>
                <w:color w:val="auto"/>
              </w:rPr>
            </w:pPr>
          </w:p>
        </w:tc>
      </w:tr>
      <w:tr>
        <w:trPr>
          <w:trHeight w:val="25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r>
      <w:tr>
        <w:trPr>
          <w:trHeight w:val="210"/>
        </w:trPr>
        <w:tc>
          <w:tcPr>
            <w:tcW w:w="8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 (deficit)</w:t>
            </w:r>
          </w:p>
        </w:tc>
        <w:tc>
          <w:tcPr>
            <w:tcW w:w="1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13,135</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*2018 share amounts were 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6"/>
          </w:tcPr>
          <w:p>
            <w:pPr>
              <w:jc w:val="right"/>
              <w:ind w:right="181"/>
              <w:spacing w:after="0"/>
              <w:rPr>
                <w:sz w:val="20"/>
                <w:szCs w:val="20"/>
                <w:color w:val="auto"/>
              </w:rPr>
            </w:pPr>
            <w:r>
              <w:rPr>
                <w:rFonts w:ascii="Arial" w:cs="Arial" w:eastAsia="Arial" w:hAnsi="Arial"/>
                <w:sz w:val="18"/>
                <w:szCs w:val="18"/>
                <w:b w:val="1"/>
                <w:bCs w:val="1"/>
                <w:color w:val="auto"/>
                <w:w w:val="89"/>
              </w:rPr>
              <w:t>For the years ended December 31,</w:t>
            </w:r>
          </w:p>
        </w:tc>
      </w:tr>
      <w:tr>
        <w:trPr>
          <w:trHeight w:val="223"/>
        </w:trPr>
        <w:tc>
          <w:tcPr>
            <w:tcW w:w="66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39,989</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41,163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8,131</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800</w:t>
            </w:r>
          </w:p>
        </w:tc>
      </w:tr>
      <w:tr>
        <w:trPr>
          <w:trHeight w:val="23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640" w:type="dxa"/>
            <w:vAlign w:val="bottom"/>
          </w:tcPr>
          <w:p>
            <w:pPr>
              <w:spacing w:after="0" w:line="203" w:lineRule="exact"/>
              <w:rPr>
                <w:sz w:val="20"/>
                <w:szCs w:val="20"/>
                <w:color w:val="auto"/>
              </w:rPr>
            </w:pPr>
            <w:r>
              <w:rPr>
                <w:rFonts w:ascii="Arial" w:cs="Arial" w:eastAsia="Arial" w:hAnsi="Arial"/>
                <w:sz w:val="18"/>
                <w:szCs w:val="18"/>
                <w:b w:val="1"/>
                <w:bCs w:val="1"/>
                <w:color w:val="auto"/>
              </w:rPr>
              <w:t>Cost of sales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Labor</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22,847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24,369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Occupancy</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8,118</w:t>
            </w:r>
          </w:p>
        </w:tc>
      </w:tr>
      <w:tr>
        <w:trPr>
          <w:trHeight w:val="23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other operating costs</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6,964</w:t>
            </w:r>
          </w:p>
        </w:tc>
      </w:tr>
      <w:tr>
        <w:trPr>
          <w:trHeight w:val="203"/>
        </w:trPr>
        <w:tc>
          <w:tcPr>
            <w:tcW w:w="6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cost of sales</w:t>
            </w:r>
          </w:p>
        </w:tc>
        <w:tc>
          <w:tcPr>
            <w:tcW w:w="15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37,854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39,451</w:t>
            </w:r>
          </w:p>
        </w:tc>
        <w:tc>
          <w:tcPr>
            <w:tcW w:w="100" w:type="dxa"/>
            <w:vAlign w:val="bottom"/>
            <w:tcBorders>
              <w:top w:val="single" w:sz="8" w:color="CCEEFF"/>
            </w:tcBorders>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7,398</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Impairment/disposal of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6,090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2,100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19,630</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14,319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16,240</w:t>
            </w:r>
          </w:p>
        </w:tc>
      </w:tr>
      <w:tr>
        <w:trPr>
          <w:trHeight w:val="23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64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loss from continuing operations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(15,872)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(34,725)</w:t>
            </w: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Other non-operating income (expense), net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643</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278</w:t>
            </w:r>
          </w:p>
        </w:tc>
      </w:tr>
      <w:tr>
        <w:trPr>
          <w:trHeight w:val="23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5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(35,631)</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Loss from discontinued operations net of income taxes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(35,631)</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Other comprehensive loss from continuing operations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5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640" w:type="dxa"/>
            <w:vAlign w:val="bottom"/>
          </w:tcPr>
          <w:p>
            <w:pPr>
              <w:ind w:left="180"/>
              <w:spacing w:after="0"/>
              <w:rPr>
                <w:sz w:val="20"/>
                <w:szCs w:val="20"/>
                <w:color w:val="auto"/>
              </w:rPr>
            </w:pPr>
            <w:r>
              <w:rPr>
                <w:rFonts w:ascii="Arial" w:cs="Arial" w:eastAsia="Arial" w:hAnsi="Arial"/>
                <w:sz w:val="18"/>
                <w:szCs w:val="18"/>
                <w:color w:val="auto"/>
              </w:rPr>
              <w:t>Other comprehensive loss from discontinued operations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Loss per share from continuing operations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(24.83)</w:t>
            </w:r>
          </w:p>
        </w:tc>
      </w:tr>
      <w:tr>
        <w:trPr>
          <w:trHeight w:val="23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per share from discontinued operations</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r>
      <w:tr>
        <w:trPr>
          <w:trHeight w:val="257"/>
        </w:trPr>
        <w:tc>
          <w:tcPr>
            <w:tcW w:w="66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basic and diluted net loss per share</w:t>
            </w:r>
          </w:p>
        </w:tc>
        <w:tc>
          <w:tcPr>
            <w:tcW w:w="158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outstanding during the year*</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640" w:type="dxa"/>
            <w:vAlign w:val="bottom"/>
          </w:tcPr>
          <w:p>
            <w:pPr>
              <w:ind w:left="18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4,903,331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1,453,635</w:t>
            </w:r>
          </w:p>
        </w:tc>
      </w:tr>
      <w:tr>
        <w:trPr>
          <w:trHeight w:val="196"/>
        </w:trPr>
        <w:tc>
          <w:tcPr>
            <w:tcW w:w="664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4,903,331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1,453,635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*2018 per share and weighted-average number of shares were adjusted to reflect the impact of the 1:20 reverse stock split that became effective on February 22,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02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other</w:t>
            </w:r>
          </w:p>
        </w:tc>
        <w:tc>
          <w:tcPr>
            <w:tcW w:w="100" w:type="dxa"/>
            <w:vAlign w:val="bottom"/>
          </w:tcPr>
          <w:p>
            <w:pPr>
              <w:spacing w:after="0"/>
              <w:rPr>
                <w:sz w:val="17"/>
                <w:szCs w:val="17"/>
                <w:color w:val="auto"/>
              </w:rPr>
            </w:pPr>
          </w:p>
        </w:tc>
        <w:tc>
          <w:tcPr>
            <w:tcW w:w="102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0"/>
              </w:rPr>
              <w:t>Company</w:t>
            </w:r>
          </w:p>
        </w:tc>
        <w:tc>
          <w:tcPr>
            <w:tcW w:w="12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paid-</w:t>
            </w:r>
          </w:p>
        </w:tc>
        <w:tc>
          <w:tcPr>
            <w:tcW w:w="120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7"/>
                <w:szCs w:val="17"/>
                <w:color w:val="auto"/>
              </w:rPr>
            </w:pPr>
          </w:p>
        </w:tc>
        <w:tc>
          <w:tcPr>
            <w:tcW w:w="102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89"/>
              </w:rPr>
              <w:t>equity</w:t>
            </w: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 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4"/>
              </w:rPr>
              <w:t>loss</w:t>
            </w:r>
          </w:p>
        </w:tc>
        <w:tc>
          <w:tcPr>
            <w:tcW w:w="100" w:type="dxa"/>
            <w:vAlign w:val="bottom"/>
          </w:tcPr>
          <w:p>
            <w:pPr>
              <w:spacing w:after="0"/>
              <w:rPr>
                <w:sz w:val="19"/>
                <w:szCs w:val="19"/>
                <w:color w:val="auto"/>
              </w:rPr>
            </w:pPr>
          </w:p>
        </w:tc>
        <w:tc>
          <w:tcPr>
            <w:tcW w:w="102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interests</w:t>
            </w:r>
          </w:p>
        </w:tc>
        <w:tc>
          <w:tcPr>
            <w:tcW w:w="12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295,904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(286,913)</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4,029</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Issuance of common stock for</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80"/>
              <w:spacing w:after="0"/>
              <w:rPr>
                <w:sz w:val="20"/>
                <w:szCs w:val="20"/>
                <w:color w:val="auto"/>
              </w:rPr>
            </w:pPr>
            <w:r>
              <w:rPr>
                <w:rFonts w:ascii="Arial" w:cs="Arial" w:eastAsia="Arial" w:hAnsi="Arial"/>
                <w:sz w:val="16"/>
                <w:szCs w:val="16"/>
                <w:color w:val="auto"/>
              </w:rPr>
              <w:t>repayment of interest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5"/>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Net income (loss) for the period</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color w:val="auto"/>
              </w:rPr>
              <w:t>(2,973)</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20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Distributions to noncontrolling</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340" w:type="dxa"/>
            <w:vAlign w:val="bottom"/>
          </w:tcPr>
          <w:p>
            <w:pPr>
              <w:spacing w:after="0"/>
              <w:rPr>
                <w:sz w:val="20"/>
                <w:szCs w:val="20"/>
                <w:color w:val="auto"/>
              </w:rPr>
            </w:pPr>
            <w:r>
              <w:rPr>
                <w:rFonts w:ascii="Arial" w:cs="Arial" w:eastAsia="Arial" w:hAnsi="Arial"/>
                <w:sz w:val="16"/>
                <w:szCs w:val="16"/>
                <w:color w:val="auto"/>
              </w:rPr>
              <w:t>interests</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296,823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(289,886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Conversion of senior notes and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ind w:left="180"/>
              <w:spacing w:after="0"/>
              <w:rPr>
                <w:sz w:val="20"/>
                <w:szCs w:val="20"/>
                <w:color w:val="auto"/>
              </w:rPr>
            </w:pPr>
            <w:r>
              <w:rPr>
                <w:rFonts w:ascii="Arial" w:cs="Arial" w:eastAsia="Arial" w:hAnsi="Arial"/>
                <w:sz w:val="16"/>
                <w:szCs w:val="16"/>
                <w:color w:val="auto"/>
              </w:rPr>
              <w:t>warrants into common shares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3,494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3,494</w:t>
            </w:r>
          </w:p>
        </w:tc>
        <w:tc>
          <w:tcPr>
            <w:tcW w:w="0" w:type="dxa"/>
            <w:vAlign w:val="bottom"/>
          </w:tcPr>
          <w:p>
            <w:pPr>
              <w:spacing w:after="0"/>
              <w:rPr>
                <w:sz w:val="1"/>
                <w:szCs w:val="1"/>
                <w:color w:val="auto"/>
              </w:rPr>
            </w:pPr>
          </w:p>
        </w:tc>
      </w:tr>
      <w:tr>
        <w:trPr>
          <w:trHeight w:val="206"/>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for the period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(6,338)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(6,338)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Contributions from</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6"/>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Distributions to noncontrolling</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3"/>
        </w:trPr>
        <w:tc>
          <w:tcPr>
            <w:tcW w:w="234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June 30, 2019</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300,438</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(296,224)</w:t>
            </w: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4,146</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4,079</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8,225</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Series F Preferred</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June 2019 Class A</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Warrants into common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for the period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(4,844)</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(4,844)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Distributions to noncontrolling</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interests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0"/>
        </w:trPr>
        <w:tc>
          <w:tcPr>
            <w:tcW w:w="23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September 30, 2019</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4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301,601</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(301,068</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3,987</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4,537</w:t>
            </w: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w w:val="97"/>
              </w:rPr>
              <w:t>Conversion of Series D Preferred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Stock into common shares, net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6"/>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Issuance of common shares to pay</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on borrowings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 of warrants into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Foreign currency translation</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for the period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(7,068)</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(7,068)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r>
        <w:trPr>
          <w:trHeight w:val="202"/>
        </w:trPr>
        <w:tc>
          <w:tcPr>
            <w:tcW w:w="2340" w:type="dxa"/>
            <w:vAlign w:val="bottom"/>
          </w:tcPr>
          <w:p>
            <w:pPr>
              <w:spacing w:after="0" w:line="201" w:lineRule="exact"/>
              <w:rPr>
                <w:sz w:val="20"/>
                <w:szCs w:val="20"/>
                <w:color w:val="auto"/>
              </w:rPr>
            </w:pPr>
            <w:r>
              <w:rPr>
                <w:rFonts w:ascii="Arial" w:cs="Arial" w:eastAsia="Arial" w:hAnsi="Arial"/>
                <w:sz w:val="18"/>
                <w:szCs w:val="18"/>
                <w:color w:val="auto"/>
                <w:w w:val="98"/>
              </w:rPr>
              <w:t>Payment of withholding taxes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on RSUs</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3"/>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Contributions from</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193"/>
        </w:trPr>
        <w:tc>
          <w:tcPr>
            <w:tcW w:w="2340" w:type="dxa"/>
            <w:vAlign w:val="bottom"/>
          </w:tcPr>
          <w:p>
            <w:pPr>
              <w:spacing w:after="0"/>
              <w:rPr>
                <w:sz w:val="20"/>
                <w:szCs w:val="20"/>
                <w:color w:val="auto"/>
              </w:rPr>
            </w:pPr>
            <w:r>
              <w:rPr>
                <w:rFonts w:ascii="Arial" w:cs="Arial" w:eastAsia="Arial" w:hAnsi="Arial"/>
                <w:sz w:val="16"/>
                <w:szCs w:val="16"/>
                <w:color w:val="auto"/>
              </w:rPr>
              <w:t>Distributions to noncontrolling</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interests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30"/>
        </w:trPr>
        <w:tc>
          <w:tcPr>
            <w:tcW w:w="23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3"/>
        </w:trPr>
        <w:tc>
          <w:tcPr>
            <w:tcW w:w="23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301,681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(308,136</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(6,239</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10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7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0" w:type="dxa"/>
            <w:vAlign w:val="bottom"/>
            <w:gridSpan w:val="4"/>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capital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interests</w:t>
            </w: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equity(deficit)</w:t>
            </w:r>
          </w:p>
        </w:tc>
        <w:tc>
          <w:tcPr>
            <w:tcW w:w="0" w:type="dxa"/>
            <w:vAlign w:val="bottom"/>
          </w:tcPr>
          <w:p>
            <w:pPr>
              <w:spacing w:after="0"/>
              <w:rPr>
                <w:sz w:val="1"/>
                <w:szCs w:val="1"/>
                <w:color w:val="auto"/>
              </w:rPr>
            </w:pPr>
          </w:p>
        </w:tc>
      </w:tr>
      <w:tr>
        <w:trPr>
          <w:trHeight w:val="149"/>
        </w:trPr>
        <w:tc>
          <w:tcPr>
            <w:tcW w:w="23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 2017</w:t>
            </w:r>
          </w:p>
        </w:tc>
        <w:tc>
          <w:tcPr>
            <w:tcW w:w="760" w:type="dxa"/>
            <w:vAlign w:val="bottom"/>
            <w:tcBorders>
              <w:top w:val="single" w:sz="8" w:color="auto"/>
            </w:tcBorders>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290,396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(249,708)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40,883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4,956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45,839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Net income (loss) for the period</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(23,933)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(23,933)</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(23,850)</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Arial" w:cs="Arial" w:eastAsia="Arial" w:hAnsi="Arial"/>
                <w:sz w:val="14"/>
                <w:szCs w:val="14"/>
                <w:color w:val="auto"/>
              </w:rPr>
              <w:t>interests</w:t>
            </w:r>
          </w:p>
        </w:tc>
        <w:tc>
          <w:tcPr>
            <w:tcW w:w="76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36"/>
        </w:trPr>
        <w:tc>
          <w:tcPr>
            <w:tcW w:w="238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March 31, 2018</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266</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290,707</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(273,641)</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(140</w:t>
            </w:r>
          </w:p>
        </w:tc>
        <w:tc>
          <w:tcPr>
            <w:tcW w:w="200" w:type="dxa"/>
            <w:vAlign w:val="bottom"/>
            <w:tcBorders>
              <w:top w:val="single" w:sz="8" w:color="CCEEFF"/>
            </w:tcBorders>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17,196</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4,819</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22,015</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Issuance of equity warrants</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Net income (loss) for the period</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(3,523)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(3,523)</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Arial" w:cs="Arial" w:eastAsia="Arial" w:hAnsi="Arial"/>
                <w:sz w:val="14"/>
                <w:szCs w:val="14"/>
                <w:color w:val="auto"/>
              </w:rPr>
              <w:t>interests</w:t>
            </w:r>
          </w:p>
        </w:tc>
        <w:tc>
          <w:tcPr>
            <w:tcW w:w="76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36"/>
        </w:trPr>
        <w:tc>
          <w:tcPr>
            <w:tcW w:w="238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June 30, 2018</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w:t>
            </w: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271</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291,025</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(277,164)</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(276)</w:t>
            </w:r>
          </w:p>
        </w:tc>
        <w:tc>
          <w:tcPr>
            <w:tcW w:w="2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13,860</w:t>
            </w: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4,152</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18,012</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Arial" w:cs="Arial" w:eastAsia="Arial" w:hAnsi="Arial"/>
                <w:sz w:val="14"/>
                <w:szCs w:val="14"/>
                <w:color w:val="auto"/>
              </w:rPr>
              <w:t>repayment of debt and interest</w:t>
            </w:r>
          </w:p>
        </w:tc>
        <w:tc>
          <w:tcPr>
            <w:tcW w:w="76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for the period</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(3,187)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(3,065)</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20"/>
                <w:szCs w:val="20"/>
                <w:color w:val="auto"/>
              </w:rPr>
            </w:pPr>
            <w:r>
              <w:rPr>
                <w:rFonts w:ascii="Arial" w:cs="Arial" w:eastAsia="Arial" w:hAnsi="Arial"/>
                <w:sz w:val="14"/>
                <w:szCs w:val="14"/>
                <w:color w:val="auto"/>
              </w:rPr>
              <w:t>interests</w:t>
            </w:r>
          </w:p>
        </w:tc>
        <w:tc>
          <w:tcPr>
            <w:tcW w:w="76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
        </w:trPr>
        <w:tc>
          <w:tcPr>
            <w:tcW w:w="23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September 30, 2018</w:t>
            </w: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38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291,989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(280,351)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11,682</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15,755</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E Convertible</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w:t>
            </w:r>
          </w:p>
        </w:tc>
        <w:tc>
          <w:tcPr>
            <w:tcW w:w="7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repayment of debt and interest</w:t>
            </w:r>
          </w:p>
        </w:tc>
        <w:tc>
          <w:tcPr>
            <w:tcW w:w="7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w w:val="97"/>
              </w:rPr>
              <w:t>Issuance of common stock for services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for the period</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(6,562)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(6,562)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(6,485)</w:t>
            </w: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20"/>
                <w:szCs w:val="20"/>
                <w:color w:val="auto"/>
              </w:rPr>
            </w:pPr>
            <w:r>
              <w:rPr>
                <w:rFonts w:ascii="Arial" w:cs="Arial" w:eastAsia="Arial" w:hAnsi="Arial"/>
                <w:sz w:val="14"/>
                <w:szCs w:val="14"/>
                <w:color w:val="auto"/>
              </w:rPr>
              <w:t>interests</w:t>
            </w:r>
          </w:p>
        </w:tc>
        <w:tc>
          <w:tcPr>
            <w:tcW w:w="76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62"/>
        </w:trPr>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76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295,904</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(286,913</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jc w:val="right"/>
              <w:ind w:right="67"/>
              <w:spacing w:after="0"/>
              <w:rPr>
                <w:sz w:val="20"/>
                <w:szCs w:val="20"/>
                <w:color w:val="auto"/>
              </w:rPr>
            </w:pPr>
            <w:r>
              <w:rPr>
                <w:rFonts w:ascii="Arial" w:cs="Arial" w:eastAsia="Arial" w:hAnsi="Arial"/>
                <w:sz w:val="18"/>
                <w:szCs w:val="18"/>
                <w:b w:val="1"/>
                <w:bCs w:val="1"/>
                <w:color w:val="auto"/>
              </w:rPr>
              <w:t>For the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years ended December 31,</w:t>
            </w:r>
          </w:p>
        </w:tc>
      </w:tr>
      <w:tr>
        <w:trPr>
          <w:trHeight w:val="223"/>
        </w:trPr>
        <w:tc>
          <w:tcPr>
            <w:tcW w:w="8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Consolidated 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(20,530)</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(36,746)</w:t>
            </w:r>
          </w:p>
        </w:tc>
      </w:tr>
      <w:tr>
        <w:trPr>
          <w:trHeight w:val="23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net loss from discontinued operations</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w:t>
            </w:r>
          </w:p>
        </w:tc>
      </w:tr>
      <w:tr>
        <w:trPr>
          <w:trHeight w:val="203"/>
        </w:trPr>
        <w:tc>
          <w:tcPr>
            <w:tcW w:w="8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Consolidated net loss from continuing operations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(20,530)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(35,631)</w:t>
            </w:r>
          </w:p>
        </w:tc>
        <w:tc>
          <w:tcPr>
            <w:tcW w:w="100" w:type="dxa"/>
            <w:vAlign w:val="bottom"/>
            <w:tcBorders>
              <w:top w:val="single" w:sz="8" w:color="CCEEFF"/>
            </w:tcBorders>
          </w:tcPr>
          <w:p>
            <w:pPr>
              <w:spacing w:after="0"/>
              <w:rPr>
                <w:sz w:val="17"/>
                <w:szCs w:val="17"/>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consolidated net loss from continuing operations to net cash used in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Items included in consolidated net loss not affecting cash flows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7,398</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Impairment/disposal of long-lived assets</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of warrants and conversion options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Debt conversion expense</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cost investments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Issuance of Series F Convertible Preferred Stock</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Accretion of interest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shares of Common Stock for services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Issuance of Common Stock for payment of interest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Gain on the sale of patents</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Decrease in inventory</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other assets, net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(1,835)</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Increase (decrease) in accounts payable, accrued expenses and other current liabilities</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r>
      <w:tr>
        <w:trPr>
          <w:trHeight w:val="23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liabilities</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03"/>
        </w:trPr>
        <w:tc>
          <w:tcPr>
            <w:tcW w:w="8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 – continuing operations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(8,067)</w:t>
            </w:r>
          </w:p>
        </w:tc>
        <w:tc>
          <w:tcPr>
            <w:tcW w:w="100" w:type="dxa"/>
            <w:vAlign w:val="bottom"/>
            <w:tcBorders>
              <w:top w:val="single" w:sz="8" w:color="CCEEFF"/>
            </w:tcBorders>
          </w:tcPr>
          <w:p>
            <w:pPr>
              <w:spacing w:after="0"/>
              <w:rPr>
                <w:sz w:val="17"/>
                <w:szCs w:val="17"/>
                <w:color w:val="auto"/>
              </w:rPr>
            </w:pPr>
          </w:p>
        </w:tc>
      </w:tr>
      <w:tr>
        <w:trPr>
          <w:trHeight w:val="23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 discontinued operations</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r>
      <w:tr>
        <w:trPr>
          <w:trHeight w:val="210"/>
        </w:trPr>
        <w:tc>
          <w:tcPr>
            <w:tcW w:w="8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(6,566)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(3,031)</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software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the sale of subsidiary</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cost method investment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23"/>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sale of patents</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44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note to Calm</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Proceeds from convertible notes and warrants</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Issuance of shares of Series E Convertible Preferred Stock</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borrowing from B3D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Payments on 5% Convertible Notes</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(1,636)</w:t>
            </w:r>
          </w:p>
        </w:tc>
      </w:tr>
      <w:tr>
        <w:trPr>
          <w:trHeight w:val="23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8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cash provided by financing activities – continuing operations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5,644</w:t>
            </w:r>
          </w:p>
        </w:tc>
        <w:tc>
          <w:tcPr>
            <w:tcW w:w="100" w:type="dxa"/>
            <w:vAlign w:val="bottom"/>
            <w:tcBorders>
              <w:top w:val="single" w:sz="8" w:color="CCEEFF"/>
            </w:tcBorders>
          </w:tcPr>
          <w:p>
            <w:pPr>
              <w:spacing w:after="0"/>
              <w:rPr>
                <w:sz w:val="17"/>
                <w:szCs w:val="17"/>
                <w:color w:val="auto"/>
              </w:rPr>
            </w:pPr>
          </w:p>
        </w:tc>
      </w:tr>
      <w:tr>
        <w:trPr>
          <w:trHeight w:val="23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 – discontinued operations</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5,644</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440" w:type="dxa"/>
            <w:vAlign w:val="bottom"/>
          </w:tcPr>
          <w:p>
            <w:pPr>
              <w:spacing w:after="0" w:line="203" w:lineRule="exact"/>
              <w:rPr>
                <w:sz w:val="20"/>
                <w:szCs w:val="20"/>
                <w:color w:val="auto"/>
              </w:rPr>
            </w:pPr>
            <w:r>
              <w:rPr>
                <w:rFonts w:ascii="Arial" w:cs="Arial" w:eastAsia="Arial" w:hAnsi="Arial"/>
                <w:sz w:val="18"/>
                <w:szCs w:val="18"/>
                <w:color w:val="auto"/>
              </w:rPr>
              <w:t>Decrease in cash, cash equivalents and restricted cash</w:t>
            </w: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(1,255)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(2,965)</w:t>
            </w:r>
          </w:p>
        </w:tc>
        <w:tc>
          <w:tcPr>
            <w:tcW w:w="100" w:type="dxa"/>
            <w:vAlign w:val="bottom"/>
          </w:tcPr>
          <w:p>
            <w:pPr>
              <w:spacing w:after="0"/>
              <w:rPr>
                <w:sz w:val="17"/>
                <w:szCs w:val="17"/>
                <w:color w:val="auto"/>
              </w:rPr>
            </w:pPr>
          </w:p>
        </w:tc>
      </w:tr>
      <w:tr>
        <w:trPr>
          <w:trHeight w:val="23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w:t>
            </w:r>
          </w:p>
        </w:tc>
      </w:tr>
      <w:tr>
        <w:trPr>
          <w:trHeight w:val="256"/>
        </w:trPr>
        <w:tc>
          <w:tcPr>
            <w:tcW w:w="8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year for</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735</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discount related to issuance of convertible notes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4,142</w:t>
            </w: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Conversion of senior notes and warrants into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3,494</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Series F Convertible Preferred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1,131</w:t>
            </w: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Issuance of shares of Common Stock to pay debt and 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817</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Series D Convertible Preferred Stock to Common Stock</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3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Conversion/exercise of warrants into Common Stock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919" w:orient="portrait"/>
          <w:cols w:equalWidth="0" w:num="1">
            <w:col w:w="11240"/>
          </w:cols>
          <w:pgMar w:left="320" w:top="904" w:right="3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acquisition of cost method investment</w:t>
            </w:r>
          </w:p>
        </w:tc>
        <w:tc>
          <w:tcPr>
            <w:tcW w:w="2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Non-cash acquisition of construction-in-progress</w:t>
            </w:r>
          </w:p>
        </w:tc>
        <w:tc>
          <w:tcPr>
            <w:tcW w:w="29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2018, the Company changed its name to XpresSpa Group, Inc. (“XpresSpa Group” or the “Company”) from FORM Holdings Corp. The Company’s common stock, par value $0.01 per share (the “Common Stock”), which had previously been listed under the trading symbol “FH” on the Nasdaq Capital Market, has been listed under the trading symbol “XSPA” since January 8, 2018. Rebranding to XpresSpa Group aligned the Company’s corporate strategy to build a pure-play health and wellness services company, which the Company commenced following its acquisition of XpresSpa Holdings, LLC (“XpresSpa”) on December 23, 2016.</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transition to a pure-play health and wellness services company, the Company currently has one operating segment that is also its sole reporting unit, XpresSpa. XpresSpa is a well-recognized, leading airport retailer of spa services and related products. As of December 31, 2019, XpresSpa operated 51 total locations in 25 airports, in three countries including the United States, Netherlands and United Arab Emirates. Services and products include:</w:t>
      </w:r>
    </w:p>
    <w:p>
      <w:pPr>
        <w:spacing w:after="0" w:line="187" w:lineRule="exact"/>
        <w:rPr>
          <w:sz w:val="20"/>
          <w:szCs w:val="20"/>
          <w:color w:val="auto"/>
        </w:rPr>
      </w:pPr>
    </w:p>
    <w:p>
      <w:pPr>
        <w:ind w:left="520" w:hanging="256"/>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52" w:lineRule="exact"/>
        <w:rPr>
          <w:rFonts w:ascii="Arial" w:cs="Arial" w:eastAsia="Arial" w:hAnsi="Arial"/>
          <w:sz w:val="18"/>
          <w:szCs w:val="18"/>
          <w:color w:val="auto"/>
        </w:rPr>
      </w:pPr>
    </w:p>
    <w:p>
      <w:pPr>
        <w:ind w:left="520" w:hanging="256"/>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52" w:lineRule="exact"/>
        <w:rPr>
          <w:rFonts w:ascii="Arial" w:cs="Arial" w:eastAsia="Arial" w:hAnsi="Arial"/>
          <w:sz w:val="18"/>
          <w:szCs w:val="18"/>
          <w:color w:val="auto"/>
        </w:rPr>
      </w:pPr>
    </w:p>
    <w:p>
      <w:pPr>
        <w:ind w:left="520" w:hanging="256"/>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travel products, such as neck pillows, blankets and massage tools; and</w:t>
      </w:r>
    </w:p>
    <w:p>
      <w:pPr>
        <w:spacing w:after="0" w:line="225" w:lineRule="exact"/>
        <w:rPr>
          <w:rFonts w:ascii="Arial" w:cs="Arial" w:eastAsia="Arial" w:hAnsi="Arial"/>
          <w:sz w:val="18"/>
          <w:szCs w:val="18"/>
          <w:color w:val="auto"/>
        </w:rPr>
      </w:pPr>
    </w:p>
    <w:p>
      <w:pPr>
        <w:ind w:left="520" w:hanging="256"/>
        <w:spacing w:after="0"/>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new offerings, such as cryotherapy services, NormaTec compression services, and Dermalogica personal care services and retail products.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and 2018, XpresSpa generated $48,515 and $50,094 of revenue, respectively. In 2019 and 2018, approximately 82% of XpresSpa’s total revenue was generated by services, primarily massage and nailcare, 15% and 16%, respectively, was generated by retail products, primarily luxury travel products and accessories and 3% and 2%, respectively, was other revenue.</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XpresSpa is well positioned to benefit from consumers’ growing interest in health and wellness and increasing demand for spa services and related wellness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certain patent portfolios, which, in prior years, it monetized through sales and licensing agreements. During the year ended December 31, 2018, the Company determined that its former intellectual property operating segment would no longer be an area of focus and, as such, will no longer operate as a separate operating segment, as it no longer generates any material revenues or operating costs.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2018, the Company completed the sale of Group Mobile Int’l LLC (“Group Mobile”). This entity was previously included in the Company’s technology operating segment. The results of operations for Group Mobile are presented in the consolidated statements of operations and comprehensive loss as net loss from discontinued operations.</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Coronavirus on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11, 2020, the World Health Organization declared the outbreak of the Coronavirus (“COVID-19”), which continues to spread throughout the U.S. and the world, a pandemic. The outbreak is having an impact on the global economy, resulting in rapidly changing market and economic conditions. Similar to many businesses in the travel sector, our business has been materially adversely impacted by the recent COVID-19 outbreak and associated restrictions on travel that have been implemented. Effective March 24, 2020, the Company temporarily closed all global spa locations, largely due to the categorization of its spa locations by local jurisdictions as “non-essential services”. The Company intends to reopen its spa locations and resume normal operations once restrictions on non-essential services are lifted and airport traffic returns to sufficient levels to support its operations. On March 25, 2020, the Company announced that, during such period as it remains unable to reopen its spa locations for normal operations, it was advancing conversations with certain COVID-19 testing partners to develop a model for testing in U.S. airports.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temporary closing of the Company’s global spa operations has had a materially adverse impact on its cash flows from operations and caused a liquidity crisis. As a result, management has concluded that there was a long-lived asset impairment triggering event during the first quarter of 2020, which will result in management performing an impairment evaluation of certain of its long-lived asset balances (primarily leasehold improvements and right of use lease assets totaling approximately $16,318 as of December 31, 2019). This could lead to the Company recording an impairment charge during the first quarter of 2020. The full extent to which COVID-19 will impact the Company’s results will depend on future developments, which are highly uncertain and cannot be predicted, including new information which may emerge concerning the severity of the virus and the actions to contain or treat its impact.</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is currently seeking sources of capital to help fund its business operations during the COVID-19 crisis. It has been able to secure financing during the first quarter of 2020 totaling gross proceeds of approximately $9,440 by obtaining a cash advance on its accounts receivable balances, a loan from its senior secured lender, B3D, LLC (“B3D”), and through common stock offerings (see Note 20, </w:t>
      </w:r>
      <w:r>
        <w:rPr>
          <w:rFonts w:ascii="Arial" w:cs="Arial" w:eastAsia="Arial" w:hAnsi="Arial"/>
          <w:sz w:val="16"/>
          <w:szCs w:val="16"/>
          <w:i w:val="1"/>
          <w:iCs w:val="1"/>
          <w:color w:val="auto"/>
        </w:rPr>
        <w:t>Subsequent Events</w:t>
      </w:r>
      <w:r>
        <w:rPr>
          <w:rFonts w:ascii="Arial" w:cs="Arial" w:eastAsia="Arial" w:hAnsi="Arial"/>
          <w:sz w:val="16"/>
          <w:szCs w:val="16"/>
          <w:color w:val="auto"/>
        </w:rPr>
        <w:t>). Depending on the impact of the COVID outbreak on the Company’s operations and cash position, it may need to obtain additional financing. If the Company needs to obtain additional financing in the future and is unsuccessful, it may be required to curtail or terminate some or all of its business operations and cause its Board of Directors to possibly pursue a restructuring, which may include a reorganization or bankruptcy under Federal bankruptcy laws, or a dissolution, liquidation and/or winding up of the Company. Accordingly, holders of the Company’s secured and unsecured debt and common stock may lose their entire investment in the event of a reorganization, bankruptcy, liquidation, dissolution or winding up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Company had approximately $2,184 of cash and cash equivalents, and total current assets of approximately $3,933. The Company’s total current liabilities balance, which includes primarily accounts payable, accrued expenses, and the current portion of operating lease liabilities was approximately $16,220 as of December 31, 2019. The working capital deficiency was $12,287 as of December 31, 2019, compared to a working capital deficiency of $10,899 as of December 31, 2018. The increase in the working capital deficiency was primarily due to the reduction in cash and other current asset balances from 2018 and the classification of a current portion of lease liability of $3,669 in current liabilities in 2019 but not in 2018, partially offset by the refinancing and recapitalization transactions the Company completed in July of 2019, which are discussed in in the notes to these consolidated financial statements.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Company has aggressively reduced operating and overhead expenses, and while it continues to focus on its overall profitability, it has continued to generate negative cash flows from operations, and it expects to incur net losses for the foreseeable future, especially considering the negative impact COVID-19 will have on its liquidity and financial position. As discussed elsewhere in this Annual Report on Form 10-K, the report of the Company’s independent registered public accounting firm on the Company’s financial statements for the years ended December 31, 2019 and 2018 includes an explanatory paragraph indicating that there is substantial doubt about the Company’s ability to continue as a going concern.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taken actions to improve its overall cash position and access to liquidity through debt and equity financings, by exploring valuable strategic partnerships, right sizing its corporate structure and streamlining its operations. These actions are intended to improve the Company’s overall cash position and assist with its liquidity needs, however there can be no assurance that these actions will be sufficient.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audited financial statements have been prepared assuming that the Company will continue as a going concern and do not include any adjustments that might result if we cease to continue as a going concern.</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Material Weakness in Internal Controls over Financial Reporting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on management’s evaluation under the framework in Internal Control-Integrated Framework, the Company’s Chief Executive Officer and Principal Financial Officer concluded that the Company’s internal control over financial reporting was not effective as of December 31, 2019 due to a material weakness in its internal controls over its financial close and reporting process and have concluded that the financial close and reporting process needs additional formal procedures to ensure that appropriate reviews occur on all financial reporting analysis. Management also concluded that the Company did not maintain a sufficient complement of corporate personnel with appropriate levels of accounting and controls knowledge and experience commensurate with its financial reporting requirements to appropriately analyze, record and disclose accounting matters completely and accurately. This deficiency created a reasonable possibility that a material misstatement would not be prevented or detected in a timely basis. Management concluded that the control deficiency represented a material weakness and, accordingly, that the Company’s internal control over financial reporting was not effective as of December 31, 2019.</w:t>
      </w:r>
    </w:p>
    <w:p>
      <w:pPr>
        <w:spacing w:after="0" w:line="1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material weakness in our internal control over financial reporting resulted in proposed audit adjustments to the Company’s consolidated financial statements in the areas of lease accounting, long-lived asset impairment and accrued liabilities accounting as of and for the year ended December 31, 2019.</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still considering the full extent of the procedures to implement in order to remediate the material weakness described above. The current remediation plan includes a more robust review process, and an increase in the supervision and monitoring of the financial reporting processes and the Company’s accounting personnel.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United States dollars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included in non-operating income (expense) in the consolidated statements of operations and comprehensive loss.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 (deficit).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third-party financial institutions for credit and debit card transactions which typically settle in less than five days.</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all derivative instruments as either assets or liabilities in the consolidated balance sheets at their respective fair values. The Company's derivative instruments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(“ASC”)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xml:space="preserve"> to determine if such instruments are indexed to the Company’s own stock and qualify for classification in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Inventory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inventory is valued at the lower of cost or net realizable value. Cost is determined using a weighted-average cost method. Inventory is included in current assets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include trade names, customer relationships, and technology, which were acquired as part of the acquisition of XpresSpa in December 2016 and were recorded based on the estimated fair value in purchase price allocation. The intangible assets are amortized over their estimated useful lives, which are periodically evaluated for reasonableness. Gain or loss on dispositions of intangible assets is </w:t>
      </w:r>
      <w:r>
        <w:rPr>
          <w:rFonts w:ascii="Arial" w:cs="Arial" w:eastAsia="Arial" w:hAnsi="Arial"/>
          <w:sz w:val="18"/>
          <w:szCs w:val="18"/>
          <w:color w:val="181818"/>
        </w:rPr>
        <w:t>reflected in general and administrative expense in</w:t>
      </w:r>
      <w:r>
        <w:rPr>
          <w:rFonts w:ascii="Arial" w:cs="Arial" w:eastAsia="Arial" w:hAnsi="Arial"/>
          <w:sz w:val="18"/>
          <w:szCs w:val="18"/>
          <w:color w:val="auto"/>
        </w:rPr>
        <w:t xml:space="preserve"> </w:t>
      </w:r>
      <w:r>
        <w:rPr>
          <w:rFonts w:ascii="Arial" w:cs="Arial" w:eastAsia="Arial" w:hAnsi="Arial"/>
          <w:sz w:val="18"/>
          <w:szCs w:val="18"/>
          <w:color w:val="181818"/>
        </w:rPr>
        <w:t xml:space="preserve">the consolidated statements of operations </w:t>
      </w:r>
      <w:r>
        <w:rPr>
          <w:rFonts w:ascii="Arial" w:cs="Arial" w:eastAsia="Arial" w:hAnsi="Arial"/>
          <w:sz w:val="18"/>
          <w:szCs w:val="18"/>
          <w:color w:val="000000"/>
        </w:rPr>
        <w:t>and comprehensive loss.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Long-lived assets (other than intangible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Property and equipment is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right of use asset on the Company’s consolidated balance sheet represents a lessee's right to use an asset over the life of a lease. The asset is calculated as the initial amount of the lease liability,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Long-lived assets are tested for impairment at the lowest level at which there are identifiable operating cash flows, which is at the individual spa location for the XpresSpa business. The Company’s long-lived assets consist primarily of leasehold improvements and right to use lease assets for each of its locations (considered the asset group). The Company reviews its long-lived assets for recoverability yearly or sooner if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spa locations, is the remaining term of the operating lease. The Company uses its existing borrowing rate as the discount rate since it expects that this rate incorporates not only the time value of money but also the expectations regarding future cash flows and an appropriate risk premium.</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estimates used to calculate future cash flows are subjective in nature and involve uncertainties and matters of significant judgments and therefore cannot be determined with precision. Changes in assumptions could significantly affect the estimated fair value of each asset group. The Company will calculate the future cash flow using what it believes to be the most predictable of several scenarios. Typically, the changes in assumptions run under different business scenarios would not result in a material change in the assessment of the potential impairment or the impairment amount of a locations long-lived asset group. But if these estimates or related assumptions were to change materially, the Company may be required to record an impairment charge (see Note 6, </w:t>
      </w:r>
      <w:r>
        <w:rPr>
          <w:rFonts w:ascii="Arial" w:cs="Arial" w:eastAsia="Arial" w:hAnsi="Arial"/>
          <w:sz w:val="18"/>
          <w:szCs w:val="18"/>
          <w:i w:val="1"/>
          <w:iCs w:val="1"/>
          <w:color w:val="auto"/>
        </w:rPr>
        <w:t>Property and Equipment</w:t>
      </w:r>
      <w:r>
        <w:rPr>
          <w:rFonts w:ascii="Arial" w:cs="Arial" w:eastAsia="Arial" w:hAnsi="Arial"/>
          <w:sz w:val="18"/>
          <w:szCs w:val="18"/>
          <w:color w:val="auto"/>
        </w:rPr>
        <w:t xml:space="preserve"> and Note 9</w:t>
      </w:r>
      <w:r>
        <w:rPr>
          <w:rFonts w:ascii="Arial" w:cs="Arial" w:eastAsia="Arial" w:hAnsi="Arial"/>
          <w:sz w:val="18"/>
          <w:szCs w:val="18"/>
          <w:i w:val="1"/>
          <w:iCs w:val="1"/>
          <w:color w:val="auto"/>
        </w:rPr>
        <w:t>, Leases),</w:t>
      </w:r>
      <w:r>
        <w:rPr>
          <w:rFonts w:ascii="Arial" w:cs="Arial" w:eastAsia="Arial" w:hAnsi="Arial"/>
          <w:sz w:val="18"/>
          <w:szCs w:val="18"/>
          <w:color w:val="auto"/>
        </w:rPr>
        <w:t xml:space="preserve"> for the impairment assessment performed related to those long-lived assets as of December 31, 2019).</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(i) 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8"/>
          <w:szCs w:val="18"/>
          <w:i w:val="1"/>
          <w:iCs w:val="1"/>
          <w:color w:val="auto"/>
        </w:rPr>
        <w:t>Topic 350, Intangibles – Goodwill and Other</w:t>
      </w:r>
      <w:r>
        <w:rPr>
          <w:rFonts w:ascii="Arial" w:cs="Arial" w:eastAsia="Arial" w:hAnsi="Arial"/>
          <w:sz w:val="18"/>
          <w:szCs w:val="18"/>
          <w:color w:val="auto"/>
        </w:rPr>
        <w:t>. The Company evaluates goodwill impairment at the reporting unit level and performs its annual goodwill impairment test as of December 31.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December 31, 2018, the Company’s goodwill was fully impaired. See </w:t>
      </w:r>
      <w:r>
        <w:rPr>
          <w:rFonts w:ascii="Arial" w:cs="Arial" w:eastAsia="Arial" w:hAnsi="Arial"/>
          <w:sz w:val="18"/>
          <w:szCs w:val="18"/>
          <w:i w:val="1"/>
          <w:iCs w:val="1"/>
          <w:color w:val="auto"/>
        </w:rPr>
        <w:t>Note 8. Intangible Assets and Goodwill</w:t>
      </w:r>
      <w:r>
        <w:rPr>
          <w:rFonts w:ascii="Arial" w:cs="Arial" w:eastAsia="Arial" w:hAnsi="Arial"/>
          <w:sz w:val="18"/>
          <w:szCs w:val="18"/>
          <w:color w:val="auto"/>
        </w:rPr>
        <w:t xml:space="preserve"> for further details on the assessment and conclusion on the goodwill impairment recorded during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Lease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lease liabilities are determined by calculating the present value of all future lease payments using the rate implicit in the lease if it can be readily determined, or the lessee’s incremental borrowing rate. The Company uses it incremental borrowing rate to determine the present value of future lease payments as the rate implicit in its leases could not be readily determined.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leases provide for contingent rents that are not measurable at inception. These contingent rents are primarily based on a percentage of sales that are in excess of a predetermined level and/or rent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Restricted cash and other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which is listed as a separate line item in the consolidated balance sheets, represents balances at financial institutions to secure bonds and letters of credit as required by the Company’s various lease agreements. Other assets include cost basis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Revenue recognition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from the sale of XpresSpa products and services at the point of sale, net of discounts and applicable sales taxes. Revenues from the XpresSpa wholesale and e-commerce businesses are recorded at the time goods are shipped. Accordingly, the Company recognizes revenue for its single performance obligation related to both in-store and online sales at the point at which the service has been performed or the control of the merchandise has passed to the customer. The Company excludes all sales taxes assessed to its customers. Sales taxes assessed on revenues are included in accounts payable, accrued expenses and other current liabilities in the consolidated balance sheets until remitted to the state agencies.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includes one-time intellectual property licenses as well as the sale of certain of our intellectual property. Revenue from patent licensing is recognized when the Company transfers promised intellectual property rights to purchasers in an amount that reflects the consideration to which it expects to be entitled in exchange for those intellectual property rights. During the year ended December 31, 2018, the Company determined that its intellectual property operating segment will no longer be an area of focus and, as such, will no longer be reflected as a separate operating segment, as it was not expected to generate any material revenues or operating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Gift cards and customer rewards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On June 1, 2018, the Company adopted a formal expiration policy whereby any loyalty members with inactivity for an 18-month period will forfeit any unused loyalty rewards. The costs associated with gift cards and reward points are accrued as the rewards are earned by the cardholder and are included in accounts payable, accrued expenses and other current liabilities in the consolidated balance sheets until remitted to the state agencies.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(n) Segment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continuing operating segments are defined as components of an enterprise about which separate financial information is available that is regularly evaluated by the enterprise’s chief operating decision maker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Pre-opening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and comparable entities with publicly traded shares. The risk-free rate for the expected term of the option is based on the United States Treasury yield curve as of the date of grant.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(r) 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judgment is required in evaluating the Company's federal, state, local,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and comprehensive loss as general and administrative expenses.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Noncontrolling interests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Noncontrolling interests represent the noncontrolling holders’ percentage share of earnings or losses from the subsidiaries, in which the Company holds a majority, but less than 100%, ownership interest and the results of which are included in the Company’s consolidated statements of operations and comprehensive loss. Net earnings attributable to noncontrolling interests represents the proportionate share of the noncontrolling holders' ownership in certain subsidiaries of XpresSpa.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net loss per share is computed by dividing the net loss attributable to common shareholders for the period by the weighted-average number of shares of Common Stock outstanding during the period. Diluted net loss per share is computed by dividing the net loss attributable to the Company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Commitments and contingencies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Liabilities for loss contingencies arising from assessments, estimates or other sources are recorded when it is probable that a liability has been incurred and the amount can be reasonably estimated. Legal costs expected to be incurred in connection with a loss contingency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Reclassification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balances have been reclassified to conform to the current year presentation, including impairment/disposal of assets, presentation of discontinued operations and assets and liabilities held for disposal with respect to the Company’s Group Mobile business.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(w)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standard and its amendments provide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2019, the Company adopted ASU 2016-02 on a retrospective basis, beginning on January 1, 2019, using the optional transition method. The Company applied the transition options permitted by ASU 2018-11 and elected the package of practical expedients to alleviate certain operational and reporting complexities related to the adoption, one of which was not to recognize a right of use asset or lease liability for leases with a term of 12 months or less. See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discussion. The Company recorded right of use assets and lease liabilities for its operating leases of $10,809 upon adoption of ASU 2016-02.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standard provides guidance on the reclassification of certain tax effects from accumulated other comprehensive income to retained earnings in the period in which the effects of the change in the U.S. federal corporate income tax rate in the Tax Cuts and Jobs Act is recorded. The new standard is effective for the fiscal year beginning after December 15, 2018. The Company adopted this standard on January 1, 2019. Adoption of this standard did not have a material impact on the Company’s consolidated condensed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Based upon the outstanding balance of the Company’s trade receivables and its positive collection history, the Company’s management does not believe that the adoption of this standard will have a material impact on its consolidated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ASU No. 2018-13, Fair Value Measurement (Topic 820): Disclosure Framework—Changes to the Disclosure Requirements for Fair Value Measurement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Company’s management does not believe that the adoption of this standard will have a material impact on its consolidated financial position and results of results of operations.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Arial" w:cs="Arial" w:eastAsia="Arial" w:hAnsi="Arial"/>
                <w:sz w:val="18"/>
                <w:szCs w:val="18"/>
                <w:b w:val="1"/>
                <w:bCs w:val="1"/>
                <w:color w:val="auto"/>
              </w:rPr>
              <w:t>Note 3. Net Loss per Share of Common Stock</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loss from continuing operations attributable to common shareholders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(21,223)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(36,090)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common shareholders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8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4,903,331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1,453,635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 of Common Stock from continuing operations</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(24.83)</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 of Common Stock</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(21,223)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(36,090)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of Common Stock outstanding*</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4,903,331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1,453,635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loss per share of Common Stock from continuing operations</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(4.33)</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net loss per share of Common Stock</w:t>
            </w:r>
          </w:p>
        </w:tc>
        <w:tc>
          <w:tcPr>
            <w:tcW w:w="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8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 the following potentially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80" w:type="dxa"/>
            <w:vAlign w:val="bottom"/>
          </w:tcPr>
          <w:p>
            <w:pPr>
              <w:ind w:left="18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Both vested and unvested options outstanding to purchase an equal number of shares of Common Stock of the</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137,892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Vested and unvested RSUs to issue an equal number of shares of Common Stock of the Company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3,388,115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1,965,491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6,364,328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of debt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4,750,000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w w:val="96"/>
              </w:rPr>
              <w:t>Total number of potentially dilutive instruments, excluded from the calculation of net loss per share</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10,241,498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7,405,227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reverse stock split, every twenty (20) shares of the Company’s pre-reverse split Common Stock were combined and reclassified into one</w:t>
      </w:r>
    </w:p>
    <w:p>
      <w:pPr>
        <w:spacing w:after="0" w:line="46" w:lineRule="exact"/>
        <w:rPr>
          <w:sz w:val="20"/>
          <w:szCs w:val="20"/>
          <w:color w:val="auto"/>
        </w:rPr>
      </w:pPr>
    </w:p>
    <w:p>
      <w:pPr>
        <w:jc w:val="both"/>
        <w:ind w:firstLine="8"/>
        <w:spacing w:after="0" w:line="255" w:lineRule="auto"/>
        <w:tabs>
          <w:tab w:leader="none" w:pos="2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 of Common Stock. Stockholders who would have otherwise held a fractional share of Common Stock received payment in cash in lieu of any such resulting fractional shares of Common Stock as the post-reverse split amounts of Common Stock were rounded down to the nearest full share. No fractional shares were issued in connection with the reverse stock split.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r>
              <w:rPr>
                <w:rFonts w:ascii="Arial" w:cs="Arial" w:eastAsia="Arial" w:hAnsi="Arial"/>
                <w:sz w:val="18"/>
                <w:szCs w:val="18"/>
                <w:color w:val="auto"/>
                <w:w w:val="92"/>
              </w:rPr>
              <w:t>*All December 31, 2018 share amounts have been adjusted to reflect the impact of the 1:20 reverse stock split.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b w:val="1"/>
                <w:bCs w:val="1"/>
                <w:color w:val="auto"/>
              </w:rPr>
              <w:t>Note 4. Cash, Cash Equivalents, and Restricted Cash</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denominated in United States dollars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Cash denominated in currency other than United States dollars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1,048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r>
      <w:tr>
        <w:trPr>
          <w:trHeight w:val="23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Credit and debit card receivables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03"/>
        </w:trPr>
        <w:tc>
          <w:tcPr>
            <w:tcW w:w="8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2,184</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of December 31, 2019 and 2018, cash and cash equivalents included $246 and $260 of credit card receivables, respectively. As of December 31, 2019, and 2018, the Company held cash balances in overseas accounts, totaling $1,048 and $1,143, respectively, which is not insured by the Federal Deposit Insurance Corporation (“FDIC”). If the Company were to distribute the amounts held overseas, the Company would need to follow an approval and distribution process as defined in its operating and partnership agreements, which may delay and/or reduce the availability of that cash to the Company. In addition, as of December 31, 2019 and 2018, there was $451 and $487, respectively, of restricted cash balances at financial institutions to secure bonds and letters of credit as required by the Company’s various lease agreements, which is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on the Company’s consolidated balance sheets. The aggregate cash, cash equivalents, and restricted cash is $2,635 and $3,890 as of December 31, 2019 and 2018.</w:t>
      </w:r>
    </w:p>
    <w:p>
      <w:pPr>
        <w:sectPr>
          <w:pgSz w:w="11900" w:h="16838" w:orient="portrait"/>
          <w:cols w:equalWidth="0" w:num="1">
            <w:col w:w="11240"/>
          </w:cols>
          <w:pgMar w:left="320" w:top="904" w:right="339" w:bottom="115"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Cash denominated in United States dollars decreased $1,110 from December 31, 2018 to December 31, 2019 primarily due to cash proceeds received by the Company in 2018 from the issuance of preferred stock and from the issuance of convertible debt securities and warrants, which the Company did not receive in 2019.</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5.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the Company’s other current assets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29"/>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80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are predominantly comprised of financed and prepaid insurance policies which have terms of one year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is comprised of three categories: leasehold improvements, furniture and fixtures, and other operating equipment as of December 31, 2019 and 2018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2"/>
        </w:trPr>
        <w:tc>
          <w:tcPr>
            <w:tcW w:w="3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Average 5-8</w:t>
            </w: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16,102</w:t>
            </w: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18,932</w:t>
            </w: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c>
          <w:tcPr>
            <w:tcW w:w="5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3-4 years</w:t>
            </w:r>
          </w:p>
        </w:tc>
      </w:tr>
      <w:tr>
        <w:trPr>
          <w:trHeight w:val="202"/>
        </w:trPr>
        <w:tc>
          <w:tcPr>
            <w:tcW w:w="3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Maximum 5</w:t>
            </w:r>
          </w:p>
        </w:tc>
      </w:tr>
      <w:tr>
        <w:trPr>
          <w:trHeight w:val="25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equipment</w:t>
            </w: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2,322</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years</w:t>
            </w:r>
          </w:p>
        </w:tc>
      </w:tr>
      <w:tr>
        <w:trPr>
          <w:trHeight w:val="203"/>
        </w:trPr>
        <w:tc>
          <w:tcPr>
            <w:tcW w:w="32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18,270</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22,518</w:t>
            </w:r>
          </w:p>
        </w:tc>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r>
      <w:tr>
        <w:trPr>
          <w:trHeight w:val="23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(10,206)</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(10,723)</w:t>
            </w:r>
          </w:p>
        </w:tc>
        <w:tc>
          <w:tcPr>
            <w:tcW w:w="1160" w:type="dxa"/>
            <w:vAlign w:val="bottom"/>
            <w:shd w:val="clear" w:color="auto" w:fill="CCEEFF"/>
          </w:tcPr>
          <w:p>
            <w:pPr>
              <w:spacing w:after="0"/>
              <w:rPr>
                <w:sz w:val="20"/>
                <w:szCs w:val="20"/>
                <w:color w:val="auto"/>
              </w:rPr>
            </w:pPr>
          </w:p>
        </w:tc>
      </w:tr>
      <w:tr>
        <w:trPr>
          <w:trHeight w:val="203"/>
        </w:trPr>
        <w:tc>
          <w:tcPr>
            <w:tcW w:w="3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property and equipment, net</w:t>
            </w:r>
          </w:p>
        </w:tc>
        <w:tc>
          <w:tcPr>
            <w:tcW w:w="80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8,064</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11,795</w:t>
            </w:r>
          </w:p>
        </w:tc>
        <w:tc>
          <w:tcPr>
            <w:tcW w:w="20" w:type="dxa"/>
            <w:vAlign w:val="bottom"/>
            <w:tcBorders>
              <w:top w:val="single" w:sz="8" w:color="CCEEFF"/>
              <w:bottom w:val="single" w:sz="8" w:color="auto"/>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did an assessment of its property and equipment for impairment as of December 31, 2019 and 2018. Based upon the results of the impairment tests, the Company recorded an impairment expense of approximately $1,844 and $2,100, respectively, which is included in </w:t>
      </w:r>
      <w:r>
        <w:rPr>
          <w:rFonts w:ascii="Arial" w:cs="Arial" w:eastAsia="Arial" w:hAnsi="Arial"/>
          <w:sz w:val="17"/>
          <w:szCs w:val="17"/>
          <w:i w:val="1"/>
          <w:iCs w:val="1"/>
          <w:color w:val="auto"/>
        </w:rPr>
        <w:t xml:space="preserve">“Impairment/disposal of assets” </w:t>
      </w:r>
      <w:r>
        <w:rPr>
          <w:rFonts w:ascii="Arial" w:cs="Arial" w:eastAsia="Arial" w:hAnsi="Arial"/>
          <w:sz w:val="17"/>
          <w:szCs w:val="17"/>
          <w:color w:val="auto"/>
        </w:rPr>
        <w:t>in the consolidated statements of operations and comprehensive loss. The expense was primarily related to the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of leasehold improvements made to certain locations where management determined that the location’s discounted future cash flow was not enough to support the carrying value of the leasehold improvements over the remaining lease term. The impairment expense represents the excess of the carrying value of the leasehold improvements over the estimated future discounted cash flows. Management calculated the future cash flow of each location using a present value income approach. The sum of expected cash flow for the remainder of the lease term for each location was present valued at a discount rate of 9.0% and 11.24%, for 2019 and 2018 respectively, which represent the then borrowing rate of the Company’s note payable to B3D. The Company believes that this rate incorporates the time value of money and an appropriate risk premium.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2019, as a result of an early termination of a lease for one of its locations that was closed, the Company assessed all assets at the closed location (primarily leasehold improvements) for impairment. This resulted in a charge of approximately $620, which was included in </w:t>
      </w:r>
      <w:r>
        <w:rPr>
          <w:rFonts w:ascii="Arial" w:cs="Arial" w:eastAsia="Arial" w:hAnsi="Arial"/>
          <w:sz w:val="18"/>
          <w:szCs w:val="18"/>
          <w:i w:val="1"/>
          <w:iCs w:val="1"/>
          <w:color w:val="auto"/>
        </w:rPr>
        <w:t>“Impairment/disposal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the consolidated statements of operations and comprehensive loss that was recorded in June 30, 2019 and is reflected in the current period year</w:t>
      </w:r>
      <w:r>
        <w:rPr>
          <w:rFonts w:ascii="Arial" w:cs="Arial" w:eastAsia="Arial" w:hAnsi="Arial"/>
          <w:sz w:val="18"/>
          <w:szCs w:val="18"/>
          <w:i w:val="1"/>
          <w:iCs w:val="1"/>
          <w:color w:val="auto"/>
        </w:rPr>
        <w:t xml:space="preserve"> </w:t>
      </w:r>
      <w:r>
        <w:rPr>
          <w:rFonts w:ascii="Arial" w:cs="Arial" w:eastAsia="Arial" w:hAnsi="Arial"/>
          <w:sz w:val="18"/>
          <w:szCs w:val="18"/>
          <w:color w:val="auto"/>
        </w:rPr>
        <w:t>to date results. The Company also reduced the remaining right of use asset and the lease liability balances by approximately $421 in June 2019 related to the leases for this location.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 expensed approximately $231 of costs incurred during 2019 that had been capitalized in anticipation of opening new spas, that the Company later determined were not viable. The Company also wrote off approximately $109 related to a previous asset disposition that had originally been classified as held for sale, were reclassified to continuing operations, but were ultimately deemed not realizable as of December 31, 2019. These charges are included in the </w:t>
      </w:r>
      <w:r>
        <w:rPr>
          <w:rFonts w:ascii="Arial" w:cs="Arial" w:eastAsia="Arial" w:hAnsi="Arial"/>
          <w:sz w:val="16"/>
          <w:szCs w:val="16"/>
          <w:i w:val="1"/>
          <w:iCs w:val="1"/>
          <w:color w:val="auto"/>
        </w:rPr>
        <w:t>“Impairment/disposition of assets”</w:t>
      </w:r>
      <w:r>
        <w:rPr>
          <w:rFonts w:ascii="Arial" w:cs="Arial" w:eastAsia="Arial" w:hAnsi="Arial"/>
          <w:sz w:val="16"/>
          <w:szCs w:val="16"/>
          <w:color w:val="auto"/>
        </w:rPr>
        <w:t xml:space="preserve"> line in the consolidated statement of operations and comprehensive loss for the year ended December 31, 2019.</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2019 and 2018, the Company recorded $3,821 and $4,945, respectively, of depreciation expense from continuing operations.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7. Other Assets</w:t>
            </w: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w w:val="93"/>
              </w:rPr>
              <w:t>Other assets in the consolidated balance sheets are comprised of the following as of December 31, 2019 and 2018:</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780" w:type="dxa"/>
            <w:vAlign w:val="bottom"/>
          </w:tcPr>
          <w:p>
            <w:pPr>
              <w:spacing w:after="0"/>
              <w:rPr>
                <w:sz w:val="24"/>
                <w:szCs w:val="24"/>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December 31, 2019</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2018</w:t>
            </w:r>
          </w:p>
        </w:tc>
      </w:tr>
      <w:tr>
        <w:trPr>
          <w:trHeight w:val="216"/>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8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Lease deposits</w:t>
            </w:r>
          </w:p>
        </w:tc>
        <w:tc>
          <w:tcPr>
            <w:tcW w:w="8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6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r>
      <w:tr>
        <w:trPr>
          <w:trHeight w:val="229"/>
        </w:trPr>
        <w:tc>
          <w:tcPr>
            <w:tcW w:w="7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second quarter of 2019, the Company impaired its investment in Route1, which the Company received from the disposition of Group Mobile in March 2018; due to an under performance of operating results. The Company recorded an impairment charge of $1,141, which is included in </w:t>
      </w:r>
      <w:r>
        <w:rPr>
          <w:rFonts w:ascii="Arial" w:cs="Arial" w:eastAsia="Arial" w:hAnsi="Arial"/>
          <w:sz w:val="18"/>
          <w:szCs w:val="18"/>
          <w:i w:val="1"/>
          <w:iCs w:val="1"/>
          <w:color w:val="auto"/>
        </w:rPr>
        <w:t xml:space="preserve">“Impairment/disposal of assets” </w:t>
      </w:r>
      <w:r>
        <w:rPr>
          <w:rFonts w:ascii="Arial" w:cs="Arial" w:eastAsia="Arial" w:hAnsi="Arial"/>
          <w:sz w:val="18"/>
          <w:szCs w:val="18"/>
          <w:color w:val="auto"/>
        </w:rPr>
        <w:t>account balance on the consolidated statement of operations and comprehensive loss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of December 31, 2019, the balance in the Company’s investment in Route 1 was $484.</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2019, the Company recorded an impairment loss on its FLI Charge cost method investment, which the Company received from the disposition of FLI Charge in October 2017, of approximately $47, which is included in “</w:t>
      </w:r>
      <w:r>
        <w:rPr>
          <w:rFonts w:ascii="Arial" w:cs="Arial" w:eastAsia="Arial" w:hAnsi="Arial"/>
          <w:sz w:val="18"/>
          <w:szCs w:val="18"/>
          <w:i w:val="1"/>
          <w:iCs w:val="1"/>
          <w:color w:val="auto"/>
        </w:rPr>
        <w:t>Impairment/disposal of assets”</w:t>
      </w:r>
      <w:r>
        <w:rPr>
          <w:rFonts w:ascii="Arial" w:cs="Arial" w:eastAsia="Arial" w:hAnsi="Arial"/>
          <w:sz w:val="18"/>
          <w:szCs w:val="18"/>
          <w:color w:val="auto"/>
        </w:rPr>
        <w:t xml:space="preserve"> on the Company’s consolidated statements of operations and comprehensive loss for the year ended December 31, 2019.</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 assessed its investment in InfoMedia Services Limited (“InfoMedia”) for impairment at December 31, 2019 as InfoMedia was to have obtained financing to fund continuing operations and a new product during 2019 but was unable to obtain the financing. The Company believes this represents a triggering event and determined it should write off its investment in InfoMedia and recorded an impairment expense of $787, which is included in </w:t>
      </w:r>
      <w:r>
        <w:rPr>
          <w:rFonts w:ascii="Arial" w:cs="Arial" w:eastAsia="Arial" w:hAnsi="Arial"/>
          <w:sz w:val="16"/>
          <w:szCs w:val="16"/>
          <w:i w:val="1"/>
          <w:iCs w:val="1"/>
          <w:color w:val="auto"/>
        </w:rPr>
        <w:t>“Impairment/disposal of assets”</w:t>
      </w:r>
      <w:r>
        <w:rPr>
          <w:rFonts w:ascii="Arial" w:cs="Arial" w:eastAsia="Arial" w:hAnsi="Arial"/>
          <w:sz w:val="16"/>
          <w:szCs w:val="16"/>
          <w:color w:val="auto"/>
        </w:rPr>
        <w:t xml:space="preserve"> on the Company's statement of operations and comprehensive loss for the year ended December 31, 2019.</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an investment in Marathon Patent Group, Inc. (“Marathon”), which the Company acquired in January 2018, with an acquisition date fair value of $450. The Company determined based on its evaluation of its investment that certain unrealized losses represented an other-than-temporary impairment as of December 31, 2018 and the Company recognized an impairment charge of $148 for the year ended December 31, 2018, equal to the excess of carrying value over fair value. During the year ended December 31, 2018, the Company sold 205,646 shares of Marathon Common Stock, with a carrying value of $279, for net proceeds of $200. The Company sold its remaining investment in Marathon of $23 in December of 2019 for net proceeds of $14.</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Also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as of December 31, 2019 were $755 deposits made pursuant to various lease agreements, which will be returned to the Company at the end of the leases.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not identified any other events or changes in circumstances that occurred during 2019 that had a significant adverse effect on the carrying value of its remaining cost method investments. See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discussion pertaining to the impact of COVID-19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right="241"/>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6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61"/>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0"/>
                <w:szCs w:val="20"/>
                <w:color w:val="auto"/>
              </w:rPr>
            </w:pPr>
          </w:p>
        </w:tc>
        <w:tc>
          <w:tcPr>
            <w:tcW w:w="134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96"/>
              </w:rPr>
              <w:t>Impairment</w:t>
            </w: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800" w:type="dxa"/>
            <w:vAlign w:val="bottom"/>
            <w:gridSpan w:val="4"/>
          </w:tcPr>
          <w:p>
            <w:pPr>
              <w:jc w:val="center"/>
              <w:ind w:right="21"/>
              <w:spacing w:after="0"/>
              <w:rPr>
                <w:sz w:val="20"/>
                <w:szCs w:val="20"/>
                <w:color w:val="auto"/>
              </w:rPr>
            </w:pPr>
            <w:r>
              <w:rPr>
                <w:rFonts w:ascii="Arial" w:cs="Arial" w:eastAsia="Arial" w:hAnsi="Arial"/>
                <w:sz w:val="18"/>
                <w:szCs w:val="18"/>
                <w:b w:val="1"/>
                <w:bCs w:val="1"/>
                <w:color w:val="auto"/>
                <w:w w:val="93"/>
              </w:rPr>
              <w:t>and Impairment</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0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26,897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(26,897)</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26,897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201"/>
              <w:spacing w:after="0"/>
              <w:rPr>
                <w:sz w:val="20"/>
                <w:szCs w:val="20"/>
                <w:color w:val="auto"/>
              </w:rPr>
            </w:pPr>
            <w:r>
              <w:rPr>
                <w:rFonts w:ascii="Arial" w:cs="Arial" w:eastAsia="Arial" w:hAnsi="Arial"/>
                <w:sz w:val="18"/>
                <w:szCs w:val="18"/>
                <w:color w:val="auto"/>
              </w:rPr>
              <w:t>(26,797)</w:t>
            </w: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trade name relates to the value of the XpresSpa trade name, customer relationships represent the value of loyalty customers, software relates to certain capitalized third-party costs related to a new point-of-sale system, and patents consist of intellectual property portfolios acquired from third parties.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wrote off the net book value of certain patents that were no longer generating cash flow totaling approximately $85, which is included in “</w:t>
      </w:r>
      <w:r>
        <w:rPr>
          <w:rFonts w:ascii="Arial" w:cs="Arial" w:eastAsia="Arial" w:hAnsi="Arial"/>
          <w:sz w:val="16"/>
          <w:szCs w:val="16"/>
          <w:i w:val="1"/>
          <w:iCs w:val="1"/>
          <w:color w:val="auto"/>
        </w:rPr>
        <w:t>Impairment/disposal of assets</w:t>
      </w:r>
      <w:r>
        <w:rPr>
          <w:rFonts w:ascii="Arial" w:cs="Arial" w:eastAsia="Arial" w:hAnsi="Arial"/>
          <w:sz w:val="16"/>
          <w:szCs w:val="16"/>
          <w:color w:val="auto"/>
        </w:rPr>
        <w:t>” on the Company’s consolidated statement of operations and comprehensive loss for the year ended December 31, 2019.</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intangible assets are amortized over their expected useful lives, which is six years for tradenames and five years for software. During the years ended December 31, 2019 and 2018, the Company recorded amortization expense of $2,303 and $2,453, respectively, related to its intangible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Company’s intangible assets at December 31, 2019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904" w:right="339" w:bottom="0" w:gutter="0" w:footer="0" w:header="0"/>
        </w:sectPr>
      </w:pPr>
    </w:p>
    <w:bookmarkStart w:id="80" w:name="page81"/>
    <w:bookmarkEnd w:id="80"/>
    <w:p>
      <w:pPr>
        <w:jc w:val="center"/>
        <w:ind w:right="59"/>
        <w:spacing w:after="0"/>
        <w:rPr>
          <w:sz w:val="20"/>
          <w:szCs w:val="20"/>
          <w:color w:val="auto"/>
        </w:rPr>
      </w:pPr>
      <w:r>
        <w:rPr>
          <w:rFonts w:ascii="Arial" w:cs="Arial" w:eastAsia="Arial" w:hAnsi="Arial"/>
          <w:sz w:val="19"/>
          <w:szCs w:val="19"/>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5, 2018, the Company changed its name to XpresSpa Group as part of a rebranding effort to carry out its corporate strategy to build a pure-play health and wellness services company, which the Company commenced following its acquisition of XpresSpa on December 23, 2016. The Company completed the sale of Group Mobile on March 22, 2018, which was the only remaining component of the Company’s technology operating segment. Following the sale of Group Mobile, the Company’s management made the decision that its intellectual property operating segment would no longer be an area of focus and would no longer be a separate operating segment as it was not expected to generate any material revenues. This completed the transition of the Company into a pure-play health and wellness company with only one operating segment, consisting of its XpresSpa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19, 2018, the Company entered into a separation agreement with its Chief Executive Officer regarding his resignation as Chief Executive Officer and as a Director the Company. On that same date, the Company’s Senior Vice President and Chief Executive Officer of XpresSpa was appointed by the Board of Directors as the Chief Executive Officer and as a Director of the Company.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events were identified by the Company’s management as triggering events requiring that goodwill be tested for impairment as of March 31, 2018. In addition to the Company’s rebranding efforts to a pure-play health and wellness services company, its stock price continued to decline even after the announcement of the new Chief Executive Officer. As the stock price had not rebounded, the Company determined that an other than temporary impairment was incurred during the three-month period ended March 31, 2018.</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performed a quantitative goodwill impairment test, in which the Company compared the carrying value of the reporting unit to its estimated fair value, which was calculated using an income approach. The key assumptions for this approach were projected future cash flows and a discount rate, which was based on a weighted average cost of capital adjusted for the relevant risk associated with the characteristics of the business and the projected future cash flows. As a result of the quantitative goodwill impairment test performed, the Company determined that the fair value of the reporting unit did not exceed its carrying amount and, therefore, goodwill of the reporting unit was considered impaired.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estimated fair value of goodwill, the Company recorded an impairment charge of $19,630, to reduce the carrying value of goodwill to its fair value, which was determined to be zero. This impairment charge is included in goodwill impairment in the consolidated statements of operations and comprehensive loss for the year ended December 31, 2018.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measurement of goodwill was classified within Level 3 of the fair value hierarchy because the income approach was used, which utilizes inputs that are unobservable in the market. The Company believes it made reasonable estimates and assumptions to calculate the fair value of the reporting unit as of the impairment test measurement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leases its retail space at various domestic and international airports. Additionally, the Company leases its corporate office in New York City. Certain leases entered into by the Company are accounted for in accordance with ASC 842. The Company determines if an arrangement is a lease at inception and if it qualifies under ASC 842. Some of the Company’s lease arrangements contain fixed payments throughout the term of the lease. Others involve a variable component to determine the lease obligation where a certain percentage of sales is used to calculate the lease payments. The Company enters into certain leases that expire and are then extended on a month-to-month basis. These leases are not included in the calculation of the total lease liability and the right of use asset after they convert to month-to-month.</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reviews all of its existing lease agreements on a quarterly basis to determine whether there were any modifications to lease agreements and to assess if any agreements should be accounted for pursuant to the guidance in ASC 842. The Company has continued to use 11.24% as its incremental borrowing rate for majority of its leases as there have been no modifications to them since the adoption of ASC 842. The Company did exercise its option to extend the term of two existing lease contracts during the year. Since the existing lease liability did not originally consider the extension of the lease term for these two leases, the Company reassessed the incremental borrowing rate used to calculate the lease liability. The Company renegotiated terms of its senior secured notes during 2019. The borrowing rate was reduced from 11.24% to 9.0%. Therefore, the Company has determined that it should use 9.0% as its incremental borrowing rate for the two lease extensions and recalculated the right of use asset and lease liability based on the revised borrowing rate and the modified lease terms. There were no other lease modifications during the year ended December 31, 2019. The Company entered into two new lease arrangements during 2019 that are included in the balances of its right of use asset and lease liability as of December 31, 2019. The Company used 9.0% as its incremental borrowing rate in calculating the present value of future lease payments.</w:t>
      </w: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The following is a summary of the activity in the Company’s current and long-term operating lease liabilities for the year ended December 31,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January 1, 2019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76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leases entered into</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Extension of term of existing lease obligations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Termination of existing qualifying leases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(447)</w:t>
            </w:r>
          </w:p>
        </w:tc>
      </w:tr>
      <w:tr>
        <w:trPr>
          <w:trHeight w:val="23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lease obligation</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w:t>
            </w:r>
          </w:p>
        </w:tc>
      </w:tr>
      <w:tr>
        <w:trPr>
          <w:trHeight w:val="217"/>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lease liabilities, December 31, 2019</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Borders>
              <w:top w:val="single" w:sz="8" w:color="CCEEFF"/>
            </w:tcBorders>
          </w:tcPr>
          <w:p>
            <w:pPr>
              <w:spacing w:after="0"/>
              <w:rPr>
                <w:sz w:val="18"/>
                <w:szCs w:val="18"/>
                <w:color w:val="auto"/>
              </w:rPr>
            </w:pPr>
          </w:p>
        </w:tc>
      </w:tr>
      <w:tr>
        <w:trPr>
          <w:trHeight w:val="20"/>
        </w:trPr>
        <w:tc>
          <w:tcPr>
            <w:tcW w:w="58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780" w:type="dxa"/>
            <w:vAlign w:val="bottom"/>
            <w:gridSpan w:val="7"/>
          </w:tcPr>
          <w:p>
            <w:pPr>
              <w:spacing w:after="0"/>
              <w:rPr>
                <w:sz w:val="20"/>
                <w:szCs w:val="20"/>
                <w:color w:val="auto"/>
              </w:rPr>
            </w:pPr>
            <w:r>
              <w:rPr>
                <w:rFonts w:ascii="Arial" w:cs="Arial" w:eastAsia="Arial" w:hAnsi="Arial"/>
                <w:sz w:val="18"/>
                <w:szCs w:val="18"/>
                <w:color w:val="auto"/>
              </w:rPr>
              <w:t>As of December 31, 2019, future minimum operating leases commitments are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620" w:type="dxa"/>
            <w:vAlign w:val="bottom"/>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4"/>
          </w:tcPr>
          <w:p>
            <w:pPr>
              <w:jc w:val="right"/>
              <w:ind w:right="293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2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2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4.8 years</w:t>
            </w: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w w:val="91"/>
              </w:rPr>
              <w:t>Weighted average discount rate used to determine present value of operating</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lease liability:</w:t>
            </w:r>
          </w:p>
        </w:tc>
        <w:tc>
          <w:tcPr>
            <w:tcW w:w="40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11.0%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lease obligations during the year ended December 31, 2019: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3,867</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Variable lease payments calculated monthly as a percentage of a product and services revenue were $3,025 and $2,769 for the years ended December 31,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Rent expense from continuing operations for operating leases for years ended December 31, 2019 and 2018 were $8,175 and $8,405, respectively.</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did an assessment of its right of use lease assets for impairment as of December 31, 2019. Based upon the results of the impairment test, the Company recorded an impairment expense of approximately $1,217, which is included in </w:t>
      </w:r>
      <w:r>
        <w:rPr>
          <w:rFonts w:ascii="Arial" w:cs="Arial" w:eastAsia="Arial" w:hAnsi="Arial"/>
          <w:sz w:val="16"/>
          <w:szCs w:val="16"/>
          <w:i w:val="1"/>
          <w:iCs w:val="1"/>
          <w:color w:val="auto"/>
        </w:rPr>
        <w:t>Impairment/disposal of assets</w:t>
      </w:r>
      <w:r>
        <w:rPr>
          <w:rFonts w:ascii="Arial" w:cs="Arial" w:eastAsia="Arial" w:hAnsi="Arial"/>
          <w:sz w:val="16"/>
          <w:szCs w:val="16"/>
          <w:color w:val="auto"/>
        </w:rPr>
        <w:t xml:space="preserve"> on the consolidated statement of operations and comprehensive loss for the year ended December 31, 2019. The expense was primarily related to the impairment of right of use lease assets where management determined that the location’s discounted future cash flow was not enough to support the carrying value of the assets over the remaining lease term. The impairment expense represents the excess of the carrying value of the right of use lease assets over the estimated future discounted cash flows. Management calculated the future cash flow of each location using a present value income approach. The sum of expected cash flow for the remainder of the lease term for each location was present valued at a discount rate of 9.0%, which represents the current borrowing rate of the Company’s note payable to B3D. The Company believes that this rate incorporates the time value of money and an appropriate risk premium.</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fair value measurement of long-lived assets is classified within Level 3 of the fair value hierarchy because the income approach was used, which utilizes inputs that are unobservable in the market. The Company believes it made reasonable estimates and assumptions to calculate the fair value of its long-lived assets as of the impairment test measurement date.</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10. Long-term Notes and Convertible Notes</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Total debt as of December 31, 2019 and 2018 is comprised of the following:</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800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2018</w:t>
            </w: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B3D Note, net of unamortized debt discount of $2,420 at December 31, 2019</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5% Secured Convertible Notes</w:t>
            </w:r>
          </w:p>
        </w:tc>
        <w:tc>
          <w:tcPr>
            <w:tcW w:w="5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1,986</w:t>
            </w:r>
          </w:p>
        </w:tc>
        <w:tc>
          <w:tcPr>
            <w:tcW w:w="80" w:type="dxa"/>
            <w:vAlign w:val="bottom"/>
          </w:tcPr>
          <w:p>
            <w:pPr>
              <w:spacing w:after="0"/>
              <w:rPr>
                <w:sz w:val="18"/>
                <w:szCs w:val="18"/>
                <w:color w:val="auto"/>
              </w:rPr>
            </w:pPr>
          </w:p>
        </w:tc>
      </w:tr>
      <w:tr>
        <w:trPr>
          <w:trHeight w:val="23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Calm Note, net of unamortized debt discount of $1,318</w:t>
            </w:r>
          </w:p>
        </w:tc>
        <w:tc>
          <w:tcPr>
            <w:tcW w:w="5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w:t>
            </w:r>
          </w:p>
        </w:tc>
        <w:tc>
          <w:tcPr>
            <w:tcW w:w="5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debt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B3D Note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8, 2019, the Company entered into the fourth amendment to its existing credit agreement (the “Amendment to the Credit Agreement”) with B3D, to renegotiate the terms of its 11.24 %, $6,500 senior secured note. The Amendment to the Credit Agreement, among other provisions, (i) extended the maturity date to May 31, 2021, (ii) reduced the applicable interest rate to 9.0%, and (iii) amended and restated certain other provisions. As consideration for these and other modifications, the principal amount owed to B3D was increased to $7,000.</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engaged an independent third party to assess the fair value of each of the derivative instruments included in the B3D Note. The results of the appraisal were that the conversion feature and the B3D Note should be bifurcated, and that the conversion option should be treated as a separate derivative liability. An initial fair value of $2,774 was assigned to the conversion option, which is included in “</w:t>
      </w:r>
      <w:r>
        <w:rPr>
          <w:rFonts w:ascii="Arial" w:cs="Arial" w:eastAsia="Arial" w:hAnsi="Arial"/>
          <w:sz w:val="17"/>
          <w:szCs w:val="17"/>
          <w:i w:val="1"/>
          <w:iCs w:val="1"/>
          <w:color w:val="auto"/>
        </w:rPr>
        <w:t>Derivative Liabilities”</w:t>
      </w:r>
      <w:r>
        <w:rPr>
          <w:rFonts w:ascii="Arial" w:cs="Arial" w:eastAsia="Arial" w:hAnsi="Arial"/>
          <w:sz w:val="17"/>
          <w:szCs w:val="17"/>
          <w:color w:val="auto"/>
        </w:rPr>
        <w:t xml:space="preserve"> on the consolidated balance sheet and the B3D Note was assigned a fair value of $4,226 as of July 8, 2019. The conversion option is marked to market at the end of each reporting period. The Company recorded a revaluation gain of approximately $1,012 that is included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for the year ended December 31, 2019 for the change in the fair value of the conversion option. During the year ended December 31, 2019, the Company recorded $724 of debt discount accretion expense that increased the carrying value of the B3D Note.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modification to the terms included in the Credit Agreement Amendment were accounted for as a troubled debt restructuring in the Company’s consolidated financial statements, in accordance with ASC 470-60 </w:t>
      </w:r>
      <w:r>
        <w:rPr>
          <w:rFonts w:ascii="Arial" w:cs="Arial" w:eastAsia="Arial" w:hAnsi="Arial"/>
          <w:sz w:val="18"/>
          <w:szCs w:val="18"/>
          <w:i w:val="1"/>
          <w:iCs w:val="1"/>
          <w:color w:val="auto"/>
        </w:rPr>
        <w:t>“Troubled Debt Restructurings by Debtors”.</w:t>
      </w:r>
      <w:r>
        <w:rPr>
          <w:rFonts w:ascii="Arial" w:cs="Arial" w:eastAsia="Arial" w:hAnsi="Arial"/>
          <w:sz w:val="18"/>
          <w:szCs w:val="18"/>
          <w:color w:val="auto"/>
        </w:rPr>
        <w:t xml:space="preserve"> A debtor in a troubled debt restructuring involving only a modification of terms of a payable should account for the effects of the restructuring prospectively from the time of restructuring and not change the carrying amount of the payable at the time of the restructuring. The Company will pay interest monthly at the revised 9.0% rate over the life of the B3D Note. Since the future cash payments for principal and interest under the restructured B3D Note will be greater than the carrying value of the original note, no gain was recorded.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extension of the maturity date to May 31, 2021, the balance of the B3D Note was reclassified from current liabilities as of December 31, 2018 to long-term liabilities on the Company’s consolidated balance sheet as of December 31, 2019.</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agreed on a $500 increase in the principal amount of the B3D Note, which will be amortized on a straight-line basis over the revised term of the B3D Note. The net balance of the deferred issuance costs was $370 as of December 31, 2019 and is presented as a reduction of the B3D Note balance in the Company’s consolidated balance sheet as of December 31, 2019. Amortization expense from July 8, 2019 through December 31, 2019 was $130 and is included in “Interest expense” in the consolidated statement of operations and comprehensive loss.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B3D Note is guaranteed on a full, unconditional, joint, and several basis, by the parent Company, XpresSpa Group, Inc., and all wholly owned subsidiaries of Holdings (the “Guarantor Subsidiaries”). Under the terms of a security and guarantee agreement dated July 8, 2019, XpresSpa Group, Inc. (the parent company) and the Guarantor Subsidiaries each fully and unconditionally, jointly and severally, guarantee the payment of interest and principal on the B3D Note. Holdings pledged and granted to B3D a first priority security interest in, among other things, all of its equity interests in Holdings and all of its rights to receive distributions, cash or other property in connection with Holdings. The Company has not presented separate consolidating financial statements of XpresSpa Group, Inc., Holdings and Holdings’ wholly-owned subsidiaries, as each entity has guaranteed the B3D Note, so each entity is responsible for the payment.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Secured Convertible Notes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15, 2018, in a private placement offering, the Company issued (i) 5% Secured Convertible Notes (the “5% Secured Convertible Notes”) convertible into Common Stock at $12.40 per share, originally due November 2019, (ii) May 2018 Class A Warrants to purchase 357,863 shares of Common Stock and (iii) May 2018 Class B Warrants to purchase 178,932 shares of Common Stock. The May 2018 Class A Warrants and May 2018 Class B Warrants were originally convertible into Common Stock at $12.40 per share. The Company received aggregate proceeds of $4,438 from the May 2018 private placement. Debt issuance costs that had been capitalized related to the 5% Secured Convertible Notes, were being amortized on a straight-line basis over their remaining term of the 5% Secured Convertible Notes. The Company did not record amortization expense of the debt issuance costs related to the 5% Secured Convertible Notes after June 30, 2019 as the notes were converted into Common Stock on June 27, 2019. The balance of debt issuance costs of $135 was written off in June 2019 and was included in “Interest expense” in the consolidated financial statements for the year ended December 31, 2019.</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2019, the Company failed to make minimum monthly payments as required pursuant to the 5% Secured Convertible Notes, which failure constituted an event of default. Pursuant to the terms of the 5% Secured Convertible Notes, upon an event of default, an investor may elect to accelerate payment of the outstanding principal amount of such investor’s 5% Secured Convertible Notes, liquidated damages and other amounts owing in respect thereof through the date of acceleration, which amounts become immediately due and payable in cash. No investor provided notice to the Company electing to exercise its right to accelerate payment.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27, 2019, the Company entered into the Third Amendment Agreement to the 5% Secured Convertible Notes (the “Third Amendment”) whereby the holders of the 5% Convertible Notes agreed to convert their notes then held into Common Stock. The Third Amendment reduced the conversion price of the 5% Convertible Notes to Common Stock from $12.40 per share to $2.48 per share. As a result of the reduction in the conversion price, the Company recorded debt conversion expense of $1,584 to account for the additional consideration paid over what was agreed to in the original 5% Secured Convertible Notes agreement. The expense is reflected in “Other non-operating income (expense), net” in the consolidated statement of operations and comprehensive loss. The 5% Secured Convertible Notes holders converted their remaining outstanding principal balances plus accrued interest into 586,389 shares of Common Stock and 356,772 Class A Warrants (the “June 2019 Class A Warrants”). The June 2019 Class A Warrants had an exercise price of $0.01 and are otherwise identical in form and substance to the Company's existing May 2018 Class A Warrants.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had a valuation expert perform an appraisal of the June 2019 Class A Warrants as of June 30, 2019. The June 2019 Class A Warrants were assigned an original appraised value of $689. The value of these warrants was recorded as a derivative liability on the consolidated balance sheet and will be marked to market at the end of each reporting period. The expense of $689 is included in </w:t>
      </w:r>
      <w:r>
        <w:rPr>
          <w:rFonts w:ascii="Arial" w:cs="Arial" w:eastAsia="Arial" w:hAnsi="Arial"/>
          <w:sz w:val="18"/>
          <w:szCs w:val="18"/>
          <w:i w:val="1"/>
          <w:iCs w:val="1"/>
          <w:color w:val="auto"/>
        </w:rPr>
        <w:t>“Other non-operating income (expense), net”</w:t>
      </w:r>
      <w:r>
        <w:rPr>
          <w:rFonts w:ascii="Arial" w:cs="Arial" w:eastAsia="Arial" w:hAnsi="Arial"/>
          <w:sz w:val="18"/>
          <w:szCs w:val="18"/>
          <w:color w:val="auto"/>
        </w:rPr>
        <w:t xml:space="preserve"> in the consolidated condensed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June 2019 Class A Warrants were converted into 354,502 shares of Common Stock in July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Calm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entered into a securities purchase agreement with Calm.com, Inc. (“Calm”) pursuant to which the Company agreed to sell (i) an aggregate principal amount of $2,500 in an unsecured convertible note (the “Calm Note”), which is convertible into shares of Series E Convertible Preferred Stock at a conversion price of $3.10 per share (the “Series E Preferred Stock”) and (ii) warrants to purchase 937,500 shares of the Company’s Common Stock. The Calm Note will mature on May 31, 2022, and bears interest at a rate of 5% per annum, subject to increase in the event of default, and is payable in arrears and may be paid in cash, shares of Series E Preferred Stock or a combination thereof. The Company made interest payments of $19 in cash and $31 in the form of Series E Preferred Stock in 2019.</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17, 2020, we entered into an amended and restated the Calm Note in order to provide, among other items, that Calm shall not have the right to convert the shares of Series E Preferred Stock issued in connection with the Calm Note into shares of Common Stock to the extent that such conversion would cause Calm to beneficially own in excess of the Beneficial Ownership Limitation, initially defined as 4.99% of the number of shares of the Common Stock outstanding immediately after giving effect to the issuance of shares of Common Stock issuable upon conversion of the Series E Preferred Stock.</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engaged a valuation expert to assess the fair value of each of the derivative instruments included in the Calm Note. The results of the appraisal were that the conversion feature and the Calm Warrants should be bifurcated, and both treated as derivative liabilities. A fair value of $351 was assigned to the conversion option, a fair value of $1,018 was assigned to the Calm Warrants and the Calm Note was assigned a fair value of $1,131, net of issuance cost, as of July 8, 2019. The conversion option and the Calm Warrants are marked to market at the end of each reporting period. The assessment of the fair value of the conversion option and Calm Warrants resulted in a gain of $771 as of December 31, 2019, which is reflected as a revaluation gain in that is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consolidated statements of operations and comprehensive loss for the year ended December 31, 2019.</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capitalized direct issuance costs of approximately $222 related to the issuance of the Calm Note and recorded amortization of debt issuance costs of $235 from the date the debt was issued on July 8, 2019 through December 31, 2019. The net balance of the deferred issuance costs is $184 as of December 31, 2019 and is presented as a reduction of the Calm Note balance on the Company’s consolidated balance sheet. Amortization expense is included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in the Company’s consolidated statement of operations and comprehensive loss for the year ended December 31, 2019. During the year ended December 31, 2019, the Company recorded $235 of debt discount accretion expense that increased the carrying value of the Calm Note.</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079"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11. Preferred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Elimination of Series B 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8, 2019, the Company filed a Certificate of Elimination of Shares of Series B Preferred Stock (the “Certificate of Elimination”) to the Company’s amended and restated certificate of incorporation. The Certificate of Elimination reduced, pursuant to Section 151(g) of the Delaware General Corporation Law, the number of authorized shares of Series B Convertible Preferred Stock of the Company, par value $0.01 per share (the “Series B Preferred Stock”) from 1,609,167 shares to zero shares. Pursuant to the provisions of Section 151(g) of the Delaware General Corporation Law, the 1,609,167 authorized shares of Series B Preferred Stock were eliminated pursuant to the reduction return to the available undesignated preferred stock of the Company and may be re-designated into another series of preferred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Convertible Preferred Stock Amendment and December 2016 Warrant Amendment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8, 2019, the Company filed the Series D COD Amendment with the State of Delaware to reduce the conversion price of Series D Convertible Preferred Stock to Common Stock to $2.00 and to then provide for automatic conversion of the Series D Convertible Preferred Stock into shares of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on July 8, 2019, the Company entered into an amendment to the December 2016 Warrants to provide for (i) a reduction in the exercise price into Common Stock to $2.00, (ii) certain anti-dilution price protection and (iii) a voluntary reduction at a future date of the exercise price by the Company in its discretion.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a reporting entity changes the terms of its preferred stock, it must assess whether the changes should be accounted for as either a modification or extinguishment. The Company engaged a valuation expert to perform an appraisal to determine the fair value of the Series D Preferred Stock before and after the changes were made. The results of the fair value assessment indicated that the fair values before and after the change in the provisions and characteristics of the Series D Preferred Shares were not substantially different (in practice, substantially different has been interpreted to be greater than 10%). Therefore, the Company did not record an adjustment to the Series D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8, 2019, the Company filed the Series E COD Amendment with the State of Delaware to (i) increase the number of authorized shares of Series E Preferred Stock to 2,397,060 and (ii) reduce the conversion price to $2.00. The Series E COD Amendment was approved by the Board of Directors of the Company and the Company obtained shareholder approval of the Series E COD Amendment on October 2, 2019.</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a reporting entity changes the terms of its outstanding preferred stock, it must assess whether the changes should be accounted for as either a modification or an extinguishment. The Company engaged an independent third party to perform an appraisal to determine the fair value of the Series E Preferred Stock before and after the changes were made. The results of the fair value assessment indicated that the fair values before and after the change in the provisions and characteristics of the Series E Preferred Stock were not substantially different (in practice, substantially different has been interpreted to be greater than 10%). Therefore, the Company did not record an adjustment to the Series 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F Convertible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May 2018 SPA Amendment, the Company issued 8,996 shares of Series F Convertible Preferred Stock to the parties to the May 2018 SPA Amendment. The Company engaged a valuation expert to perform an appraisal to determine the fair value of the Series F Preferred Stock. The Series F Preferred Stock has a par value of $0.01 per share and a stated value of $100 per share. The Series F Preferred Stock was appraised at a fair value of $1,154, $1,131 net of issuance costs, which was recorded as a charge to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Company’s consolidated financial statements as of the date of issuance of the Series F Convertible Preferred Stock.</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Calm Warrants entitle Calm to purchase an aggregate of 937,500 shares of Common Stock at an original exercise price of $2.00 per share, exercisable beginning six months from the date of issuance, and have a term of five years. In March 2020, the conversion price was reduced to $0.175 per share, due to the effect of certain anti-dilution adjustments,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2019, the Company’s 5% Secured Convertible Notes holders converted their remaining outstanding principal balances plus accrued interest into 586,389 shares of Common Stock and 356,772 June 2019 Class A Warrants. The June 2019 Class A Warrants had an exercise price of $0.01 and are otherwise identical in form and substance to the Company's existing May 2018 Class A Warrants.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June 2019 Class A Warrants were converted into 354,502 shares of Common Stock in July 2019. The Class B Warrants were cancelled in July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all warrant activity during the year ended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Exercise</w:t>
            </w:r>
          </w:p>
        </w:tc>
      </w:tr>
      <w:tr>
        <w:trPr>
          <w:trHeight w:val="241"/>
        </w:trPr>
        <w:tc>
          <w:tcPr>
            <w:tcW w:w="51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No. of warrants*</w:t>
            </w:r>
          </w:p>
        </w:tc>
        <w:tc>
          <w:tcPr>
            <w:tcW w:w="16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price range*</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703,669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12.40 - 100.00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4,628,195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.01 - 2.00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(1,748,869)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Expired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(194,880)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.01 - 12.40</w:t>
            </w:r>
          </w:p>
        </w:tc>
      </w:tr>
      <w:tr>
        <w:trPr>
          <w:trHeight w:val="229"/>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3,388,115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2.00 - 100.00</w:t>
            </w:r>
          </w:p>
        </w:tc>
      </w:tr>
      <w:tr>
        <w:trPr>
          <w:trHeight w:val="20"/>
        </w:trPr>
        <w:tc>
          <w:tcPr>
            <w:tcW w:w="5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equity warrants as of December 31, 2019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80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No. 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Exercise price*</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contractual life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2015 Warrants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1.29 years</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15, 2021</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December 2016 Warrants</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124,990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1.98 years</w:t>
            </w: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December 23, 2021</w:t>
            </w: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derivative warrants as of December 31, 2019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800" w:type="dxa"/>
            <w:vAlign w:val="bottom"/>
          </w:tcPr>
          <w:p>
            <w:pPr>
              <w:spacing w:after="0"/>
              <w:rPr>
                <w:sz w:val="18"/>
                <w:szCs w:val="18"/>
                <w:color w:val="auto"/>
              </w:rPr>
            </w:pPr>
          </w:p>
        </w:tc>
      </w:tr>
      <w:tr>
        <w:trPr>
          <w:trHeight w:val="241"/>
        </w:trPr>
        <w:tc>
          <w:tcPr>
            <w:tcW w:w="4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No. outstanding*</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Exercise price*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1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5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26,875</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 years</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4, 2020</w:t>
            </w:r>
          </w:p>
        </w:tc>
      </w:tr>
      <w:tr>
        <w:trPr>
          <w:trHeight w:val="257"/>
        </w:trPr>
        <w:tc>
          <w:tcPr>
            <w:tcW w:w="4280" w:type="dxa"/>
            <w:vAlign w:val="bottom"/>
          </w:tcPr>
          <w:p>
            <w:pPr>
              <w:spacing w:after="0"/>
              <w:rPr>
                <w:sz w:val="20"/>
                <w:szCs w:val="20"/>
                <w:color w:val="auto"/>
              </w:rPr>
            </w:pPr>
            <w:r>
              <w:rPr>
                <w:rFonts w:ascii="Arial" w:cs="Arial" w:eastAsia="Arial" w:hAnsi="Arial"/>
                <w:sz w:val="18"/>
                <w:szCs w:val="18"/>
                <w:color w:val="auto"/>
              </w:rPr>
              <w:t>Class A Warrants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2,296,250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3.38 years</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17, 2023</w:t>
            </w:r>
          </w:p>
        </w:tc>
      </w:tr>
      <w:tr>
        <w:trPr>
          <w:trHeight w:val="26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Calm Warrants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4.52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2024</w:t>
            </w:r>
          </w:p>
        </w:tc>
      </w:tr>
      <w:tr>
        <w:trPr>
          <w:trHeight w:val="217"/>
        </w:trPr>
        <w:tc>
          <w:tcPr>
            <w:tcW w:w="4280" w:type="dxa"/>
            <w:vAlign w:val="bottom"/>
            <w:tcBorders>
              <w:top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3,260,625</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outstanding on or before December 31, 2018 were adjusted to reflect the impact of the 1:20 reverse stock split that became effective on February 22, 2019.</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12. 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assumptions that a market participant would use in pricing an asset or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us to use present value and other valuation techniques in the determination of fair value (Level 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the Company’s derivative liabilities measured at fair value on a recurring basis as of December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6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Quoted prices in</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As of December 31, 2019:</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Significant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identical</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observable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inputs (Level 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Warrants</w:t>
            </w:r>
          </w:p>
        </w:tc>
        <w:tc>
          <w:tcPr>
            <w:tcW w:w="16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Calm Warrants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Calm Conversion Option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180"/>
              <w:spacing w:after="0"/>
              <w:rPr>
                <w:sz w:val="20"/>
                <w:szCs w:val="20"/>
                <w:color w:val="auto"/>
              </w:rPr>
            </w:pPr>
            <w:r>
              <w:rPr>
                <w:rFonts w:ascii="Arial" w:cs="Arial" w:eastAsia="Arial" w:hAnsi="Arial"/>
                <w:sz w:val="18"/>
                <w:szCs w:val="18"/>
                <w:color w:val="auto"/>
              </w:rPr>
              <w:t>B3D Conversion Option</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2018:</w:t>
            </w: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Class A Warrants</w:t>
            </w:r>
          </w:p>
        </w:tc>
        <w:tc>
          <w:tcPr>
            <w:tcW w:w="16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Warrants</w:t>
            </w:r>
          </w:p>
        </w:tc>
        <w:tc>
          <w:tcPr>
            <w:tcW w:w="1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476</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ind w:left="1160"/>
              <w:spacing w:after="0" w:line="203"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1160"/>
              <w:spacing w:after="0" w:line="203"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476</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its derivative liabilities at fair value. The derivative liabilities were classified within Level 3 because they were valued using the Monte Carlo model, which utilizes significant inputs that are unobservable in the market. These derivative liabilities were initially measured at fair value and are marked to market at each balance sheet date. The derivative warrant and conversion option liabilities are recorded as </w:t>
      </w:r>
      <w:r>
        <w:rPr>
          <w:rFonts w:ascii="Arial" w:cs="Arial" w:eastAsia="Arial" w:hAnsi="Arial"/>
          <w:sz w:val="18"/>
          <w:szCs w:val="18"/>
          <w:i w:val="1"/>
          <w:iCs w:val="1"/>
          <w:color w:val="auto"/>
        </w:rPr>
        <w:t>“Derivative liabilities”</w:t>
      </w:r>
      <w:r>
        <w:rPr>
          <w:rFonts w:ascii="Arial" w:cs="Arial" w:eastAsia="Arial" w:hAnsi="Arial"/>
          <w:sz w:val="18"/>
          <w:szCs w:val="18"/>
          <w:color w:val="auto"/>
        </w:rPr>
        <w:t xml:space="preserve"> on the consolidated balance sheets and the revaluation of the derivative liabilities is included in </w:t>
      </w:r>
      <w:r>
        <w:rPr>
          <w:rFonts w:ascii="Arial" w:cs="Arial" w:eastAsia="Arial" w:hAnsi="Arial"/>
          <w:sz w:val="18"/>
          <w:szCs w:val="18"/>
          <w:i w:val="1"/>
          <w:iCs w:val="1"/>
          <w:color w:val="auto"/>
        </w:rPr>
        <w:t>“Other non-operating income (expense)”</w:t>
      </w:r>
      <w:r>
        <w:rPr>
          <w:rFonts w:ascii="Arial" w:cs="Arial" w:eastAsia="Arial" w:hAnsi="Arial"/>
          <w:sz w:val="18"/>
          <w:szCs w:val="18"/>
          <w:color w:val="auto"/>
        </w:rPr>
        <w:t xml:space="preserve"> in the consolidated statements of operations and comprehensive loss.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above, the Company’s financial instruments as of December 31, 2019 and 2018 consisted of cash and cash equivalents, receivables, accounts payable and debt. The carrying amounts of all the aforementioned financial instruments approximate fair value because of the short-term maturities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the Company’s derivative liabilities measured at fair value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4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Fair value of derivative liabilities derived from issuance of Calm and B3D Notes</w:t>
            </w: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4,142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2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Mark to market of warrants and conversion options</w:t>
            </w:r>
          </w:p>
        </w:tc>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(2,170)</w:t>
            </w:r>
          </w:p>
        </w:tc>
      </w:tr>
      <w:tr>
        <w:trPr>
          <w:trHeight w:val="216"/>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measurement of the derivative liabilities falls within Level 3 of the fair value hierarchy. The fair value measurements are evaluated by management to ensure that changes are consistent with expectations of management based upon the sensitivity and nature of the inputs. The valuation of the derivative liabilities is performed by a valuation expert at the end of each reporting period. The price of the Company’s Common Stock as of December 31, 2019 used in the valuation calculations was $0.67. The conversion option of the Calm and B3D warrants to Common Stock used in the valuation was $2.00 per share.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Monte Carlo Method</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65.20%</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16"/>
        </w:trPr>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Calm Warrants</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Monte Carlo Method</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66.90%</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r>
      <w:tr>
        <w:trPr>
          <w:trHeight w:val="216"/>
        </w:trPr>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Calm Conversion option</w:t>
            </w: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Monte Carlo Method</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66.90%</w:t>
            </w: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216"/>
        </w:trPr>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r>
      <w:tr>
        <w:trPr>
          <w:trHeight w:val="230"/>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Valuation technique</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Range</w:t>
            </w:r>
          </w:p>
        </w:tc>
        <w:tc>
          <w:tcPr>
            <w:tcW w:w="240" w:type="dxa"/>
            <w:vAlign w:val="bottom"/>
            <w:tcBorders>
              <w:bottom w:val="single" w:sz="8" w:color="CCEEFF"/>
            </w:tcBorders>
            <w:gridSpan w:val="2"/>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B3D Conversion option</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 Carlo Method</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580" w:type="dxa"/>
            <w:vAlign w:val="bottom"/>
            <w:gridSpan w:val="4"/>
            <w:shd w:val="clear" w:color="auto" w:fill="CCEEFF"/>
          </w:tcPr>
          <w:p>
            <w:pPr>
              <w:ind w:left="2020"/>
              <w:spacing w:after="0"/>
              <w:rPr>
                <w:sz w:val="20"/>
                <w:szCs w:val="20"/>
                <w:color w:val="auto"/>
              </w:rPr>
            </w:pPr>
            <w:r>
              <w:rPr>
                <w:rFonts w:ascii="Arial" w:cs="Arial" w:eastAsia="Arial" w:hAnsi="Arial"/>
                <w:sz w:val="18"/>
                <w:szCs w:val="18"/>
                <w:color w:val="auto"/>
                <w:w w:val="88"/>
              </w:rPr>
              <w:t>65.70%</w:t>
            </w:r>
          </w:p>
        </w:tc>
      </w:t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tcPr>
          <w:p>
            <w:pPr>
              <w:ind w:left="40"/>
              <w:spacing w:after="0"/>
              <w:rPr>
                <w:sz w:val="20"/>
                <w:szCs w:val="20"/>
                <w:color w:val="auto"/>
              </w:rPr>
            </w:pPr>
            <w:r>
              <w:rPr>
                <w:rFonts w:ascii="Arial" w:cs="Arial" w:eastAsia="Arial" w:hAnsi="Arial"/>
                <w:sz w:val="18"/>
                <w:szCs w:val="18"/>
                <w:color w:val="auto"/>
              </w:rPr>
              <w:t>Risk-free interest rate</w:t>
            </w:r>
          </w:p>
        </w:tc>
        <w:tc>
          <w:tcPr>
            <w:tcW w:w="2580" w:type="dxa"/>
            <w:vAlign w:val="bottom"/>
            <w:gridSpan w:val="4"/>
          </w:tcPr>
          <w:p>
            <w:pPr>
              <w:ind w:left="2020"/>
              <w:spacing w:after="0"/>
              <w:rPr>
                <w:sz w:val="20"/>
                <w:szCs w:val="20"/>
                <w:color w:val="auto"/>
              </w:rPr>
            </w:pPr>
            <w:r>
              <w:rPr>
                <w:rFonts w:ascii="Arial" w:cs="Arial" w:eastAsia="Arial" w:hAnsi="Arial"/>
                <w:sz w:val="18"/>
                <w:szCs w:val="18"/>
                <w:color w:val="auto"/>
              </w:rPr>
              <w:t>1.62%</w:t>
            </w:r>
          </w:p>
        </w:tc>
      </w:tr>
      <w:tr>
        <w:trPr>
          <w:trHeight w:val="216"/>
        </w:trPr>
        <w:tc>
          <w:tcPr>
            <w:tcW w:w="3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420" w:type="dxa"/>
            <w:vAlign w:val="bottom"/>
            <w:gridSpan w:val="3"/>
            <w:shd w:val="clear" w:color="auto" w:fill="CCEEFF"/>
          </w:tcPr>
          <w:p>
            <w:pPr>
              <w:ind w:left="202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40"/>
              <w:spacing w:after="0"/>
              <w:rPr>
                <w:sz w:val="20"/>
                <w:szCs w:val="20"/>
                <w:color w:val="auto"/>
              </w:rPr>
            </w:pPr>
            <w:r>
              <w:rPr>
                <w:rFonts w:ascii="Arial" w:cs="Arial" w:eastAsia="Arial" w:hAnsi="Arial"/>
                <w:sz w:val="18"/>
                <w:szCs w:val="18"/>
                <w:color w:val="auto"/>
              </w:rPr>
              <w:t>Dividend yield</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0.00%</w:t>
            </w:r>
          </w:p>
        </w:tc>
      </w:tr>
      <w:tr>
        <w:trPr>
          <w:trHeight w:val="418"/>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2018:</w:t>
            </w:r>
          </w:p>
        </w:tc>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Valuation technique</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Unobservable inputs</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70.61%</w:t>
            </w:r>
          </w:p>
        </w:tc>
      </w:t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Risk-free interest rate</w:t>
            </w:r>
          </w:p>
        </w:tc>
        <w:tc>
          <w:tcPr>
            <w:tcW w:w="2580" w:type="dxa"/>
            <w:vAlign w:val="bottom"/>
            <w:gridSpan w:val="4"/>
          </w:tcPr>
          <w:p>
            <w:pPr>
              <w:jc w:val="right"/>
              <w:ind w:right="20"/>
              <w:spacing w:after="0"/>
              <w:rPr>
                <w:sz w:val="20"/>
                <w:szCs w:val="20"/>
                <w:color w:val="auto"/>
              </w:rPr>
            </w:pPr>
            <w:r>
              <w:rPr>
                <w:rFonts w:ascii="Arial" w:cs="Arial" w:eastAsia="Arial" w:hAnsi="Arial"/>
                <w:sz w:val="18"/>
                <w:szCs w:val="18"/>
                <w:color w:val="auto"/>
              </w:rPr>
              <w:t>2.53%</w:t>
            </w:r>
          </w:p>
        </w:tc>
      </w:tr>
      <w:tr>
        <w:trPr>
          <w:trHeight w:val="216"/>
        </w:trPr>
        <w:tc>
          <w:tcPr>
            <w:tcW w:w="3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Dividend yield</w:t>
            </w:r>
          </w:p>
        </w:tc>
        <w:tc>
          <w:tcPr>
            <w:tcW w:w="2580" w:type="dxa"/>
            <w:vAlign w:val="bottom"/>
            <w:gridSpan w:val="4"/>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39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Class B Warrants</w:t>
            </w:r>
          </w:p>
        </w:tc>
        <w:tc>
          <w:tcPr>
            <w:tcW w:w="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Black-Scholes-Merton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Volatility</w:t>
            </w:r>
          </w:p>
        </w:tc>
        <w:tc>
          <w:tcPr>
            <w:tcW w:w="2580" w:type="dxa"/>
            <w:vAlign w:val="bottom"/>
            <w:gridSpan w:val="4"/>
          </w:tcPr>
          <w:p>
            <w:pPr>
              <w:jc w:val="right"/>
              <w:ind w:right="20"/>
              <w:spacing w:after="0"/>
              <w:rPr>
                <w:sz w:val="20"/>
                <w:szCs w:val="20"/>
                <w:color w:val="auto"/>
              </w:rPr>
            </w:pPr>
            <w:r>
              <w:rPr>
                <w:rFonts w:ascii="Arial" w:cs="Arial" w:eastAsia="Arial" w:hAnsi="Arial"/>
                <w:sz w:val="18"/>
                <w:szCs w:val="18"/>
                <w:color w:val="auto"/>
              </w:rPr>
              <w:t>84.02%</w:t>
            </w:r>
          </w:p>
        </w:tc>
      </w:tr>
      <w:tr>
        <w:trPr>
          <w:trHeight w:val="216"/>
        </w:trPr>
        <w:tc>
          <w:tcPr>
            <w:tcW w:w="3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r>
      <w:tr>
        <w:trPr>
          <w:trHeight w:val="216"/>
        </w:trPr>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Expected term, in years</w:t>
            </w:r>
          </w:p>
        </w:tc>
        <w:tc>
          <w:tcPr>
            <w:tcW w:w="2580" w:type="dxa"/>
            <w:vAlign w:val="bottom"/>
            <w:gridSpan w:val="4"/>
          </w:tcPr>
          <w:p>
            <w:pPr>
              <w:jc w:val="right"/>
              <w:ind w:right="160"/>
              <w:spacing w:after="0"/>
              <w:rPr>
                <w:sz w:val="20"/>
                <w:szCs w:val="20"/>
                <w:color w:val="auto"/>
              </w:rPr>
            </w:pPr>
            <w:r>
              <w:rPr>
                <w:rFonts w:ascii="Arial" w:cs="Arial" w:eastAsia="Arial" w:hAnsi="Arial"/>
                <w:sz w:val="18"/>
                <w:szCs w:val="18"/>
                <w:color w:val="auto"/>
              </w:rPr>
              <w:t>0,12</w:t>
            </w:r>
          </w:p>
        </w:tc>
      </w:tr>
      <w:tr>
        <w:trPr>
          <w:trHeight w:val="216"/>
        </w:trPr>
        <w:tc>
          <w:tcPr>
            <w:tcW w:w="3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inputs to estimate the fair value of the Company’s derivative warrant and conversion liabilities were the current market price of the Company’s Common Stock, the exercise price of the derivative warrant liabilities, their remaining expected term, anti-dilution provisions, the volatility of the Company’s Common Stock price and the risk-free interest rate over the expected term. Significant changes in any of those inputs in isolation can result in a significant change in the fair value measurement.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 estimated fair value of the Company’s derivative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Marathon Common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11, 2018 (the “Transaction Date”), the Company entered into a Patent Rights Purchase and Assignment Agreement (the “Agreement”) with Crypto Currency Patent Holding Company LLC (the “Buyer”) and its parent company, Marathon, pursuant to which the Buyer agreed to purchase certain of the Company’s patents. As consideration for the patents, the Buyer paid $250 and Marathon issued 250,000 shares of Marathon Common Stock (the “Marathon Common Stock”) to the Company. The Marathon Common Stock was subject to a lockup period (the “Lockup Period”) which commenced on the Transaction Date and ended on July 11, 2018, subject to a leak-out provision.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Marathon Common Stock is recognized as a cost method investment and, as such, was required to be measured at cost on the date of acquisition, which, as of the Transaction Date, approximated fair value. The following table presents the placement in the fair value hierarchy of the Marathon Common Stock measured at fair value on a nonrecurring basis as of the Transaction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9"/>
          </w:tcPr>
          <w:p>
            <w:pPr>
              <w:ind w:left="100"/>
              <w:spacing w:after="0"/>
              <w:rPr>
                <w:sz w:val="20"/>
                <w:szCs w:val="20"/>
                <w:color w:val="auto"/>
              </w:rPr>
            </w:pPr>
            <w:r>
              <w:rPr>
                <w:rFonts w:ascii="Arial" w:cs="Arial" w:eastAsia="Arial" w:hAnsi="Arial"/>
                <w:sz w:val="18"/>
                <w:szCs w:val="18"/>
                <w:b w:val="1"/>
                <w:bCs w:val="1"/>
                <w:color w:val="auto"/>
                <w:w w:val="97"/>
              </w:rPr>
              <w:t>Fair value measurement at reporting date using</w:t>
            </w:r>
          </w:p>
        </w:tc>
      </w:tr>
      <w:tr>
        <w:trPr>
          <w:trHeight w:val="198"/>
        </w:trPr>
        <w:tc>
          <w:tcPr>
            <w:tcW w:w="3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top w:val="single" w:sz="8" w:color="auto"/>
            </w:tcBorders>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Quoted prices in</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active markets</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7"/>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identical</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unobservable</w:t>
            </w:r>
          </w:p>
        </w:tc>
      </w:tr>
      <w:tr>
        <w:trPr>
          <w:trHeight w:val="241"/>
        </w:trPr>
        <w:tc>
          <w:tcPr>
            <w:tcW w:w="3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assets (Level 1)</w:t>
            </w:r>
          </w:p>
        </w:tc>
        <w:tc>
          <w:tcPr>
            <w:tcW w:w="14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inputs (Level 3)</w:t>
            </w:r>
          </w:p>
        </w:tc>
      </w:tr>
      <w:tr>
        <w:trPr>
          <w:trHeight w:val="216"/>
        </w:trPr>
        <w:tc>
          <w:tcPr>
            <w:tcW w:w="3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3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3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Marathon Common Stock was estimated by multiplying the number of shares as they become tradeable by the price per share as of the Transaction Date, information that falls within Level 1 of the fair value hierarchy, quoted prices in active markets for identical assets; however, due to the fact that the Marathon Common Stock was restricted during the Lockup Period, the Company applied a discount on the lack of marketability to estimate the fair value at the measurement date, which is a significant other observable input resulting in placement in Level 2 of the fair value hierarchy. The fair value of the consideration as of the Transaction Date was determined to be $450. Based on the Company’s evaluation of the investment, it was determined that certain unrealized losses represented an other-than-temporary impairment as of December 31, 2018 and the Company recognized an impairment charge of $148 for the year ended December 31, 2018, equal to the excess of carrying value over fair value.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11, 2018, the Lockup Period concluded, and the Company was permitted to begin trading the Marathon Common Stock, subject to a leak-out provision whereby the shares were released from lockup in equal increments over a 20-day period. As of December 31, 2018, the remaining 44,354 shares of Marathon Common Stock were no longer restricted pursuant to the Lockup Period and leak-out provision, and the Company determined that the investments are classified within Level 1 of the fair value hierarchy.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the Company sold 205,646 shares of Marathon Common Stock, with a carrying value of $279, for net proceeds of $200.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changes in the Company’s investment in Marathon Common Stock, measured at fair value using significant other observable inputs (Level 2) as of Transaction Date and measured at fair value using quoted prices in active markets for identical assets (Level 1) during the year ended December 31,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50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Carrying value of Marathon Common Stock sold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(279)</w:t>
            </w:r>
          </w:p>
        </w:tc>
      </w:tr>
      <w:tr>
        <w:trPr>
          <w:trHeight w:val="23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Marathon Common Stock</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December 31, 2018</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9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50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Carrying value of Marathon Common Stock sold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9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sold the remaining shares of the Marathon Common Stock during the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the contingent consideration assumed by the Company following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Excalibur Integrated Systems, Inc. (“Excalibur”), which is measured at fair value on a recurring basis as of December 31, 2019 and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8"/>
        </w:trPr>
        <w:tc>
          <w:tcPr>
            <w:tcW w:w="3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 in</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active markets</w:t>
            </w: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identical</w:t>
            </w:r>
          </w:p>
        </w:tc>
        <w:tc>
          <w:tcPr>
            <w:tcW w:w="1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unobservable</w:t>
            </w:r>
          </w:p>
        </w:tc>
      </w:tr>
      <w:tr>
        <w:trPr>
          <w:trHeight w:val="241"/>
        </w:trPr>
        <w:tc>
          <w:tcPr>
            <w:tcW w:w="3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assets (Level 1)</w:t>
            </w: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inputs (Level 2)</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inputs (Level 3)</w:t>
            </w: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8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r>
      <w:tr>
        <w:trPr>
          <w:trHeight w:val="21"/>
        </w:trPr>
        <w:tc>
          <w:tcPr>
            <w:tcW w:w="3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purchase value of the contingent consideration assumed by the Company following the acquisition of Excalibur was determined using the Monte-Carlo simulation and, as such, was classified as Level 3 of the fair value hierarchy. The fair value measurements are evaluated by management to ensure that</w:t>
      </w:r>
    </w:p>
    <w:p>
      <w:pPr>
        <w:sectPr>
          <w:pgSz w:w="11900" w:h="16838" w:orient="portrait"/>
          <w:cols w:equalWidth="0" w:num="1">
            <w:col w:w="11240"/>
          </w:cols>
          <w:pgMar w:left="320" w:top="908" w:right="339" w:bottom="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changes are consistent with expectations of management based upon the sensitivity and nature of the inputs. The contingent consideration expires in 2020.</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Company has a stock-based compensation plan available to grant stock options and RSUs to the Company’s directors, employees and consultants. Under the 2012 Employee, Director and Consultant Equity Incentive Plan, as amended (the “Plan”), a maximum of 2,520,000 shares of Common Stock may be awarded. As of December 31, 2019, 2,286,156 shares were available for future grants under the Plan.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granted under the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2019, the Company granted a total of 32,500 stock options to members of its Board of Directors and 75,000 stock options to the Company’s newly elected Chief Executive Officer at an exercise price of $4.20 per share. The options vest over a period of one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granted 37,500 restricted shares of Common Stock to its newly elected Chief Executive Officer. The restricted shares vest in full on February 10,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The following variables were used as inputs in the model:</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5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the Company’s Common Stock on the grant 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Exercise price: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4.20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Annual average risk-free rate:</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Expected term:</w:t>
            </w:r>
          </w:p>
        </w:tc>
        <w:tc>
          <w:tcPr>
            <w:tcW w:w="13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w w:val="87"/>
              </w:rPr>
              <w:t>5.25-6.25 years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for the years ended December 31, 2019 and 2018 was $335 and $916,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stock options and RSU activity during the year ended December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RSUs</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85"/>
              </w:rPr>
              <w:t>Stock options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No. of</w:t>
            </w: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grant date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No. of</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fair value*</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price*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range*</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101,979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22.00-820.00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107,500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Forfeited/Expired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(71,587)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112.13</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22.00-820.00</w:t>
            </w:r>
          </w:p>
        </w:tc>
        <w:tc>
          <w:tcPr>
            <w:tcW w:w="0" w:type="dxa"/>
            <w:vAlign w:val="bottom"/>
          </w:tcPr>
          <w:p>
            <w:pPr>
              <w:spacing w:after="0"/>
              <w:rPr>
                <w:sz w:val="1"/>
                <w:szCs w:val="1"/>
                <w:color w:val="auto"/>
              </w:rPr>
            </w:pPr>
          </w:p>
        </w:tc>
      </w:tr>
      <w:tr>
        <w:trPr>
          <w:trHeight w:val="23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62,892</w:t>
            </w:r>
          </w:p>
        </w:tc>
        <w:tc>
          <w:tcPr>
            <w:tcW w:w="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404.00</w:t>
            </w: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4.20-820.00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Expected to vest as of December 31, 2019</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75,000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term for options outstanding as of December 31, 2019 was between 5.25 and 6.25 years.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there was no aggregate intrinsic value associated with the options outstanding as the exercise price of the options was greater than the Company’s Common Stock price. There was no unrecognized stock-based payment cost related to non-vested stock options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*Balances as of December 31, 2018 were adjusted to reflect the impact of the 1:20 reverse stock split that became effective on February 22, 2019.</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continuing operating segments are defined as components of an enterprise about which separate financial information is available that is regularly evaluated by the enterprise’s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operates in two geographical regions: United States and all other countries, which primarily include Amsterdam, and Dubai. The following table represents the geographical revenue, and total long-lived asset information as of and for the years ended December 31, 2019 and 2018. There were no concentrations of geographical revenue and long-lived assets related to any single foreign country that were material to the Company’s consolidated financial statements. Long-lived assets include property and equipment, restricted cash, cost method investments, security deposits and right of use lease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For the years ended</w:t>
            </w:r>
          </w:p>
        </w:tc>
      </w:tr>
      <w:tr>
        <w:trPr>
          <w:trHeight w:val="241"/>
        </w:trPr>
        <w:tc>
          <w:tcPr>
            <w:tcW w:w="8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8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43,455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44,738</w:t>
            </w:r>
          </w:p>
        </w:tc>
      </w:tr>
      <w:tr>
        <w:trPr>
          <w:trHeight w:val="216"/>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countries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r>
      <w:tr>
        <w:trPr>
          <w:trHeight w:val="27"/>
        </w:trPr>
        <w:tc>
          <w:tcPr>
            <w:tcW w:w="8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904" w:right="3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48,515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50,094</w:t>
            </w:r>
          </w:p>
        </w:tc>
      </w:tr>
      <w:tr>
        <w:trPr>
          <w:trHeight w:val="67"/>
        </w:trPr>
        <w:tc>
          <w:tcPr>
            <w:tcW w:w="88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196"/>
        </w:trPr>
        <w:tc>
          <w:tcPr>
            <w:tcW w:w="8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15,122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14,331</w:t>
            </w:r>
          </w:p>
        </w:tc>
      </w:tr>
      <w:tr>
        <w:trPr>
          <w:trHeight w:val="223"/>
        </w:trPr>
        <w:tc>
          <w:tcPr>
            <w:tcW w:w="8860" w:type="dxa"/>
            <w:vAlign w:val="bottom"/>
          </w:tcPr>
          <w:p>
            <w:pPr>
              <w:ind w:left="180"/>
              <w:spacing w:after="0"/>
              <w:rPr>
                <w:sz w:val="20"/>
                <w:szCs w:val="20"/>
                <w:color w:val="auto"/>
              </w:rPr>
            </w:pPr>
            <w:r>
              <w:rPr>
                <w:rFonts w:ascii="Arial" w:cs="Arial" w:eastAsia="Arial" w:hAnsi="Arial"/>
                <w:sz w:val="18"/>
                <w:szCs w:val="18"/>
                <w:color w:val="auto"/>
              </w:rPr>
              <w:t>All other countries</w:t>
            </w:r>
          </w:p>
        </w:tc>
        <w:tc>
          <w:tcPr>
            <w:tcW w:w="3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2,886</w:t>
            </w:r>
          </w:p>
        </w:tc>
        <w:tc>
          <w:tcPr>
            <w:tcW w:w="3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30"/>
        </w:trPr>
        <w:tc>
          <w:tcPr>
            <w:tcW w:w="8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long-lived assets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Long-lived assets includes property and equipment, right of use lease assets, security deposits, cost method investments and restricted cash.</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15. Related Parties Transactions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14, 2018, the Company entered into a consulting agreement with an employee of Mistral Equity Partners, which was a significant shareholder of the Company and whose Chief Executive Officer was a member of the Board of Directors of the Company, to consult on certain business-related matters. The total consideration is approximately $10 per month through December 31, 2018. The consulting agreement was extended through June 30, 2019. Pursuant to the agreement, the Company recorded consulting expense of $34 and $85 for the years ended December 31, 2019 and 2018, respectively.</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2018, the Company entered into a collaboration agreement with Calm to the display, market, promote, and offer for sale Calm’s products in each of the Company’s branded stores worldwide. In connection with the collaboration agreement, the Company began selling Calm subscriptions and certain Calm-branded retail products in its spas, beginning in November 2018. Also, Calm holds 937,500 warrants to purchase shares of Company’s Common stock and holds a $2,500 unsecured note convertible into the Company’s Series E Convertible Preferred Stock. During the years ended December 31, 2019 and 2018, the Company recorded revenue of $40 and $11, respectively from the sale of Calm’s branded products in its spas which is included in products revenue in the consolidated statements of operations and comprehensive loss for the years ended December 31, 2019 and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and 2018, the Company’s accounts payable, accrued expenses and other current liabilities were comprised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Litigation accrual</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Accrued insurance</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4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8"/>
                <w:szCs w:val="18"/>
                <w:color w:val="auto"/>
              </w:rPr>
            </w:pPr>
          </w:p>
        </w:tc>
      </w:tr>
      <w:tr>
        <w:trPr>
          <w:trHeight w:val="23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1,806</w:t>
            </w:r>
          </w:p>
        </w:tc>
        <w:tc>
          <w:tcPr>
            <w:tcW w:w="4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20"/>
                <w:szCs w:val="20"/>
                <w:color w:val="auto"/>
              </w:rPr>
            </w:pPr>
          </w:p>
        </w:tc>
      </w:tr>
      <w:tr>
        <w:trPr>
          <w:trHeight w:val="216"/>
        </w:trPr>
        <w:tc>
          <w:tcPr>
            <w:tcW w:w="6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accounts payable, accrued expenses and other current liabilities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XpresSpa carries several annual insurance policies including indemnity, fire, umbrella, and workers’ compensation and financed a total of $910 of the total insurance premiums with a third-party provider, at an average interest rate of approximately 5% per year payable in 10 monthly installments.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Royalty Agreement and Termination of Warrant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 and is included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in the consolidated financial statements as of December 31, 2019.</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2017, the Company concluded that the requirement to report the results of Group Mobile, a wholly-owned subsidiary included in its technology operating segment, as discontinued operations was triggered.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7, 2018 (the “Signing Date”), the Company entered into a membership purchase agreement (the “Purchase Agreement”) with Route1 Security Corporation, a Delaware corporation (the “Buyer”), and Route1 Inc., an Ontario corporation (“Route1”), pursuant to which the Buyer agreed to acquire Group Mobile (the “Disposition”). The transaction closed on March 22, 2018 (the “Closing Date”), after which the Company no longer had any involvement with Group Mobile.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for the Disposition, as subsequently adjusted to reflect the 1:10 reverse stock split completed by Route 1 effective as of August 12, 2019, the Buyer issued to the Company:</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2,500,000 shares of common stock of Route1 (“Route1 common stock”);</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3,000,000 shares of Route1 common stock, which will feature an exercise price of CAD 50 cents per share of common stock and will be exercisable for a three-year period;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Purchase Agreement.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retained certain inventory with a value of $555 to be disposed of separately from the transaction with Route1 during the first half of 2018. Of this amount, $110 was sold and the remaining inventory excluded from the transaction was subsequently determined to be obsolete and unsalable and was fully written off in June 2018.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Post-closing, the Company owned approximately 6.7% of Route1 common stock.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consideration of the Disposition is recognized as a cost method investment and, as such, was measured at cost on the date of acquisition, which, as of the Closing Date, approximated fair value. The fair value of the total consideration as of the Closing Date was determined to be $1,625, which is less than the carrying value of the asset. This resulted in a loss on disposal of $301, which was included in consolidated net loss from discontinued operations in the consolidated statement of operations and comprehensive loss for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the Route 1 common stock was determined to be $308, which was estimated by multiplying the number of shares as they become tradeable by the price per share as of the Closing 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the warrants was determined to be $176, which was obtained using the Black-Scholes-Merton model.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the earn-out provision was determined to be $1,141, which was estimated using a Monte-Carlo simulation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sale of Group Mobile was completed on March 22, 2018, after which the Company had no further involvement with Group Mobile.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second quarter of 2019, the Company impaired the earn out portion of its investment in Route1, due to an under performance of operating results. The Company recorded an impairment charge of $1,141, which is included in </w:t>
      </w:r>
      <w:r>
        <w:rPr>
          <w:rFonts w:ascii="Arial" w:cs="Arial" w:eastAsia="Arial" w:hAnsi="Arial"/>
          <w:sz w:val="18"/>
          <w:szCs w:val="18"/>
          <w:i w:val="1"/>
          <w:iCs w:val="1"/>
          <w:color w:val="auto"/>
        </w:rPr>
        <w:t>“Other non-operating income (expense), net”</w:t>
      </w:r>
      <w:r>
        <w:rPr>
          <w:rFonts w:ascii="Arial" w:cs="Arial" w:eastAsia="Arial" w:hAnsi="Arial"/>
          <w:sz w:val="18"/>
          <w:szCs w:val="18"/>
          <w:color w:val="auto"/>
        </w:rPr>
        <w:t xml:space="preserve"> on the consolidated statement of operations and comprehensive loss for the year ended December 31, 2019. As of December 31, 2019, the balance in the Company’s investment in Route 1 was $484.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of Discontinued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the components of operating results from discontinued operations, as presented in the consolidated statements of operations and comprehensive loss for the years ended December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20" w:type="dxa"/>
            <w:vAlign w:val="bottom"/>
            <w:gridSpan w:val="8"/>
          </w:tcPr>
          <w:p>
            <w:pPr>
              <w:jc w:val="right"/>
              <w:ind w:right="260"/>
              <w:spacing w:after="0"/>
              <w:rPr>
                <w:sz w:val="20"/>
                <w:szCs w:val="20"/>
                <w:color w:val="auto"/>
              </w:rPr>
            </w:pPr>
            <w:r>
              <w:rPr>
                <w:rFonts w:ascii="Arial" w:cs="Arial" w:eastAsia="Arial" w:hAnsi="Arial"/>
                <w:sz w:val="18"/>
                <w:szCs w:val="18"/>
                <w:b w:val="1"/>
                <w:bCs w:val="1"/>
                <w:color w:val="auto"/>
                <w:w w:val="93"/>
              </w:rPr>
              <w:t>For the years ended December 31,</w:t>
            </w:r>
          </w:p>
        </w:tc>
      </w:tr>
      <w:tr>
        <w:trPr>
          <w:trHeight w:val="223"/>
        </w:trPr>
        <w:tc>
          <w:tcPr>
            <w:tcW w:w="61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sales</w:t>
            </w: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(2,305)</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Impairment</w:t>
            </w: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Loss on disposal</w:t>
            </w: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(301)</w:t>
            </w:r>
          </w:p>
        </w:tc>
      </w:tr>
      <w:tr>
        <w:trPr>
          <w:trHeight w:val="23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2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03"/>
        </w:trPr>
        <w:tc>
          <w:tcPr>
            <w:tcW w:w="61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from discontinued operations before income taxes</w:t>
            </w:r>
          </w:p>
        </w:tc>
        <w:tc>
          <w:tcPr>
            <w:tcW w:w="2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(1,115)</w:t>
            </w:r>
          </w:p>
        </w:tc>
        <w:tc>
          <w:tcPr>
            <w:tcW w:w="100" w:type="dxa"/>
            <w:vAlign w:val="bottom"/>
            <w:tcBorders>
              <w:top w:val="single" w:sz="8" w:color="CCEEFF"/>
            </w:tcBorders>
            <w:gridSpan w:val="2"/>
          </w:tcPr>
          <w:p>
            <w:pPr>
              <w:spacing w:after="0"/>
              <w:rPr>
                <w:sz w:val="17"/>
                <w:szCs w:val="17"/>
                <w:color w:val="auto"/>
              </w:rPr>
            </w:pPr>
          </w:p>
        </w:tc>
      </w:tr>
      <w:tr>
        <w:trPr>
          <w:trHeight w:val="23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 from discontinued operations</w:t>
            </w:r>
          </w:p>
        </w:tc>
        <w:tc>
          <w:tcPr>
            <w:tcW w:w="2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8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2019 and 2018, the loss from continuing operations before income taxes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20"/>
                <w:szCs w:val="20"/>
                <w:color w:val="auto"/>
              </w:rPr>
            </w:pP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(21,567)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80" w:type="dxa"/>
            <w:vAlign w:val="bottom"/>
            <w:shd w:val="clear" w:color="auto" w:fill="CCEEFF"/>
          </w:tcPr>
          <w:p>
            <w:pPr>
              <w:spacing w:after="0"/>
              <w:rPr>
                <w:sz w:val="18"/>
                <w:szCs w:val="18"/>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19"/>
                <w:szCs w:val="19"/>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891</w:t>
            </w:r>
          </w:p>
        </w:tc>
        <w:tc>
          <w:tcPr>
            <w:tcW w:w="420" w:type="dxa"/>
            <w:vAlign w:val="bottom"/>
          </w:tcPr>
          <w:p>
            <w:pPr>
              <w:spacing w:after="0"/>
              <w:rPr>
                <w:sz w:val="19"/>
                <w:szCs w:val="19"/>
                <w:color w:val="auto"/>
              </w:rPr>
            </w:pPr>
          </w:p>
        </w:tc>
        <w:tc>
          <w:tcPr>
            <w:tcW w:w="1540" w:type="dxa"/>
            <w:vAlign w:val="bottom"/>
            <w:gridSpan w:val="2"/>
          </w:tcPr>
          <w:p>
            <w:pPr>
              <w:jc w:val="right"/>
              <w:ind w:right="1"/>
              <w:spacing w:after="0"/>
              <w:rPr>
                <w:sz w:val="20"/>
                <w:szCs w:val="20"/>
                <w:color w:val="auto"/>
              </w:rPr>
            </w:pPr>
            <w:r>
              <w:rPr>
                <w:rFonts w:ascii="Arial" w:cs="Arial" w:eastAsia="Arial" w:hAnsi="Arial"/>
                <w:sz w:val="18"/>
                <w:szCs w:val="18"/>
                <w:color w:val="auto"/>
              </w:rPr>
              <w:t>597</w:t>
            </w:r>
          </w:p>
        </w:tc>
      </w:tr>
      <w:tr>
        <w:trPr>
          <w:trHeight w:val="223"/>
        </w:trPr>
        <w:tc>
          <w:tcPr>
            <w:tcW w:w="48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attributable to continuing operations for the years ended December 31, 2019 and 2018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8"/>
                <w:szCs w:val="18"/>
                <w:b w:val="1"/>
                <w:bCs w:val="1"/>
                <w:color w:val="auto"/>
              </w:rPr>
              <w:t>For the years ended December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9"/>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1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Current:</w:t>
            </w: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(167)</w:t>
            </w:r>
          </w:p>
        </w:tc>
        <w:tc>
          <w:tcPr>
            <w:tcW w:w="1360" w:type="dxa"/>
            <w:vAlign w:val="bottom"/>
            <w:gridSpan w:val="2"/>
            <w:shd w:val="clear" w:color="auto" w:fill="CCEEFF"/>
          </w:tcPr>
          <w:p>
            <w:pPr>
              <w:jc w:val="right"/>
              <w:ind w:right="1229"/>
              <w:spacing w:after="0"/>
              <w:rPr>
                <w:sz w:val="20"/>
                <w:szCs w:val="20"/>
                <w:color w:val="auto"/>
              </w:rPr>
            </w:pPr>
            <w:r>
              <w:rPr>
                <w:rFonts w:ascii="Arial" w:cs="Arial" w:eastAsia="Arial" w:hAnsi="Arial"/>
                <w:sz w:val="15"/>
                <w:szCs w:val="15"/>
                <w:color w:val="auto"/>
                <w:w w:val="71"/>
              </w:rPr>
              <w:t>$</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State</w:t>
            </w:r>
          </w:p>
        </w:tc>
        <w:tc>
          <w:tcPr>
            <w:tcW w:w="136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r>
      <w:tr>
        <w:trPr>
          <w:trHeight w:val="223"/>
        </w:trPr>
        <w:tc>
          <w:tcPr>
            <w:tcW w:w="4860" w:type="dxa"/>
            <w:vAlign w:val="bottom"/>
          </w:tcPr>
          <w:p>
            <w:pPr>
              <w:spacing w:after="0"/>
              <w:rPr>
                <w:sz w:val="19"/>
                <w:szCs w:val="19"/>
                <w:color w:val="auto"/>
              </w:rPr>
            </w:pPr>
          </w:p>
        </w:tc>
        <w:tc>
          <w:tcPr>
            <w:tcW w:w="136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340" w:type="dxa"/>
            <w:vAlign w:val="bottom"/>
            <w:tcBorders>
              <w:top w:val="single" w:sz="8" w:color="auto"/>
            </w:tcBorders>
          </w:tcPr>
          <w:p>
            <w:pPr>
              <w:jc w:val="right"/>
              <w:ind w:right="122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4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benefit of $146 for the year ended December 31, 2019 is comprised primarily of the release of a liability for an uncertain tax position for which the statute of limitations expired in 2019, partially offset by the tax on earnings generated by foreign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attributable to discontinued operations was $12 for the year ended December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attributable to continuing operations differed from the amounts computed by applying the applicable United States federal income tax rate to loss from continuing operations before taxes on income as a result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For the years ended December 31,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20" w:type="dxa"/>
            <w:vAlign w:val="bottom"/>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(20,676)</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(35,909)</w:t>
            </w:r>
          </w:p>
        </w:tc>
        <w:tc>
          <w:tcPr>
            <w:tcW w:w="16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Tax rate</w:t>
            </w:r>
          </w:p>
        </w:tc>
        <w:tc>
          <w:tcPr>
            <w:tcW w:w="1220" w:type="dxa"/>
            <w:vAlign w:val="bottom"/>
          </w:tcPr>
          <w:p>
            <w:pPr>
              <w:spacing w:after="0"/>
              <w:rPr>
                <w:sz w:val="19"/>
                <w:szCs w:val="19"/>
                <w:color w:val="auto"/>
              </w:rPr>
            </w:pPr>
          </w:p>
        </w:tc>
        <w:tc>
          <w:tcPr>
            <w:tcW w:w="980" w:type="dxa"/>
            <w:vAlign w:val="bottom"/>
            <w:gridSpan w:val="2"/>
          </w:tcPr>
          <w:p>
            <w:pPr>
              <w:jc w:val="right"/>
              <w:ind w:right="101"/>
              <w:spacing w:after="0"/>
              <w:rPr>
                <w:sz w:val="20"/>
                <w:szCs w:val="20"/>
                <w:color w:val="auto"/>
              </w:rPr>
            </w:pPr>
            <w:r>
              <w:rPr>
                <w:rFonts w:ascii="Arial" w:cs="Arial" w:eastAsia="Arial" w:hAnsi="Arial"/>
                <w:sz w:val="18"/>
                <w:szCs w:val="18"/>
                <w:color w:val="auto"/>
              </w:rPr>
              <w:t>21%</w:t>
            </w:r>
          </w:p>
        </w:tc>
        <w:tc>
          <w:tcPr>
            <w:tcW w:w="12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122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(4,342)</w:t>
            </w:r>
          </w:p>
        </w:tc>
        <w:tc>
          <w:tcPr>
            <w:tcW w:w="1240" w:type="dxa"/>
            <w:vAlign w:val="bottom"/>
          </w:tcPr>
          <w:p>
            <w:pPr>
              <w:spacing w:after="0"/>
              <w:rPr>
                <w:sz w:val="18"/>
                <w:szCs w:val="18"/>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(7,541)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income tax benefit</w:t>
            </w:r>
          </w:p>
        </w:tc>
        <w:tc>
          <w:tcPr>
            <w:tcW w:w="1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(944)</w:t>
            </w:r>
          </w:p>
        </w:tc>
        <w:tc>
          <w:tcPr>
            <w:tcW w:w="1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(1,422)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20" w:type="dxa"/>
            <w:vAlign w:val="bottom"/>
          </w:tcPr>
          <w:p>
            <w:pPr>
              <w:spacing w:after="0"/>
              <w:rPr>
                <w:sz w:val="18"/>
                <w:szCs w:val="18"/>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color w:val="auto"/>
              </w:rPr>
              <w:t>3,039</w:t>
            </w:r>
          </w:p>
        </w:tc>
        <w:tc>
          <w:tcPr>
            <w:tcW w:w="124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7,539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607</w:t>
            </w:r>
          </w:p>
        </w:tc>
        <w:tc>
          <w:tcPr>
            <w:tcW w:w="1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Other items</w:t>
            </w:r>
          </w:p>
        </w:tc>
        <w:tc>
          <w:tcPr>
            <w:tcW w:w="1220" w:type="dxa"/>
            <w:vAlign w:val="bottom"/>
          </w:tcPr>
          <w:p>
            <w:pPr>
              <w:spacing w:after="0"/>
              <w:rPr>
                <w:sz w:val="19"/>
                <w:szCs w:val="19"/>
                <w:color w:val="auto"/>
              </w:rPr>
            </w:pPr>
          </w:p>
        </w:tc>
        <w:tc>
          <w:tcPr>
            <w:tcW w:w="980" w:type="dxa"/>
            <w:vAlign w:val="bottom"/>
            <w:gridSpan w:val="2"/>
          </w:tcPr>
          <w:p>
            <w:pPr>
              <w:jc w:val="right"/>
              <w:ind w:right="261"/>
              <w:spacing w:after="0"/>
              <w:rPr>
                <w:sz w:val="20"/>
                <w:szCs w:val="20"/>
                <w:color w:val="auto"/>
              </w:rPr>
            </w:pPr>
            <w:r>
              <w:rPr>
                <w:rFonts w:ascii="Arial" w:cs="Arial" w:eastAsia="Arial" w:hAnsi="Arial"/>
                <w:sz w:val="18"/>
                <w:szCs w:val="18"/>
                <w:color w:val="auto"/>
              </w:rPr>
              <w:t>1,494</w:t>
            </w:r>
          </w:p>
        </w:tc>
        <w:tc>
          <w:tcPr>
            <w:tcW w:w="124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8"/>
                <w:szCs w:val="18"/>
                <w:color w:val="auto"/>
              </w:rPr>
              <w:t>904</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for continuing operations</w:t>
            </w:r>
          </w:p>
        </w:tc>
        <w:tc>
          <w:tcPr>
            <w:tcW w:w="122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2019 and 2018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41,985</w:t>
            </w:r>
          </w:p>
        </w:tc>
        <w:tc>
          <w:tcPr>
            <w:tcW w:w="580" w:type="dxa"/>
            <w:vAlign w:val="bottom"/>
            <w:gridSpan w:val="2"/>
          </w:tcPr>
          <w:p>
            <w:pPr>
              <w:jc w:val="right"/>
              <w:ind w:right="449"/>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39,972</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4,642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4,468</w:t>
            </w:r>
          </w:p>
        </w:tc>
        <w:tc>
          <w:tcPr>
            <w:tcW w:w="60" w:type="dxa"/>
            <w:vAlign w:val="bottom"/>
            <w:shd w:val="clear" w:color="auto" w:fill="CCEEFF"/>
          </w:tcPr>
          <w:p>
            <w:pPr>
              <w:spacing w:after="0"/>
              <w:rPr>
                <w:sz w:val="18"/>
                <w:szCs w:val="18"/>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Intangible assets and other</w:t>
            </w:r>
          </w:p>
        </w:tc>
        <w:tc>
          <w:tcPr>
            <w:tcW w:w="12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4,308</w:t>
            </w:r>
          </w:p>
        </w:tc>
        <w:tc>
          <w:tcPr>
            <w:tcW w:w="60" w:type="dxa"/>
            <w:vAlign w:val="bottom"/>
          </w:tcPr>
          <w:p>
            <w:pPr>
              <w:spacing w:after="0"/>
              <w:rPr>
                <w:sz w:val="19"/>
                <w:szCs w:val="19"/>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assets</w:t>
            </w: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51,788</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Less:</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(51,788)</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(48,748)</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124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(“NOLs”) will not be utilized in the foreseeable future. The cumulative valuation allowance will be reduced if and when the Company determines that the deferred income tax assets are more likely than not to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to the valuation allowance during the years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2018</w:t>
            </w:r>
          </w:p>
        </w:tc>
        <w:tc>
          <w:tcPr>
            <w:tcW w:w="2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41,209</w:t>
            </w: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Charged to cost and expenses – continuing operations</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8,300</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to cost and expenses – discontinued operations</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r>
      <w:tr>
        <w:trPr>
          <w:trHeight w:val="229"/>
        </w:trPr>
        <w:tc>
          <w:tcPr>
            <w:tcW w:w="5600" w:type="dxa"/>
            <w:vAlign w:val="bottom"/>
          </w:tcPr>
          <w:p>
            <w:pPr>
              <w:ind w:left="180"/>
              <w:spacing w:after="0"/>
              <w:rPr>
                <w:sz w:val="20"/>
                <w:szCs w:val="20"/>
                <w:color w:val="auto"/>
              </w:rPr>
            </w:pPr>
            <w:r>
              <w:rPr>
                <w:rFonts w:ascii="Arial" w:cs="Arial" w:eastAsia="Arial" w:hAnsi="Arial"/>
                <w:sz w:val="18"/>
                <w:szCs w:val="18"/>
                <w:color w:val="auto"/>
              </w:rPr>
              <w:t>Return to provision true-up and other</w:t>
            </w: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1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48,748</w:t>
            </w:r>
          </w:p>
        </w:tc>
        <w:tc>
          <w:tcPr>
            <w:tcW w:w="8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240"/>
          </w:cols>
          <w:pgMar w:left="320" w:top="904" w:right="339"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Charged to cost and expenses – continuing operations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4,842</w:t>
            </w:r>
          </w:p>
        </w:tc>
        <w:tc>
          <w:tcPr>
            <w:tcW w:w="60" w:type="dxa"/>
            <w:vAlign w:val="bottom"/>
          </w:tcPr>
          <w:p>
            <w:pPr>
              <w:spacing w:after="0"/>
              <w:rPr>
                <w:sz w:val="20"/>
                <w:szCs w:val="20"/>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to provision true-up and other</w:t>
            </w: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(1,802)</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As of December 31, 2019</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the Company’s estimated aggregate total NOLs were $182,327, for U.S. federal purposes, expiring 20 years from the respective tax years to which they relate, and $31,401 for U.S. federal purposes with an indefinite life due to new regulations in the Tax Act of 2017 (the “Tax Act”).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Coronavirus Aid, Relief, and Economic Security Act (the “CARES Act”) was enacted on March 27, 2020 and provides favorable changes to tax law for businesses impacted by COVID-19. However, the Company does not anticipate the income tax law changes will materially benefit the Company.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files its tax returns in the U.S. federal jurisdiction, as well as in various state and local jurisdictions and has open tax years for 2015 through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U.S. government enacted comprehensive tax reform, commonly referred to as the Tax Act. The Tax Act makes changes to the corporate tax rate, business-related deductions and taxation of foreign earnings, among other changes, that will generally be effective for tax years beginning after December 31, 2017. After the one-year evaluation under SAB 118, the Company determined that there was no material impact from the Tax Act.</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$1,800 and $250 as of December 31, 2019 and December 31, 2018, respectively, which is included in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accrued expenses and other current liabilities” </w:t>
      </w:r>
      <w:r>
        <w:rPr>
          <w:rFonts w:ascii="Arial" w:cs="Arial" w:eastAsia="Arial" w:hAnsi="Arial"/>
          <w:sz w:val="17"/>
          <w:szCs w:val="17"/>
          <w:color w:val="auto"/>
        </w:rPr>
        <w:t>in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during early 2019. Oral argument on the appeal went forward on March 20, 2019, and the Company expects the court to rule on the appeal in the coming months.</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spacing w:after="0" w:line="268" w:lineRule="auto"/>
        <w:rPr>
          <w:sz w:val="20"/>
          <w:szCs w:val="20"/>
          <w:color w:val="auto"/>
        </w:rPr>
      </w:pPr>
      <w:r>
        <w:rPr>
          <w:rFonts w:ascii="Arial" w:cs="Arial" w:eastAsia="Arial" w:hAnsi="Arial"/>
          <w:sz w:val="17"/>
          <w:szCs w:val="17"/>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Clients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7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numerous complaints it received from Cordial, the City of Atlanta required the parties to engage in mediation.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22, 2019, a Mutual Release and Settlement Agreement (the "Settlement Agreement") and a Confidential Payment Agreement (the “Payment Agreement”) were executed by the applicable parties, except the City of Atlanta, and are pending the requisite approval by the FAA of the terms of the Settlement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Settlement Agreement is ultimately expected to be executed in 2020, by and among Cordial Endeavor Concessions of Atlanta, LLC, Shelia Edwards, Steven A. White, the City of Atlanta, XpresSpa Holdings, LLC, XpresSpa Atlanta Terminal A, LLC, Azure Services, LLC, Adra Wilson, Meme Marketing &amp; Communications LLC, Melanie Hutchinson, Kenja Parks, and Bernard Parks, Jr.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requisite approval from the FAA has been obtained and the Leases have been executed by the Company. However, the condition precedent that an operating agreement between the Company and Cordial is finalized and executed has not yet been satisfied. Based on this, management has determined that the matter may not be completely resolved, at least to the extent of one or more of the Settling Parties seeking to enforce the terms of the Settlement Agreement, and thus resulting in a continuation of the litigation.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continues to be involved in settlement negotiations seeking to resolve all pending matters with Cordial and the city of Atlanta, and those negotiations are continuing.</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who will then have a 60-day window to decide whether to participate in the case. The notice of pendency was sent out in February 2020 and putative collective members had until April 3, 2020 to return a Consent to Join the case. As of April 3, 2020, 304 individuals had joined the case.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et al v. FORM Holdings Corp. et al.</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FORM Holdings Corp. (“FORM)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and the Securities Act of 1933, as well as bringing a breach of contract claim. On December 17, 2018, the defendants filed a motion for summary judgment seeking dismissal of all claims. On February 1, 2019, the plaintiffs opposed defendant’s motion, requested discovery and cross-moved for partial summary judgement filed an opposition to defendants’ motion and a counter motion for partial summary judgment. Defendants’ summary judgement motion and plaintiff’s cross-motion for partial summary judgment were fully briefed as of March 15, 2019. On April 29, 2019, an emergency hearing was held before the Court in which the plaintiff sought a temporary restraining order and preliminary injunction to preclude acceleration of the maturity on the Senior Secured Note. The Court entered a temporary restraining order, while allowing parties the opportunity to brief the issue.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21, 2019, the Court granted the defendant’s motion for summary judgement in full, dismissing all claims in the action. On July 3, 2019, the plaintiffs filed a notice of appeal in the United States Court of Appeals for the second circuit. The Company and its directors continue to believe that this action is without merit and intend to defend the appeal vigorously. On July 1, 2019, the Court held oral argument on Binn’s motion for preliminary injunction. After hearing argument by both sides, the Court deferred action and ordered that the temporary restraining order remain in place. On July 23, 2019, the Court denied the plaintiffs’ request for a preliminary injunction and vacated the temporary restraining order. On September 13, 2019, plaintiffs filed their appellate brief in the Second Circuit. As of December 13, 2019, plaintiffs’ appeal was fully briefed. Oral argument has been scheduled for May 4, 2020.</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Binn, et al. v. Bernstein et 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June 3, 2019, a third suit was commenced in the United States District Court for the Southern District of New York against FORM, five of its directors, as well as Rockmore, the Company’s previous senior secured lender and a senior executive of the lender. Although this action is brought by Morton Binn and Marisol F, LLC, it is asserted derivatively on behalf of the Company. Plaintiffs assert eight causes of action, including that certain individual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and the valuation of the Company’s lease portfolio. Plaintiffs also assert common law claims for breach of fiduciary duty, corporate waste, unjust enrichment, faithless servant doctrine, and aiding and abetting certain of the directors’ alleged breaches of fiduciary duty. The Company and its directors believe that this action is without merit and intend to file a motion to dismiss and defend the action vigorously.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defendants filed a motion to dismiss on October 23, 2019. The court heard oral argument on the defendants’ motion to dismiss on January 22, 2020 and has not yet ruled on the motion.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in December 2016, alleges that the defendants violated Sections 10(b) and 20(a) of the Securities Exchange Act of 1934 by making false statements concerning,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merger and the independence of FORM’s board of directors, violated 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 opposed the motion and filed a cross-motion for a partial stay. Defendants’ motion to dismiss was fully briefed as of June 19, 2019.</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Plaintiff has 30 days to file a notice of appeal. On April 10, 2020, plaintiff filed a notice of appeal to the United States Court of Appeals for the Second Circuit. The Company and its directors continue to believe that this action is without merit and intend to defend the appeal.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or about May 23, 2018, Route1 Inc., Route1 Security Corporation (together, “Route1”) and Group Mobile Int’l, LLC (“Group Mobile”) commenced a legal proceeding against the Company in the Ontario Superior Court of Justice.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Route1 and Group Mobile seek damages in relation to alleged breaches of a Membership Purchase Agreement entered into between Route1 and the Company on or about March 7, 2018, pursuant to which Route1 acquired the Company’s 100% membership interest in Group Mobile. All capitalized terms not otherwise defined herein have the meanings ascribed to them in the Agreement.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Plaintiffs allege that the Company: (i) failed to ensure all Tax Returns were true, correct and compliant in all respects and that all Taxes had been paid in full; (ii) failed to ensure that all inventory of Group Mobile had been priced in accordance with GAAP and consisted of a quality and quantity that was materially usable and salable in the Ordinary Course of Business; (iii) failed to ensure that Group Mobile’s Most Recent Balance Sheet was materially complete and correct and prepared in accordance with GAAP; (iv) failed to record all liabilities on Group Mobile’s Most Recent Balance Sheet; and (v) failed to deliver the agreed upon amount of Net Working Capital, and/or pay the Shortfall, to Route1. The litigation is at an early stage, and it is not yet possible to assess the likelihood of success and/or liability.</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counterclaimed against the Plaintiffs for amounts owed to the Company in relation to the sale of Excluded Inventory and seek damages thereon.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further below, the Company delivered a draft amended counterclaim to the Plaintiffs on or around November 2019 seeking, among other things, damages. The Company is seeking the Plaintiffs’ consent to amend its counterclaim. Examinations for discovery are scheduled to take place in Toronto, Canada on June 9th and 10th, 2020. The parties currently expect to attend a one-day mediation in Toronto on May 7, 2020.</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Rodger Jenkins v. XpresSpa Group,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On or about January 3, 2020, the court granted the plaintiffs’ motion to amend their pleading to increase their total demand.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denied the material allegations of the complaint and is currently defending the action. Efforts to settle the parties’ dispute at a court-ordered mediation in March 2020 were not successful. The action is currently scheduled for a bench trial on May 18, 2020, although we believe that the trial date is likely to be adjourned due to the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EFP Capital Solutions LLC settlement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March 2019, a complaint was filed against the Company by EFP Capital Solutions LLC (“EFP”), the receivables factor of the Company’s vendor MobiPT, Inc. (“MobiPT”), relating to payments made incorrectly by the Company to MobiPT for receivables MobiPT had sold to EFP. The ensuing mediation resulted in the Company agreeing to pay EFP $165 for such payments, for which the Company recorded an expense that is included in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accrued expenses and other current liabilities </w:t>
      </w:r>
      <w:r>
        <w:rPr>
          <w:rFonts w:ascii="Arial" w:cs="Arial" w:eastAsia="Arial" w:hAnsi="Arial"/>
          <w:sz w:val="17"/>
          <w:szCs w:val="17"/>
          <w:color w:val="auto"/>
        </w:rPr>
        <w:t>in the consolidated financial statements for the year ended December 31, 2019.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intends to seek reimbursement of the $165 from MobiPT, but there is no assurance the Company will be successful.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$2,500. On January 2, 2020, the Company received a deficiency letter from Nasdaq which provided us a grace period of 180 calendar days, or until June 30, 2020, to regain compliance with the minimum bid price requirement. If we fail to regain compliance on or prior to June 30, 2020, we may be eligible for an additional 180-day compliance period. Additionally, if we fail to comply with other continued listing standards of Nasdaq, our Common Stock might be subject to delisting.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Other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22222"/>
        </w:rPr>
        <w:t xml:space="preserve">On March 11, 2020, the World Health Organization declared the outbreak of the COVID-19, which continues to spread throughout the U.S. and the world, as a pandemic. The outbreak is having an impact on the global economy, resulting in rapidly changing market and economic conditions. </w:t>
      </w:r>
      <w:r>
        <w:rPr>
          <w:rFonts w:ascii="Arial" w:cs="Arial" w:eastAsia="Arial" w:hAnsi="Arial"/>
          <w:sz w:val="17"/>
          <w:szCs w:val="17"/>
          <w:color w:val="000000"/>
        </w:rPr>
        <w:t>Similar to many</w:t>
      </w:r>
      <w:r>
        <w:rPr>
          <w:rFonts w:ascii="Arial" w:cs="Arial" w:eastAsia="Arial" w:hAnsi="Arial"/>
          <w:sz w:val="17"/>
          <w:szCs w:val="17"/>
          <w:color w:val="222222"/>
        </w:rPr>
        <w:t xml:space="preserve"> </w:t>
      </w:r>
      <w:r>
        <w:rPr>
          <w:rFonts w:ascii="Arial" w:cs="Arial" w:eastAsia="Arial" w:hAnsi="Arial"/>
          <w:sz w:val="17"/>
          <w:szCs w:val="17"/>
          <w:color w:val="000000"/>
        </w:rPr>
        <w:t>businesses in the travel sector the Company’s business has been materially adversely impacted by the recent COVID-19 outbreak and associated restrictions on travel that have been implemented. Effective March 24, 2020, the Company temporarily closed all global spa locations, largely due to the categorization of such spa locations by local jurisdictions as “non-essential services” in connection with the outbreak of COVID-19. This has had a materially adverse impact on the Company’s cash flows from operations and caused a liquidity crisis. As a result, management has concluded that there was a long-lived asset impairment triggering event during the first quarter of 2020, which will result in management performing an impairment evaluation of its long-lived asset balances (primarily leasehold improvements and right of use lease assets of approximately $16,318 as of December 31, 2019). This could lead to the Company recording an impairment charge during the first quarter of 2020. The full extent to which COVID-19 will impact the Company’s results will depend on future developments, which are highly uncertain and cannot be predicted, including new information which may emerge concerning the severity of the virus and the actions to contain or treat its impact.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currently seeking sources of capital to help fund its business operations during the COVID-19 crisis and during 2020 raised approximately $9,440. If the Company is unable to obtain additional funding in the immediate term , it may be required to curtail or terminate some or all of its business operations and cause the Company’s Board of Directors to decide to pursue a restructuring, which may include a reorganization or bankruptcy under Federal bankruptcy laws, or a dissolution, liquidation and/or winding up of the Company. Accordingly, holders of the Company’s senior and unsecured debt and Common Stock may lose their entire investment in the event of a reorganization, bankruptcy, liquidation, dissolution or winding up of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taken actions to improve its overall cash position and access to liquidity. The Company expects that these actions discussed below will improve its overall cash position and assist with its liquidity needs.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F-36</w:t>
      </w:r>
    </w:p>
    <w:p>
      <w:pPr>
        <w:sectPr>
          <w:pgSz w:w="11900" w:h="16907" w:orient="portrait"/>
          <w:cols w:equalWidth="0" w:num="1">
            <w:col w:w="11240"/>
          </w:cols>
          <w:pgMar w:left="320" w:top="908" w:right="339" w:bottom="0"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9, 2020, fifteen wholly owned subsidiaries (the “CC Borrowers”) of the Company entered into an accounts receivable advance agreement (the “CC Agreement”) with CC Funding, a division of Credit Cash NJ, LLC (the “CC Lender”). Pursuant to the terms of the CC Agreement, the CC Lender agreed to make an advance of funds in the amount of $1,000 for aggregate fees of $160, for a total repayment amount of $1,160 (the “Collection Amount”). The Borrowers agreed to repay the Collection Amount on or before the -12-month anniversary of the funding date of the advance by authorizing the CC Lender to retain a fixed daily amount equal to $4 from a collection account established for such purpose. The advance of funds is secured by substantially all of the assets of the CC Borrowers, including CC Borrowers’ existing and future accounts receivables and other rights to payment, including accounts receivable arising out of the CC Borrowers’ acceptance or other use of any credit cards, charge cards, debit cards or similar forms of payments. The funds received from advances may be used in the ordinary course of business consistent with past practices. The CC Agreement additionally includes certain stated events of default, upon which the Lender is entitled to increase the fixed daily payments made to the Lender and to increase the interest rate to 18% per annum. As a result of the COVID-19 pandemic and closing of the Company’s spas on March 24, 2020, the Company has entered into a revised repayment amount equal to $10 per week.</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compensation for the consent of existing creditor B3D to the CC Agreement described above, on January 9, 2020, XpresSpa Holdings, LLC (“XpresSpa Holdings”), a wholly-owned subsidiary of the Company, entered into a fifth amendment (the “Fifth Credit Agreement Amendment”) to its existing Credit Agreement with B3D in order to, among other provisions, (i) amend and restate its existing convertible promissory note (the “B3D Note”) in order to increase the principal amount owed to B3D from $7,000 to $7,150, which additional $150 in principal and any interest accrued thereon will be convertible, at B3D’s option, into shares of the Company’s Common Stock subject to receipt of the approval of the Company’s stockholders in accordance with applicable law and the rules and regulations of the Nasdaq Stock Market and (ii) provide for the advance payment of 291,669 shares of Common Stock in satisfaction of the interest payable pursuant to the B3D Note for the months of October, November and December 2020 in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B3D Senior Secured Loan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6, 2020, XpresSpa Holdings entered into a sixth amendment (the “Sixth Credit Agreement Amendment”) to its existing credit agreement with B3D in order to, among other provisions, (i) amend and restate the B3D Note in order to increase the principal amount owed to B3D from $7,150 to $7,900, which additional $750 in principal ($500 in new funding and $250 in debt accretion) and any interest accrued thereon will be convertible, at B3D’s option, into shares of the Company’s Common Stock; provided, however, that the additional $750 in principal and any interest accrued thereon shall neither be convertible into Common Stock nor interest payable in Common Stock prior to receipt of the approval of the Company’s stockholders in accordance with applicable law and the rules and regulations of the Nasdaq Stock Market and (ii) decrease the conversion rate under the B3D Note from $2.00 per share to $0.56 per share, pursuant to the authority of the Board of Directors of the Company to voluntarily reduce the conversion rate in its discretion, which was previously approved by the Company’s stockholders on October 2, 2019. In connection with the Sixth Credit Agreement Amendment and B3D Note, B3D agreed to provide the Company with $500 in additional funding and to submit conversion notices to convert (i) an aggregate of $375 in principal to Common Stock on March 6, 2020 and (ii) an additional aggregate of $375 in principal to Common Stock on or prior to March 27,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 and Warrant Exchange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19, 2020, the Company entered into a Securities Purchase Agreement (the “First Purchase Agreement”) with certain purchasers named therein, pursuant to which the Company issued and sold in a registered direct offering, (i) 4,153,383 shares of the Company’s common stock, par value $0.01 per share (the “Common Stock”) at an offering price of $0.175 per share and (ii) an aggregate of 2,132,333 pre-funded warrants exercisable for shares of Common Stock (the “First Pre-Funded Warrants”) at an offering price of $0.165 per First Pre-Funded Warrant (the offering of the shares of Common Stock and the First Pre-Funded Warrants, the “First Offering”). The Company received gross proceeds of approximately $1,100 in connection with the First Offering, before deducting financial advisory consultant fees and related offering expenses. The First Pre-Funded Warrants were sold to the purchasers to the extent that a purchaser’s subscription of shares of Common Stock in the First Offering would otherwise result in the purchaser, together with its affiliates and certain related parties, beneficially owning more than 4.99% of the Company’s outstanding Common Stock immediately following the consummation of the First Offering, in lieu of shares of Common Stock. Each First Pre-Funded Warrant represented the right to purchase one share of Common Stock at an exercise price of $0.01 per share and was ultimately exercised.</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19, 2020, the Company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FHXMS, LLC, XpresSpa Holdings, LLC and Mistral XH Representative, LLC, as representative of the unitholders, dated October 25, 2016, as subsequently amended. Pursuant to the Exchange Agreements, on the closing date and subject to (i) the receipt of approval of the Company’s stockholders as required by the applicable rules and regulations of the Nasdaq Stock Market and (ii) the receipt of approval of the Company’s stockholders to increase the Company’s authorized shares, the holders of Exchanged Warrants would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 and (ii) 1.5 (the “Exchange”). To the extent any holder of Exchanged Warrants would otherwise beneficially own in excess of any beneficial ownership limitation applicable to such holder after giving effect to the Exchange, that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 The closing is expected to take place on the first business day on which the conditions to the closing are satisfied or waived, subject to satisfaction of customary closing conditions.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079" w:gutter="0" w:footer="0" w:header="0"/>
        </w:sectPr>
      </w:pPr>
    </w:p>
    <w:bookmarkStart w:id="104" w:name="page105"/>
    <w:bookmarkEnd w:id="104"/>
    <w:p>
      <w:pPr>
        <w:jc w:val="both"/>
        <w:spacing w:after="0" w:line="287" w:lineRule="auto"/>
        <w:rPr>
          <w:sz w:val="20"/>
          <w:szCs w:val="20"/>
          <w:color w:val="auto"/>
        </w:rPr>
      </w:pPr>
      <w:r>
        <w:rPr>
          <w:rFonts w:ascii="Arial" w:cs="Arial" w:eastAsia="Arial" w:hAnsi="Arial"/>
          <w:sz w:val="16"/>
          <w:szCs w:val="16"/>
          <w:color w:val="auto"/>
        </w:rPr>
        <w:t>On March 25, 2020, the Company entered into a Securities Purchase Agreement (the “Second Purchase Agreement”) with certain purchasers named therein, pursuant to which the Company issued and sold in a registered direct offering, (i) 7,450,000 shares of the Company’s Common Stock at an offering price of $0.20 per share and (ii) an aggregate of 1,500,000 pre-funded warrants exercisable for shares of Common Stock (the “Second Pre-Funded Warrants”) at an offering price of $0.19 per Second Pre-Funded Warrant (the offering of the shares of Common Stock and the Second Pre-Funded Warrants, the “Second Offering”). The Company received gross proceeds of approximately $1,790 in connection with the Second Offering, before deducting financial advisory consultant fees and related offering expenses. The Second Pre-Funded Warrants were sold to the purchasers to the extent that a purchaser’s subscription of shares of Common Stock in the Second Offering would otherwise result in the purchaser, together with its affiliates and certain related parties, beneficially owning more than 4.99% (or, in certain cases, 9.99%) of the Company’s outstanding Common Stock immediately following the consummation of the Second Offering, in lieu of shares of Common Stock. Each Second Prefunded Warrant represents the right to purchase one share of Common Stock at an exercise price of $0.01 per share. The Second Pre-Funded Warrants were exercisable immediately and may be exercised at any time until the Second Pre-Funded Warrants are exercised in full. All of the Second Pre-Funded Warrants have been exercised.</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the Company entered into a Securities Purchase Agreement (the “Third Purchase Agreement”) with certain purchasers named therein, pursuant to which the Company issued and sold, in a registered direct offering, (i) 7,895,000 shares of the Company’s Common Stock, at an offering price of $0.20 per share and (ii) an aggregate of 2,105,000 pre-funded warrants exercisable for shares of Common Stock (the “Third Pre-Funded Warrants”) at an offering price of $0.19 per Third Pre-Funded Warrant (the offering of the shares of Common Stock and the Third Pre-Funded Warrants, the “Third Offering”). The Company received gross proceeds of approximately $2,000 in connection with the Third Offering, before deducting financial advisory consultant fees and related offering expenses. The Third Pre-Funded Warrants were sold to the purchasers to the extent that a purchaser’s subscription of shares of Common Stock in the Third Offering would otherwise result in the purchaser, together with its affiliates and certain related parties, beneficially owning more than 4.99% (or, in certain cases, 9.99%) of the Company’s outstanding Common Stock immediately following the consummation of the Third Offering, in lieu of shares of Common Stock. Each Third Prefunded Warrant represents the right to purchase one share of Common Stock at an exercise price of $0.01 per share. The Third Pre-Funded Warrants were exercisable immediately and may be exercised at any time until the Third Pre-Funded Warrants are exercised in full. All of the Third Pre-Funded Warrants have been exercised.</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6, 2020, the Company entered into a Securities Purchase Agreement (the “Fourth Purchase Agreement”) with certain purchasers named therein, pursuant to which the Company issued and sold, in a registered direct offering, (i) 12,418,179 shares of the Company’s Common Stock at an offering price of $0.22 per share and (ii) an aggregate of 1,445,454 pre-funded warrants exercisable for shares of Common Stock (the “Fourth Pre-Funded Warrants”) at an offering price of $0.21 per Pre-Funded Warrant (the offering of the shares of Common Stock and the Pre-Funded Warrants, the “Fourth Offering”). The Company received gross proceeds of approximately $3.05 million in connection with the Fourth Offering, before deducting financial advisory consultant fees and related offering expenses. The Fourth Pre-Funded Warrants were sold to the purchasers to the extent that a purchaser’s subscription of shares of Common Stock in the Fourth Offering would otherwise result in the purchaser, together with its affiliates and certain related parties, beneficially owning more than 4.99% (or, in certain cases, 9.99%) of the Company’s outstanding Common Stock immediately following the consummation of the Fourth Offering, in lieu of shares of Common Stock. Each Fourth Pre-Funded Warrant represents the right to purchase one share of Common Stock at an exercise price of $0.01 per share. The Fourth Pre-Funded Warrants are exercisable immediately and may be exercised at any time until the Fourth Pre-Funded Warrants are exercised in full.</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20th day of April, 2020.</w:t>
      </w:r>
    </w:p>
    <w:p>
      <w:pPr>
        <w:spacing w:after="0" w:line="166"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XpresSpa Group, Inc.</w:t>
      </w:r>
    </w:p>
    <w:p>
      <w:pPr>
        <w:spacing w:after="0" w:line="283"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7"/>
          <w:szCs w:val="17"/>
          <w:color w:val="auto"/>
        </w:rPr>
        <w:t>DOUGLAS SATZMAN</w:t>
      </w:r>
    </w:p>
    <w:p>
      <w:pPr>
        <w:spacing w:after="0" w:line="4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-127635</wp:posOffset>
            </wp:positionV>
            <wp:extent cx="31800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w:t>
      </w:r>
    </w:p>
    <w:p>
      <w:pPr>
        <w:spacing w:after="0" w:line="31"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(Principal Executive Officer, Principal Financial Officer and</w:t>
      </w:r>
    </w:p>
    <w:p>
      <w:pPr>
        <w:spacing w:after="0" w:line="3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Principal Accounting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940" w:type="dxa"/>
            <w:vAlign w:val="bottom"/>
            <w:tcBorders>
              <w:bottom w:val="single" w:sz="8" w:color="auto"/>
            </w:tcBorders>
          </w:tcPr>
          <w:p>
            <w:pPr>
              <w:ind w:left="22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Date</w:t>
            </w:r>
          </w:p>
        </w:tc>
      </w:tr>
      <w:tr>
        <w:trPr>
          <w:trHeight w:val="425"/>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DOUGLAS SATZMAN</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w:t>
            </w:r>
          </w:p>
        </w:tc>
        <w:tc>
          <w:tcPr>
            <w:tcW w:w="1460" w:type="dxa"/>
            <w:vAlign w:val="bottom"/>
          </w:tcPr>
          <w:p>
            <w:pPr>
              <w:spacing w:after="0"/>
              <w:rPr>
                <w:sz w:val="20"/>
                <w:szCs w:val="20"/>
                <w:color w:val="auto"/>
              </w:rPr>
            </w:pPr>
            <w:r>
              <w:rPr>
                <w:rFonts w:ascii="Arial" w:cs="Arial" w:eastAsia="Arial" w:hAnsi="Arial"/>
                <w:sz w:val="18"/>
                <w:szCs w:val="18"/>
                <w:color w:val="auto"/>
              </w:rPr>
              <w:t>April 20, 2020</w:t>
            </w:r>
          </w:p>
        </w:tc>
      </w:tr>
      <w:tr>
        <w:trPr>
          <w:trHeight w:val="182"/>
        </w:trPr>
        <w:tc>
          <w:tcPr>
            <w:tcW w:w="46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Douglas Satzman</w:t>
            </w:r>
          </w:p>
        </w:tc>
        <w:tc>
          <w:tcPr>
            <w:tcW w:w="120" w:type="dxa"/>
            <w:vAlign w:val="bottom"/>
          </w:tcPr>
          <w:p>
            <w:pPr>
              <w:spacing w:after="0"/>
              <w:rPr>
                <w:sz w:val="15"/>
                <w:szCs w:val="15"/>
                <w:color w:val="auto"/>
              </w:rPr>
            </w:pPr>
          </w:p>
        </w:tc>
        <w:tc>
          <w:tcPr>
            <w:tcW w:w="5040" w:type="dxa"/>
            <w:vAlign w:val="bottom"/>
            <w:gridSpan w:val="2"/>
          </w:tcPr>
          <w:p>
            <w:pPr>
              <w:spacing w:after="0" w:line="182" w:lineRule="exact"/>
              <w:rPr>
                <w:sz w:val="20"/>
                <w:szCs w:val="20"/>
                <w:color w:val="auto"/>
              </w:rPr>
            </w:pPr>
            <w:r>
              <w:rPr>
                <w:rFonts w:ascii="Arial" w:cs="Arial" w:eastAsia="Arial" w:hAnsi="Arial"/>
                <w:sz w:val="18"/>
                <w:szCs w:val="18"/>
                <w:color w:val="auto"/>
              </w:rPr>
              <w:t>Executive Officer, Principal Financial Officer and Principal</w:t>
            </w:r>
          </w:p>
        </w:tc>
        <w:tc>
          <w:tcPr>
            <w:tcW w:w="146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1460" w:type="dxa"/>
            <w:vAlign w:val="bottom"/>
          </w:tcPr>
          <w:p>
            <w:pPr>
              <w:spacing w:after="0"/>
              <w:rPr>
                <w:sz w:val="20"/>
                <w:szCs w:val="20"/>
                <w:color w:val="auto"/>
              </w:rPr>
            </w:pP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April 20, 2020</w:t>
            </w:r>
          </w:p>
        </w:tc>
      </w:t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Bruce T. Bernstein</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ROBERT WEINSTEIN</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April 20, 2020</w:t>
            </w:r>
          </w:p>
        </w:tc>
      </w:t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Robert Weinstein</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1"/>
        </w:trPr>
        <w:tc>
          <w:tcPr>
            <w:tcW w:w="2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April 20, 2020</w:t>
            </w:r>
          </w:p>
        </w:tc>
      </w:tr>
      <w:tr>
        <w:trPr>
          <w:trHeight w:val="234"/>
        </w:trPr>
        <w:tc>
          <w:tcPr>
            <w:tcW w:w="4620" w:type="dxa"/>
            <w:vAlign w:val="bottom"/>
            <w:gridSpan w:val="2"/>
          </w:tcPr>
          <w:p>
            <w:pPr>
              <w:ind w:left="60"/>
              <w:spacing w:after="0"/>
              <w:rPr>
                <w:sz w:val="20"/>
                <w:szCs w:val="20"/>
                <w:color w:val="auto"/>
              </w:rPr>
            </w:pPr>
            <w:r>
              <w:rPr>
                <w:rFonts w:ascii="Arial" w:cs="Arial" w:eastAsia="Arial" w:hAnsi="Arial"/>
                <w:sz w:val="18"/>
                <w:szCs w:val="18"/>
                <w:b w:val="1"/>
                <w:bCs w:val="1"/>
                <w:color w:val="auto"/>
              </w:rPr>
              <w:t>Michael Lebowitz</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460" w:type="dxa"/>
            <w:vAlign w:val="bottom"/>
          </w:tcPr>
          <w:p>
            <w:pPr>
              <w:spacing w:after="0"/>
              <w:rPr>
                <w:sz w:val="20"/>
                <w:szCs w:val="20"/>
                <w:color w:val="auto"/>
              </w:rPr>
            </w:pPr>
            <w:r>
              <w:rPr>
                <w:rFonts w:ascii="Arial" w:cs="Arial" w:eastAsia="Arial" w:hAnsi="Arial"/>
                <w:sz w:val="18"/>
                <w:szCs w:val="18"/>
                <w:color w:val="auto"/>
              </w:rPr>
              <w:t>April 20, 2020</w:t>
            </w:r>
          </w:p>
        </w:tc>
      </w:t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Donald E. Stout</w:t>
            </w:r>
          </w:p>
        </w:tc>
        <w:tc>
          <w:tcPr>
            <w:tcW w:w="1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85950" cy="6000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6">
                      <a:extLst>
                        <a:ext uri="{28A0092B-C50C-407E-A947-70E740481C1C}"/>
                      </a:extLst>
                    </a:blip>
                    <a:srcRect/>
                    <a:stretch>
                      <a:fillRect/>
                    </a:stretch>
                  </pic:blipFill>
                  <pic:spPr bwMode="auto">
                    <a:xfrm>
                      <a:off x="0" y="0"/>
                      <a:ext cx="18859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Vringo, Inc. (the “Corporation”), a corporation organized and existing under and by virtue of the General Corporation Law of the State of Delaware (the “DGCL”), DOES HEREBY CERTIFY:</w:t>
      </w:r>
    </w:p>
    <w:p>
      <w:pPr>
        <w:spacing w:after="0" w:line="170" w:lineRule="exact"/>
        <w:rPr>
          <w:sz w:val="20"/>
          <w:szCs w:val="20"/>
          <w:color w:val="auto"/>
        </w:rPr>
      </w:pPr>
    </w:p>
    <w:p>
      <w:pPr>
        <w:jc w:val="both"/>
        <w:ind w:firstLine="332"/>
        <w:spacing w:after="0" w:line="259" w:lineRule="auto"/>
        <w:tabs>
          <w:tab w:leader="none" w:pos="5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of the Corporation is Vringo, Inc. The Corporation’s original Certificate of Incorporation was filed with the Delaware Secretary of State on January 9, 2006. An Amended and Restated Certificate of Incorporation was filed with the Secretary of State of the State of Delaware on May 9, 2006, July 12, 2006, August 9, 2006 and July 30, 2007. An amendment to the Amended and Restated Certificate of Incorporation was filed with the Secretary of State of the State of Delaware on February 21, 2008 and December 29, 2009.</w:t>
      </w:r>
    </w:p>
    <w:p>
      <w:pPr>
        <w:spacing w:after="0" w:line="186" w:lineRule="exact"/>
        <w:rPr>
          <w:rFonts w:ascii="Arial" w:cs="Arial" w:eastAsia="Arial" w:hAnsi="Arial"/>
          <w:sz w:val="18"/>
          <w:szCs w:val="18"/>
          <w:color w:val="auto"/>
        </w:rPr>
      </w:pPr>
    </w:p>
    <w:p>
      <w:pPr>
        <w:jc w:val="both"/>
        <w:ind w:firstLine="332"/>
        <w:spacing w:after="0" w:line="259" w:lineRule="auto"/>
        <w:tabs>
          <w:tab w:leader="none" w:pos="5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setting forth a proposed amendment and restatement of the Amended and Restated Certificate of Incorporation of the Corporation, declaring said amendment and restatement to be advisable and directing its officers to submit said amendment and restatement to the stockholders of the Corporation for consideration thereof. The resolution setting forth the proposed amendment and restatement is as follows: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“THEREFORE, BE IT RESOLVED, that the Amended and Restated Certificate of Incorporation of the Corporation is hereby amended to read in its entirety as follows, subject to the required consent of the stockholders of the Corporation: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 The name of the Corporation (hereinafter the “Corporation”) is Vringo, Inc.</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thirty three million (33,000,000) shares, twenty eight million (28,000,000) shares of which shall be Common Stock and five million (5,000,000) shares of which shall be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jc w:val="both"/>
        <w:ind w:firstLine="656"/>
        <w:spacing w:after="0" w:line="254" w:lineRule="auto"/>
        <w:tabs>
          <w:tab w:leader="none" w:pos="9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94" w:lineRule="exact"/>
        <w:rPr>
          <w:rFonts w:ascii="Arial" w:cs="Arial" w:eastAsia="Arial" w:hAnsi="Arial"/>
          <w:sz w:val="18"/>
          <w:szCs w:val="18"/>
          <w:color w:val="auto"/>
        </w:rPr>
      </w:pPr>
    </w:p>
    <w:p>
      <w:pPr>
        <w:jc w:val="both"/>
        <w:ind w:firstLine="656"/>
        <w:spacing w:after="0" w:line="286" w:lineRule="auto"/>
        <w:tabs>
          <w:tab w:leader="none" w:pos="9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1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 xml:space="preserve">(2) No director (other than directors elected by one or more series of Preferred Stock) may be removed from office by the stockholders except for cause and, in addition to any other vote required by law, upon the affirmative vote of not less than 66 </w:t>
      </w:r>
      <w:r>
        <w:rPr>
          <w:rFonts w:ascii="Arial" w:cs="Arial" w:eastAsia="Arial" w:hAnsi="Arial"/>
          <w:sz w:val="28"/>
          <w:szCs w:val="28"/>
          <w:color w:val="auto"/>
          <w:vertAlign w:val="superscript"/>
        </w:rPr>
        <w:t>2</w:t>
      </w:r>
      <w:r>
        <w:rPr>
          <w:rFonts w:ascii="Arial" w:cs="Arial" w:eastAsia="Arial" w:hAnsi="Arial"/>
          <w:sz w:val="17"/>
          <w:szCs w:val="17"/>
          <w:color w:val="auto"/>
        </w:rPr>
        <w:t>/3% of the total voting power of all outstanding securities of the Corporation then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jc w:val="both"/>
        <w:ind w:firstLine="656"/>
        <w:spacing w:after="0" w:line="290" w:lineRule="auto"/>
        <w:tabs>
          <w:tab w:leader="none" w:pos="91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SIXTH: The Corporation is to have perpetual existence.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70" w:lineRule="exact"/>
        <w:rPr>
          <w:sz w:val="20"/>
          <w:szCs w:val="20"/>
          <w:color w:val="auto"/>
        </w:rPr>
      </w:pPr>
    </w:p>
    <w:p>
      <w:pPr>
        <w:jc w:val="both"/>
        <w:ind w:firstLine="656"/>
        <w:spacing w:after="0" w:line="291" w:lineRule="auto"/>
        <w:tabs>
          <w:tab w:leader="none" w:pos="90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w:t>
      </w:r>
    </w:p>
    <w:p>
      <w:pPr>
        <w:spacing w:after="0" w:line="209" w:lineRule="auto"/>
        <w:rPr>
          <w:sz w:val="20"/>
          <w:szCs w:val="20"/>
          <w:color w:val="auto"/>
        </w:rPr>
      </w:pPr>
      <w:r>
        <w:rPr>
          <w:rFonts w:ascii="Arial" w:cs="Arial" w:eastAsia="Arial" w:hAnsi="Arial"/>
          <w:sz w:val="18"/>
          <w:szCs w:val="18"/>
          <w:color w:val="auto"/>
        </w:rPr>
        <w:t xml:space="preserve">vote of the holders of not less than 66 </w:t>
      </w:r>
      <w:r>
        <w:rPr>
          <w:rFonts w:ascii="Arial" w:cs="Arial" w:eastAsia="Arial" w:hAnsi="Arial"/>
          <w:sz w:val="29"/>
          <w:szCs w:val="29"/>
          <w:color w:val="auto"/>
          <w:vertAlign w:val="superscript"/>
        </w:rPr>
        <w:t>2</w:t>
      </w:r>
      <w:r>
        <w:rPr>
          <w:rFonts w:ascii="Arial" w:cs="Arial" w:eastAsia="Arial" w:hAnsi="Arial"/>
          <w:sz w:val="18"/>
          <w:szCs w:val="18"/>
          <w:color w:val="auto"/>
        </w:rPr>
        <w:t>/3% of the total voting power of all outstanding securities of the Corporation then entitled to vote generally in the election of directors, voting together as a single class.</w:t>
      </w:r>
    </w:p>
    <w:p>
      <w:pPr>
        <w:spacing w:after="0" w:line="204"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so provide.</w:t>
      </w:r>
    </w:p>
    <w:p>
      <w:pPr>
        <w:spacing w:after="0" w:line="225" w:lineRule="exact"/>
        <w:rPr>
          <w:rFonts w:ascii="Arial" w:cs="Arial" w:eastAsia="Arial" w:hAnsi="Arial"/>
          <w:sz w:val="18"/>
          <w:szCs w:val="18"/>
          <w:color w:val="auto"/>
        </w:rPr>
      </w:pPr>
    </w:p>
    <w:p>
      <w:pPr>
        <w:jc w:val="both"/>
        <w:ind w:firstLine="656"/>
        <w:spacing w:after="0" w:line="275" w:lineRule="auto"/>
        <w:tabs>
          <w:tab w:leader="none" w:pos="9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1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324"/>
        <w:spacing w:after="0" w:line="279" w:lineRule="auto"/>
        <w:rPr>
          <w:sz w:val="20"/>
          <w:szCs w:val="20"/>
          <w:color w:val="auto"/>
        </w:rPr>
      </w:pPr>
      <w:r>
        <w:rPr>
          <w:rFonts w:ascii="Arial" w:cs="Arial" w:eastAsia="Arial" w:hAnsi="Arial"/>
          <w:sz w:val="17"/>
          <w:szCs w:val="17"/>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84" w:lineRule="exact"/>
        <w:rPr>
          <w:sz w:val="20"/>
          <w:szCs w:val="20"/>
          <w:color w:val="auto"/>
        </w:rPr>
      </w:pPr>
    </w:p>
    <w:p>
      <w:pPr>
        <w:ind w:firstLine="332"/>
        <w:spacing w:after="0" w:line="277" w:lineRule="auto"/>
        <w:tabs>
          <w:tab w:leader="none" w:pos="5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70" w:lineRule="exact"/>
        <w:rPr>
          <w:rFonts w:ascii="Arial" w:cs="Arial" w:eastAsia="Arial" w:hAnsi="Arial"/>
          <w:sz w:val="18"/>
          <w:szCs w:val="18"/>
          <w:color w:val="auto"/>
        </w:rPr>
      </w:pPr>
    </w:p>
    <w:p>
      <w:pPr>
        <w:ind w:firstLine="332"/>
        <w:spacing w:after="0" w:line="277" w:lineRule="auto"/>
        <w:tabs>
          <w:tab w:leader="none" w:pos="5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was duly adopted in accordance with the applicable provisions of Sections 242 and 245 of the DGCL.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ind w:firstLine="324"/>
        <w:spacing w:after="0" w:line="289" w:lineRule="auto"/>
        <w:rPr>
          <w:sz w:val="20"/>
          <w:szCs w:val="20"/>
          <w:color w:val="auto"/>
        </w:rPr>
      </w:pPr>
      <w:r>
        <w:rPr>
          <w:rFonts w:ascii="Arial" w:cs="Arial" w:eastAsia="Arial" w:hAnsi="Arial"/>
          <w:sz w:val="18"/>
          <w:szCs w:val="18"/>
          <w:color w:val="auto"/>
        </w:rPr>
        <w:t>IN WITNESS WHEREOF, Vringo, Inc. has caused this Amended and Restated Certificate of Incorporation to be signed by Jonathan Medved, its Chief Executive Officer, on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June, 2010.</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Jonathan Medved</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85950" cy="6000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00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w:t>
      </w:r>
      <w:r>
        <w:rPr>
          <w:rFonts w:ascii="Arial" w:cs="Arial" w:eastAsia="Arial" w:hAnsi="Arial"/>
          <w:sz w:val="18"/>
          <w:szCs w:val="18"/>
          <w:b w:val="1"/>
          <w:bCs w:val="1"/>
          <w:color w:val="auto"/>
        </w:rPr>
        <w:t xml:space="preserve"> VRINGO, INC.</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 Delaware on January 9,</w:t>
      </w:r>
      <w:r>
        <w:rPr>
          <w:rFonts w:ascii="Arial" w:cs="Arial" w:eastAsia="Arial" w:hAnsi="Arial"/>
          <w:sz w:val="18"/>
          <w:szCs w:val="18"/>
          <w:b w:val="1"/>
          <w:bCs w:val="1"/>
          <w:color w:val="auto"/>
        </w:rPr>
        <w:t xml:space="preserve"> </w:t>
      </w:r>
      <w:r>
        <w:rPr>
          <w:rFonts w:ascii="Arial" w:cs="Arial" w:eastAsia="Arial" w:hAnsi="Arial"/>
          <w:sz w:val="18"/>
          <w:szCs w:val="18"/>
          <w:color w:val="auto"/>
        </w:rPr>
        <w:t>2006 and the Amended and Restated Certificate of Incorporation of the Corporation was filed with the Secretary of State of the State of Delaware on June 22, 2010.</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w:t>
      </w:r>
      <w:r>
        <w:rPr>
          <w:rFonts w:ascii="Arial" w:cs="Arial" w:eastAsia="Arial" w:hAnsi="Arial"/>
          <w:sz w:val="18"/>
          <w:szCs w:val="18"/>
          <w:b w:val="1"/>
          <w:bCs w:val="1"/>
          <w:color w:val="auto"/>
        </w:rPr>
        <w:t xml:space="preserve"> “Board”), </w:t>
      </w:r>
      <w:r>
        <w:rPr>
          <w:rFonts w:ascii="Arial" w:cs="Arial" w:eastAsia="Arial" w:hAnsi="Arial"/>
          <w:sz w:val="18"/>
          <w:szCs w:val="18"/>
          <w:color w:val="auto"/>
        </w:rPr>
        <w:t>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xml:space="preserve"> adopted resolutions amending the Corporation’s Amended and Restated Certificate of Incorporation as follows:</w:t>
      </w:r>
    </w:p>
    <w:p>
      <w:pPr>
        <w:spacing w:after="0" w:line="180"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170" w:lineRule="exact"/>
        <w:rPr>
          <w:sz w:val="20"/>
          <w:szCs w:val="20"/>
          <w:color w:val="auto"/>
        </w:rPr>
      </w:pPr>
    </w:p>
    <w:p>
      <w:pPr>
        <w:ind w:left="340" w:firstLine="324"/>
        <w:spacing w:after="0" w:line="342" w:lineRule="auto"/>
        <w:rPr>
          <w:sz w:val="20"/>
          <w:szCs w:val="20"/>
          <w:color w:val="auto"/>
        </w:rPr>
      </w:pPr>
      <w:r>
        <w:rPr>
          <w:rFonts w:ascii="Arial" w:cs="Arial" w:eastAsia="Arial" w:hAnsi="Arial"/>
          <w:sz w:val="16"/>
          <w:szCs w:val="16"/>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20"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 of the Corporation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approval, and was duly adopted in accordance with the provisions of Sections 222 and 242 of the DGCL.</w:t>
      </w:r>
    </w:p>
    <w:p>
      <w:pPr>
        <w:spacing w:after="0" w:line="16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w:t>
      </w:r>
      <w:r>
        <w:rPr>
          <w:rFonts w:ascii="Arial" w:cs="Arial" w:eastAsia="Arial" w:hAnsi="Arial"/>
          <w:sz w:val="18"/>
          <w:szCs w:val="18"/>
          <w:b w:val="1"/>
          <w:bCs w:val="1"/>
          <w:color w:val="auto"/>
        </w:rPr>
        <w:t xml:space="preserve"> CERTIFICATE OF AMENDMENT </w:t>
      </w:r>
      <w:r>
        <w:rPr>
          <w:rFonts w:ascii="Arial" w:cs="Arial" w:eastAsia="Arial" w:hAnsi="Arial"/>
          <w:sz w:val="18"/>
          <w:szCs w:val="18"/>
          <w:color w:val="auto"/>
        </w:rPr>
        <w:t>to be signed by its Chief Executive Officer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19th day of July, 2012.</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85950" cy="6000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885950" cy="600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DESIGNATIONS, PREFERENCES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RIGHTS OF SERIES A CONVERTIBLE PREFERRED STOCK</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Vringo, Inc.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a corporation organized and existing under the General Corporation Law of the State of Delaware (the </w:t>
      </w:r>
      <w:r>
        <w:rPr>
          <w:rFonts w:ascii="Arial" w:cs="Arial" w:eastAsia="Arial" w:hAnsi="Arial"/>
          <w:sz w:val="16"/>
          <w:szCs w:val="16"/>
          <w:b w:val="1"/>
          <w:bCs w:val="1"/>
          <w:color w:val="auto"/>
        </w:rPr>
        <w:t xml:space="preserve">“DGCL”), </w:t>
      </w:r>
      <w:r>
        <w:rPr>
          <w:rFonts w:ascii="Arial" w:cs="Arial" w:eastAsia="Arial" w:hAnsi="Arial"/>
          <w:sz w:val="16"/>
          <w:szCs w:val="16"/>
          <w:color w:val="auto"/>
        </w:rPr>
        <w:t>does hereby certify that, pursuant to authority conferred upon the Board of Directors of the Corporation (the</w:t>
      </w:r>
      <w:r>
        <w:rPr>
          <w:rFonts w:ascii="Arial" w:cs="Arial" w:eastAsia="Arial" w:hAnsi="Arial"/>
          <w:sz w:val="16"/>
          <w:szCs w:val="16"/>
          <w:b w:val="1"/>
          <w:bCs w:val="1"/>
          <w:color w:val="auto"/>
        </w:rPr>
        <w:t xml:space="preserve"> “Board”) </w:t>
      </w:r>
      <w:r>
        <w:rPr>
          <w:rFonts w:ascii="Arial" w:cs="Arial" w:eastAsia="Arial" w:hAnsi="Arial"/>
          <w:sz w:val="16"/>
          <w:szCs w:val="16"/>
          <w:color w:val="auto"/>
        </w:rPr>
        <w:t>by the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Certificate of Incorporation, as amended, of the Corporation, and pursuant to Sections 151 and 141 of the DGCL, the Board adopted resolutions</w:t>
      </w:r>
    </w:p>
    <w:p>
      <w:pPr>
        <w:spacing w:after="0" w:line="2" w:lineRule="exact"/>
        <w:rPr>
          <w:sz w:val="20"/>
          <w:szCs w:val="20"/>
          <w:color w:val="auto"/>
        </w:rPr>
      </w:pPr>
    </w:p>
    <w:p>
      <w:pPr>
        <w:jc w:val="both"/>
        <w:ind w:firstLine="8"/>
        <w:spacing w:after="0" w:line="255" w:lineRule="auto"/>
        <w:tabs>
          <w:tab w:leader="none" w:pos="2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RESOLVED, that the Corporation is authorized to issue six thousand nine hundred and sixty eight (6,968) shares of Series A Convertible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xml:space="preserve"> par value $0.01 per share, which shall have the following powers, designations, preferences and other special rights:</w:t>
      </w:r>
    </w:p>
    <w:p>
      <w:pPr>
        <w:spacing w:after="0" w:line="184" w:lineRule="exact"/>
        <w:rPr>
          <w:sz w:val="20"/>
          <w:szCs w:val="20"/>
          <w:color w:val="auto"/>
        </w:rPr>
      </w:pPr>
    </w:p>
    <w:p>
      <w:pPr>
        <w:jc w:val="both"/>
        <w:ind w:firstLine="656"/>
        <w:spacing w:after="0" w:line="259" w:lineRule="auto"/>
        <w:tabs>
          <w:tab w:leader="none" w:pos="141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53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xml:space="preserve">. The Series A Preferred Stock shall rank prior and superior to all of the common stock, par value $0.01 per share, of the Corporation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jc w:val="both"/>
        <w:ind w:left="-20" w:firstLine="656"/>
        <w:spacing w:after="0" w:line="267" w:lineRule="auto"/>
        <w:tabs>
          <w:tab w:leader="none" w:pos="134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From and after the first date of issuance of any shares of Series A Preferred Stock (the </w:t>
      </w:r>
      <w:r>
        <w:rPr>
          <w:rFonts w:ascii="Arial" w:cs="Arial" w:eastAsia="Arial" w:hAnsi="Arial"/>
          <w:sz w:val="17"/>
          <w:szCs w:val="17"/>
          <w:b w:val="1"/>
          <w:bCs w:val="1"/>
          <w:color w:val="auto"/>
        </w:rPr>
        <w:t>“Initial Issuance Date”),</w:t>
      </w:r>
      <w:r>
        <w:rPr>
          <w:rFonts w:ascii="Arial" w:cs="Arial" w:eastAsia="Arial" w:hAnsi="Arial"/>
          <w:sz w:val="17"/>
          <w:szCs w:val="17"/>
          <w:color w:val="auto"/>
        </w:rPr>
        <w:t xml:space="preserve"> the holders of Series A Preferred Stock (each, a </w:t>
      </w:r>
      <w:r>
        <w:rPr>
          <w:rFonts w:ascii="Arial" w:cs="Arial" w:eastAsia="Arial" w:hAnsi="Arial"/>
          <w:sz w:val="17"/>
          <w:szCs w:val="17"/>
          <w:b w:val="1"/>
          <w:bCs w:val="1"/>
          <w:color w:val="auto"/>
        </w:rPr>
        <w:t>“Holder”</w:t>
      </w:r>
      <w:r>
        <w:rPr>
          <w:rFonts w:ascii="Arial" w:cs="Arial" w:eastAsia="Arial" w:hAnsi="Arial"/>
          <w:sz w:val="17"/>
          <w:szCs w:val="17"/>
          <w:color w:val="auto"/>
        </w:rPr>
        <w:t xml:space="preserve"> and collectively, the </w:t>
      </w:r>
      <w:r>
        <w:rPr>
          <w:rFonts w:ascii="Arial" w:cs="Arial" w:eastAsia="Arial" w:hAnsi="Arial"/>
          <w:sz w:val="17"/>
          <w:szCs w:val="17"/>
          <w:b w:val="1"/>
          <w:bCs w:val="1"/>
          <w:color w:val="auto"/>
        </w:rPr>
        <w:t>“Holders”)</w:t>
      </w:r>
      <w:r>
        <w:rPr>
          <w:rFonts w:ascii="Arial" w:cs="Arial" w:eastAsia="Arial" w:hAnsi="Arial"/>
          <w:sz w:val="17"/>
          <w:szCs w:val="17"/>
          <w:color w:val="auto"/>
        </w:rPr>
        <w:t xml:space="preserve">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7"/>
          <w:szCs w:val="17"/>
          <w:b w:val="1"/>
          <w:bCs w:val="1"/>
          <w:color w:val="auto"/>
        </w:rPr>
        <w:t>“Junior Stock”)</w:t>
      </w:r>
      <w:r>
        <w:rPr>
          <w:rFonts w:ascii="Arial" w:cs="Arial" w:eastAsia="Arial" w:hAnsi="Arial"/>
          <w:sz w:val="17"/>
          <w:szCs w:val="17"/>
          <w:color w:val="auto"/>
        </w:rPr>
        <w:t xml:space="preserve"> (if any) (but after and subject to the rights of holders of Senior Preferred Stock (as defined below), if any, and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rights of holders of capital stock of the Corporation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7"/>
          <w:szCs w:val="17"/>
          <w:b w:val="1"/>
          <w:bCs w:val="1"/>
          <w:color w:val="auto"/>
        </w:rPr>
        <w:t>“Pari</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Passu Stock”) </w:t>
      </w:r>
      <w:r>
        <w:rPr>
          <w:rFonts w:ascii="Arial" w:cs="Arial" w:eastAsia="Arial" w:hAnsi="Arial"/>
          <w:sz w:val="17"/>
          <w:szCs w:val="17"/>
          <w:color w:val="auto"/>
        </w:rPr>
        <w:t>(if any)), to the same extent as if such Holders had converted the Series A Preferred Stock into Common Stock (without regard to any</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on conversion herein or elsewhere) and had held such shares of Common Stock on the record date for such dividends and distributions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 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189" w:lineRule="exact"/>
        <w:rPr>
          <w:rFonts w:ascii="Arial" w:cs="Arial" w:eastAsia="Arial" w:hAnsi="Arial"/>
          <w:sz w:val="17"/>
          <w:szCs w:val="17"/>
          <w:color w:val="auto"/>
        </w:rPr>
      </w:pPr>
    </w:p>
    <w:p>
      <w:pPr>
        <w:jc w:val="both"/>
        <w:ind w:left="-20" w:firstLine="656"/>
        <w:spacing w:after="0" w:line="268" w:lineRule="auto"/>
        <w:tabs>
          <w:tab w:leader="none" w:pos="154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7"/>
          <w:szCs w:val="17"/>
          <w:b w:val="1"/>
          <w:bCs w:val="1"/>
          <w:color w:val="auto"/>
        </w:rPr>
        <w:t>“Senior Preferred Stock”)</w:t>
      </w:r>
      <w:r>
        <w:rPr>
          <w:rFonts w:ascii="Arial" w:cs="Arial" w:eastAsia="Arial" w:hAnsi="Arial"/>
          <w:sz w:val="17"/>
          <w:szCs w:val="17"/>
          <w:color w:val="auto"/>
        </w:rPr>
        <w:t xml:space="preserve">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7"/>
          <w:szCs w:val="17"/>
          <w:b w:val="1"/>
          <w:bCs w:val="1"/>
          <w:color w:val="auto"/>
        </w:rPr>
        <w:t>“Stated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Value” </w:t>
      </w:r>
      <w:r>
        <w:rPr>
          <w:rFonts w:ascii="Arial" w:cs="Arial" w:eastAsia="Arial" w:hAnsi="Arial"/>
          <w:sz w:val="17"/>
          <w:szCs w:val="17"/>
          <w:color w:val="auto"/>
        </w:rPr>
        <w:t>shall mean one thousand dollars ($1,000) per share, subject to adjustment for stock splits, stock dividends, recapitalizations, reorganizations,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reclassifications, combinations, reverse stock splits or other similar events relating to the Series A Preferred Stock after the Initial Issuance Date. For purposes of this Certificate of Designations, a </w:t>
      </w:r>
      <w:r>
        <w:rPr>
          <w:rFonts w:ascii="Arial" w:cs="Arial" w:eastAsia="Arial" w:hAnsi="Arial"/>
          <w:sz w:val="17"/>
          <w:szCs w:val="17"/>
          <w:b w:val="1"/>
          <w:bCs w:val="1"/>
          <w:color w:val="auto"/>
        </w:rPr>
        <w:t>“Liquidation Event”</w:t>
      </w:r>
      <w:r>
        <w:rPr>
          <w:rFonts w:ascii="Arial" w:cs="Arial" w:eastAsia="Arial" w:hAnsi="Arial"/>
          <w:sz w:val="17"/>
          <w:szCs w:val="17"/>
          <w:color w:val="auto"/>
        </w:rPr>
        <w:t xml:space="preserve">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14" w:name="page115"/>
    <w:bookmarkEnd w:id="114"/>
    <w:p>
      <w:pPr>
        <w:ind w:left="1000" w:hanging="684"/>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Fundamental Transactions; Put Triggering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656"/>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firstLine="1612"/>
        <w:spacing w:after="0" w:line="282" w:lineRule="auto"/>
        <w:tabs>
          <w:tab w:leader="none" w:pos="2321"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other day on which commercial banks in The City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are authorized or required by law to remain closed.</w:t>
      </w:r>
    </w:p>
    <w:p>
      <w:pPr>
        <w:spacing w:after="0" w:line="161" w:lineRule="exact"/>
        <w:rPr>
          <w:rFonts w:ascii="Arial" w:cs="Arial" w:eastAsia="Arial" w:hAnsi="Arial"/>
          <w:sz w:val="18"/>
          <w:szCs w:val="18"/>
          <w:color w:val="auto"/>
        </w:rPr>
      </w:pPr>
    </w:p>
    <w:p>
      <w:pPr>
        <w:jc w:val="both"/>
        <w:ind w:firstLine="1612"/>
        <w:spacing w:after="0" w:line="266" w:lineRule="auto"/>
        <w:tabs>
          <w:tab w:leader="none" w:pos="2258" w:val="left"/>
        </w:tabs>
        <w:numPr>
          <w:ilvl w:val="2"/>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“Cash Conversion Amount” </w:t>
      </w:r>
      <w:r>
        <w:rPr>
          <w:rFonts w:ascii="Arial" w:cs="Arial" w:eastAsia="Arial" w:hAnsi="Arial"/>
          <w:sz w:val="18"/>
          <w:szCs w:val="18"/>
          <w:color w:val="auto"/>
        </w:rPr>
        <w:t>means the product of (A) the percentage of the consideration in the Put Triggering Event</w:t>
      </w:r>
      <w:r>
        <w:rPr>
          <w:rFonts w:ascii="Arial" w:cs="Arial" w:eastAsia="Arial" w:hAnsi="Arial"/>
          <w:sz w:val="18"/>
          <w:szCs w:val="18"/>
          <w:b w:val="1"/>
          <w:bCs w:val="1"/>
          <w:color w:val="auto"/>
        </w:rPr>
        <w:t xml:space="preserve"> </w:t>
      </w:r>
      <w:r>
        <w:rPr>
          <w:rFonts w:ascii="Arial" w:cs="Arial" w:eastAsia="Arial" w:hAnsi="Arial"/>
          <w:sz w:val="18"/>
          <w:szCs w:val="18"/>
          <w:color w:val="auto"/>
        </w:rPr>
        <w:t>(in relation to all consideration being paid in such Put Triggering Event) being paid in cash multiplied by (B) the Conversion Amount as to which a Put Triggering Event Redemption Notice is being delivered.</w:t>
      </w:r>
    </w:p>
    <w:p>
      <w:pPr>
        <w:spacing w:after="0" w:line="176" w:lineRule="exact"/>
        <w:rPr>
          <w:sz w:val="20"/>
          <w:szCs w:val="20"/>
          <w:color w:val="auto"/>
        </w:rPr>
      </w:pPr>
    </w:p>
    <w:p>
      <w:pPr>
        <w:ind w:left="2240" w:hanging="592"/>
        <w:spacing w:after="0"/>
        <w:tabs>
          <w:tab w:leader="none" w:pos="2240"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ind w:right="20" w:firstLine="1612"/>
        <w:spacing w:after="0" w:line="282" w:lineRule="auto"/>
        <w:tabs>
          <w:tab w:leader="none" w:pos="22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“Eligible Market” </w:t>
      </w:r>
      <w:r>
        <w:rPr>
          <w:rFonts w:ascii="Arial" w:cs="Arial" w:eastAsia="Arial" w:hAnsi="Arial"/>
          <w:sz w:val="18"/>
          <w:szCs w:val="18"/>
          <w:color w:val="auto"/>
        </w:rPr>
        <w:t>means The New York Stock Exchange, Inc., the NYSE MKT, The NASDAQ Global Select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The NASDAQ Global Market or The NASDAQ Capital Market.</w:t>
      </w:r>
    </w:p>
    <w:p>
      <w:pPr>
        <w:spacing w:after="0" w:line="161" w:lineRule="exact"/>
        <w:rPr>
          <w:rFonts w:ascii="Arial" w:cs="Arial" w:eastAsia="Arial" w:hAnsi="Arial"/>
          <w:sz w:val="18"/>
          <w:szCs w:val="18"/>
          <w:color w:val="auto"/>
        </w:rPr>
      </w:pPr>
    </w:p>
    <w:p>
      <w:pPr>
        <w:jc w:val="both"/>
        <w:ind w:firstLine="1612"/>
        <w:spacing w:after="0" w:line="256" w:lineRule="auto"/>
        <w:tabs>
          <w:tab w:leader="none" w:pos="245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means any Fundamental Transaction other than (A) any reorganization, recapitalization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187" w:lineRule="exact"/>
        <w:rPr>
          <w:rFonts w:ascii="Arial" w:cs="Arial" w:eastAsia="Arial" w:hAnsi="Arial"/>
          <w:sz w:val="18"/>
          <w:szCs w:val="18"/>
          <w:color w:val="auto"/>
        </w:rPr>
      </w:pPr>
    </w:p>
    <w:p>
      <w:pPr>
        <w:jc w:val="both"/>
        <w:ind w:firstLine="1612"/>
        <w:spacing w:after="0" w:line="261" w:lineRule="auto"/>
        <w:tabs>
          <w:tab w:leader="none" w:pos="225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“Eligible Successor Common Stock” </w:t>
      </w:r>
      <w:r>
        <w:rPr>
          <w:rFonts w:ascii="Arial" w:cs="Arial" w:eastAsia="Arial" w:hAnsi="Arial"/>
          <w:sz w:val="18"/>
          <w:szCs w:val="18"/>
          <w:color w:val="auto"/>
        </w:rPr>
        <w:t>means common stock of a Successor Entity that is a publicly traded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15" w:name="page116"/>
    <w:bookmarkEnd w:id="115"/>
    <w:p>
      <w:pPr>
        <w:jc w:val="both"/>
        <w:ind w:firstLine="1612"/>
        <w:spacing w:after="0" w:line="287" w:lineRule="auto"/>
        <w:tabs>
          <w:tab w:leader="none" w:pos="2245"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“Fundamental Transaction” </w:t>
      </w:r>
      <w:r>
        <w:rPr>
          <w:rFonts w:ascii="Arial" w:cs="Arial" w:eastAsia="Arial" w:hAnsi="Arial"/>
          <w:sz w:val="16"/>
          <w:szCs w:val="16"/>
          <w:color w:val="auto"/>
        </w:rPr>
        <w:t>means that the Corporation shall (or in the case of clause (F) any “person” or “group” (as</w:t>
      </w:r>
      <w:r>
        <w:rPr>
          <w:rFonts w:ascii="Arial" w:cs="Arial" w:eastAsia="Arial" w:hAnsi="Arial"/>
          <w:sz w:val="16"/>
          <w:szCs w:val="16"/>
          <w:b w:val="1"/>
          <w:bCs w:val="1"/>
          <w:color w:val="auto"/>
        </w:rPr>
        <w:t xml:space="preserve"> </w:t>
      </w:r>
      <w:r>
        <w:rPr>
          <w:rFonts w:ascii="Arial" w:cs="Arial" w:eastAsia="Arial" w:hAnsi="Arial"/>
          <w:sz w:val="16"/>
          <w:szCs w:val="16"/>
          <w:color w:val="auto"/>
        </w:rPr>
        <w:t>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167" w:lineRule="exact"/>
        <w:rPr>
          <w:rFonts w:ascii="Arial" w:cs="Arial" w:eastAsia="Arial" w:hAnsi="Arial"/>
          <w:sz w:val="16"/>
          <w:szCs w:val="16"/>
          <w:color w:val="auto"/>
        </w:rPr>
      </w:pPr>
    </w:p>
    <w:p>
      <w:pPr>
        <w:jc w:val="both"/>
        <w:ind w:firstLine="1612"/>
        <w:spacing w:after="0" w:line="289" w:lineRule="auto"/>
        <w:tabs>
          <w:tab w:leader="none" w:pos="2371"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“Parent Entity” </w:t>
      </w:r>
      <w:r>
        <w:rPr>
          <w:rFonts w:ascii="Arial" w:cs="Arial" w:eastAsia="Arial" w:hAnsi="Arial"/>
          <w:sz w:val="17"/>
          <w:szCs w:val="17"/>
          <w:color w:val="auto"/>
        </w:rPr>
        <w:t>of a Person means an entity that, directly or indirectly, controls the applicable Person and whose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7" w:lineRule="exact"/>
        <w:rPr>
          <w:rFonts w:ascii="Arial" w:cs="Arial" w:eastAsia="Arial" w:hAnsi="Arial"/>
          <w:sz w:val="17"/>
          <w:szCs w:val="17"/>
          <w:color w:val="auto"/>
        </w:rPr>
      </w:pPr>
    </w:p>
    <w:p>
      <w:pPr>
        <w:jc w:val="both"/>
        <w:ind w:firstLine="1612"/>
        <w:spacing w:after="0" w:line="261" w:lineRule="auto"/>
        <w:tabs>
          <w:tab w:leader="none" w:pos="236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“Put Triggering Event” </w:t>
      </w:r>
      <w:r>
        <w:rPr>
          <w:rFonts w:ascii="Arial" w:cs="Arial" w:eastAsia="Arial" w:hAnsi="Arial"/>
          <w:sz w:val="18"/>
          <w:szCs w:val="18"/>
          <w:color w:val="auto"/>
        </w:rPr>
        <w:t>means any Change of Control other than one in which a Successor Entity that is a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179" w:lineRule="exact"/>
        <w:rPr>
          <w:rFonts w:ascii="Arial" w:cs="Arial" w:eastAsia="Arial" w:hAnsi="Arial"/>
          <w:sz w:val="18"/>
          <w:szCs w:val="18"/>
          <w:color w:val="auto"/>
        </w:rPr>
      </w:pPr>
    </w:p>
    <w:p>
      <w:pPr>
        <w:ind w:left="2280" w:hanging="668"/>
        <w:spacing w:after="0"/>
        <w:tabs>
          <w:tab w:leader="none" w:pos="22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“Required Holders” </w:t>
      </w:r>
      <w:r>
        <w:rPr>
          <w:rFonts w:ascii="Arial" w:cs="Arial" w:eastAsia="Arial" w:hAnsi="Arial"/>
          <w:sz w:val="16"/>
          <w:szCs w:val="16"/>
          <w:color w:val="auto"/>
        </w:rPr>
        <w:t>means the holders of record of a majority of the outstanding shares of Series A Preferred Stock.</w:t>
      </w:r>
    </w:p>
    <w:p>
      <w:pPr>
        <w:spacing w:after="0" w:line="248" w:lineRule="exact"/>
        <w:rPr>
          <w:rFonts w:ascii="Arial" w:cs="Arial" w:eastAsia="Arial" w:hAnsi="Arial"/>
          <w:sz w:val="16"/>
          <w:szCs w:val="16"/>
          <w:color w:val="auto"/>
        </w:rPr>
      </w:pPr>
    </w:p>
    <w:p>
      <w:pPr>
        <w:jc w:val="both"/>
        <w:ind w:firstLine="1612"/>
        <w:spacing w:after="0" w:line="289" w:lineRule="auto"/>
        <w:tabs>
          <w:tab w:leader="none" w:pos="2325"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“Securities Conversion Amount” </w:t>
      </w:r>
      <w:r>
        <w:rPr>
          <w:rFonts w:ascii="Arial" w:cs="Arial" w:eastAsia="Arial" w:hAnsi="Arial"/>
          <w:sz w:val="17"/>
          <w:szCs w:val="17"/>
          <w:color w:val="auto"/>
        </w:rPr>
        <w:t>means the product of (A) the percentage of the consideration in the Put Triggering</w:t>
      </w:r>
      <w:r>
        <w:rPr>
          <w:rFonts w:ascii="Arial" w:cs="Arial" w:eastAsia="Arial" w:hAnsi="Arial"/>
          <w:sz w:val="17"/>
          <w:szCs w:val="17"/>
          <w:b w:val="1"/>
          <w:bCs w:val="1"/>
          <w:color w:val="auto"/>
        </w:rPr>
        <w:t xml:space="preserve"> </w:t>
      </w:r>
      <w:r>
        <w:rPr>
          <w:rFonts w:ascii="Arial" w:cs="Arial" w:eastAsia="Arial" w:hAnsi="Arial"/>
          <w:sz w:val="17"/>
          <w:szCs w:val="17"/>
          <w:color w:val="auto"/>
        </w:rPr>
        <w:t>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157" w:lineRule="exact"/>
        <w:rPr>
          <w:rFonts w:ascii="Arial" w:cs="Arial" w:eastAsia="Arial" w:hAnsi="Arial"/>
          <w:sz w:val="17"/>
          <w:szCs w:val="17"/>
          <w:color w:val="auto"/>
        </w:rPr>
      </w:pPr>
    </w:p>
    <w:p>
      <w:pPr>
        <w:jc w:val="both"/>
        <w:ind w:firstLine="1612"/>
        <w:spacing w:after="0" w:line="261" w:lineRule="auto"/>
        <w:tabs>
          <w:tab w:leader="none" w:pos="242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“Successor Entity” </w:t>
      </w:r>
      <w:r>
        <w:rPr>
          <w:rFonts w:ascii="Arial" w:cs="Arial" w:eastAsia="Arial" w:hAnsi="Arial"/>
          <w:sz w:val="18"/>
          <w:szCs w:val="18"/>
          <w:color w:val="auto"/>
        </w:rPr>
        <w:t>means the Person, which may be the Corporation, formed by, resulting from or surviving any</w:t>
      </w:r>
      <w:r>
        <w:rPr>
          <w:rFonts w:ascii="Arial" w:cs="Arial" w:eastAsia="Arial" w:hAnsi="Arial"/>
          <w:sz w:val="18"/>
          <w:szCs w:val="18"/>
          <w:b w:val="1"/>
          <w:bCs w:val="1"/>
          <w:color w:val="auto"/>
        </w:rPr>
        <w:t xml:space="preserve"> </w:t>
      </w:r>
      <w:r>
        <w:rPr>
          <w:rFonts w:ascii="Arial" w:cs="Arial" w:eastAsia="Arial" w:hAnsi="Arial"/>
          <w:sz w:val="18"/>
          <w:szCs w:val="18"/>
          <w:color w:val="auto"/>
        </w:rPr>
        <w:t>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79" w:lineRule="exact"/>
        <w:rPr>
          <w:rFonts w:ascii="Arial" w:cs="Arial" w:eastAsia="Arial" w:hAnsi="Arial"/>
          <w:sz w:val="18"/>
          <w:szCs w:val="18"/>
          <w:color w:val="auto"/>
        </w:rPr>
      </w:pPr>
    </w:p>
    <w:p>
      <w:pPr>
        <w:jc w:val="both"/>
        <w:ind w:firstLine="1612"/>
        <w:spacing w:after="0" w:line="266" w:lineRule="auto"/>
        <w:tabs>
          <w:tab w:leader="none" w:pos="241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“Successor Entity Conversion Amount” </w:t>
      </w:r>
      <w:r>
        <w:rPr>
          <w:rFonts w:ascii="Arial" w:cs="Arial" w:eastAsia="Arial" w:hAnsi="Arial"/>
          <w:sz w:val="18"/>
          <w:szCs w:val="18"/>
          <w:color w:val="auto"/>
        </w:rPr>
        <w:t>means the product of (A) the percentage of the consideration in the Put</w:t>
      </w:r>
      <w:r>
        <w:rPr>
          <w:rFonts w:ascii="Arial" w:cs="Arial" w:eastAsia="Arial" w:hAnsi="Arial"/>
          <w:sz w:val="18"/>
          <w:szCs w:val="18"/>
          <w:b w:val="1"/>
          <w:bCs w:val="1"/>
          <w:color w:val="auto"/>
        </w:rPr>
        <w:t xml:space="preserve"> </w:t>
      </w:r>
      <w:r>
        <w:rPr>
          <w:rFonts w:ascii="Arial" w:cs="Arial" w:eastAsia="Arial" w:hAnsi="Arial"/>
          <w:sz w:val="18"/>
          <w:szCs w:val="18"/>
          <w:color w:val="auto"/>
        </w:rPr>
        <w:t>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39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16" w:name="page117"/>
    <w:bookmarkEnd w:id="116"/>
    <w:p>
      <w:pPr>
        <w:jc w:val="both"/>
        <w:ind w:left="320" w:firstLine="1612"/>
        <w:spacing w:after="0" w:line="274" w:lineRule="auto"/>
        <w:tabs>
          <w:tab w:leader="none" w:pos="2668" w:val="left"/>
        </w:tabs>
        <w:numPr>
          <w:ilvl w:val="1"/>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“Trading Day” </w:t>
      </w:r>
      <w:r>
        <w:rPr>
          <w:rFonts w:ascii="Arial" w:cs="Arial" w:eastAsia="Arial" w:hAnsi="Arial"/>
          <w:sz w:val="17"/>
          <w:szCs w:val="17"/>
          <w:color w:val="auto"/>
        </w:rPr>
        <w:t>means any day on which the Common Stock is traded on the Principal Market, or, if the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3" w:lineRule="exact"/>
        <w:rPr>
          <w:rFonts w:ascii="Arial" w:cs="Arial" w:eastAsia="Arial" w:hAnsi="Arial"/>
          <w:sz w:val="17"/>
          <w:szCs w:val="17"/>
          <w:color w:val="auto"/>
        </w:rPr>
      </w:pPr>
    </w:p>
    <w:p>
      <w:pPr>
        <w:jc w:val="both"/>
        <w:ind w:left="320" w:firstLine="1612"/>
        <w:spacing w:after="0" w:line="314" w:lineRule="auto"/>
        <w:tabs>
          <w:tab w:leader="none" w:pos="2554"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“Voting Stock” </w:t>
      </w:r>
      <w:r>
        <w:rPr>
          <w:rFonts w:ascii="Arial" w:cs="Arial" w:eastAsia="Arial" w:hAnsi="Arial"/>
          <w:sz w:val="16"/>
          <w:szCs w:val="16"/>
          <w:color w:val="auto"/>
        </w:rPr>
        <w:t>means capital stock of the class or classes pursuant to which the holders thereof have the general voting</w:t>
      </w:r>
      <w:r>
        <w:rPr>
          <w:rFonts w:ascii="Arial" w:cs="Arial" w:eastAsia="Arial" w:hAnsi="Arial"/>
          <w:sz w:val="16"/>
          <w:szCs w:val="16"/>
          <w:b w:val="1"/>
          <w:bCs w:val="1"/>
          <w:color w:val="auto"/>
        </w:rPr>
        <w:t xml:space="preserve"> </w:t>
      </w:r>
      <w:r>
        <w:rPr>
          <w:rFonts w:ascii="Arial" w:cs="Arial" w:eastAsia="Arial" w:hAnsi="Arial"/>
          <w:sz w:val="16"/>
          <w:szCs w:val="16"/>
          <w:color w:val="auto"/>
        </w:rPr>
        <w:t>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145" w:lineRule="exact"/>
        <w:rPr>
          <w:rFonts w:ascii="Arial" w:cs="Arial" w:eastAsia="Arial" w:hAnsi="Arial"/>
          <w:sz w:val="16"/>
          <w:szCs w:val="16"/>
          <w:color w:val="auto"/>
        </w:rPr>
      </w:pPr>
    </w:p>
    <w:p>
      <w:pPr>
        <w:jc w:val="both"/>
        <w:ind w:left="-20" w:firstLine="1304"/>
        <w:spacing w:after="0" w:line="284" w:lineRule="auto"/>
        <w:tabs>
          <w:tab w:leader="none" w:pos="211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17" w:name="page118"/>
    <w:bookmarkEnd w:id="117"/>
    <w:p>
      <w:pPr>
        <w:jc w:val="both"/>
        <w:ind w:left="-20" w:firstLine="1304"/>
        <w:spacing w:after="0" w:line="283" w:lineRule="auto"/>
        <w:tabs>
          <w:tab w:leader="none" w:pos="205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Put Triggering Event</w:t>
      </w:r>
      <w:r>
        <w:rPr>
          <w:rFonts w:ascii="Arial" w:cs="Arial" w:eastAsia="Arial" w:hAnsi="Arial"/>
          <w:sz w:val="16"/>
          <w:szCs w:val="16"/>
          <w:color w:val="auto"/>
        </w:rPr>
        <w:t xml:space="preserve">.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xml:space="preserve">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6"/>
          <w:szCs w:val="16"/>
          <w:b w:val="1"/>
          <w:bCs w:val="1"/>
          <w:color w:val="auto"/>
        </w:rPr>
        <w:t>“Put Triggering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Event Redemption Notice Date”) </w:t>
      </w:r>
      <w:r>
        <w:rPr>
          <w:rFonts w:ascii="Arial" w:cs="Arial" w:eastAsia="Arial" w:hAnsi="Arial"/>
          <w:sz w:val="16"/>
          <w:szCs w:val="16"/>
          <w:color w:val="auto"/>
        </w:rPr>
        <w:t>written notice thereof</w:t>
      </w:r>
      <w:r>
        <w:rPr>
          <w:rFonts w:ascii="Arial" w:cs="Arial" w:eastAsia="Arial" w:hAnsi="Arial"/>
          <w:sz w:val="16"/>
          <w:szCs w:val="16"/>
          <w:b w:val="1"/>
          <w:bCs w:val="1"/>
          <w:color w:val="auto"/>
        </w:rPr>
        <w:t xml:space="preserve"> (“Put Triggering Event Redemption Notice”) </w:t>
      </w:r>
      <w:r>
        <w:rPr>
          <w:rFonts w:ascii="Arial" w:cs="Arial" w:eastAsia="Arial" w:hAnsi="Arial"/>
          <w:sz w:val="16"/>
          <w:szCs w:val="16"/>
          <w:color w:val="auto"/>
        </w:rPr>
        <w:t>to the Corporation, which Put Triggering Event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w:t>
      </w:r>
      <w:r>
        <w:rPr>
          <w:rFonts w:ascii="Arial" w:cs="Arial" w:eastAsia="Arial" w:hAnsi="Arial"/>
          <w:sz w:val="16"/>
          <w:szCs w:val="16"/>
          <w:b w:val="1"/>
          <w:bCs w:val="1"/>
          <w:color w:val="auto"/>
        </w:rPr>
        <w:t>(</w:t>
      </w:r>
      <w:r>
        <w:rPr>
          <w:rFonts w:ascii="Arial" w:cs="Arial" w:eastAsia="Arial" w:hAnsi="Arial"/>
          <w:sz w:val="16"/>
          <w:szCs w:val="16"/>
          <w:color w:val="auto"/>
        </w:rPr>
        <w:t>II</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6"/>
          <w:szCs w:val="16"/>
          <w:b w:val="1"/>
          <w:bCs w:val="1"/>
          <w:color w:val="auto"/>
        </w:rPr>
        <w:t>“Put Triggering Event Redemption Price’’),</w:t>
      </w:r>
      <w:r>
        <w:rPr>
          <w:rFonts w:ascii="Arial" w:cs="Arial" w:eastAsia="Arial" w:hAnsi="Arial"/>
          <w:sz w:val="16"/>
          <w:szCs w:val="16"/>
          <w:color w:val="auto"/>
        </w:rPr>
        <w:t xml:space="preserve"> and </w:t>
      </w:r>
      <w:r>
        <w:rPr>
          <w:rFonts w:ascii="Arial" w:cs="Arial" w:eastAsia="Arial" w:hAnsi="Arial"/>
          <w:sz w:val="16"/>
          <w:szCs w:val="16"/>
          <w:b w:val="1"/>
          <w:bCs w:val="1"/>
          <w:color w:val="auto"/>
        </w:rPr>
        <w:t>(</w:t>
      </w:r>
      <w:r>
        <w:rPr>
          <w:rFonts w:ascii="Arial" w:cs="Arial" w:eastAsia="Arial" w:hAnsi="Arial"/>
          <w:sz w:val="16"/>
          <w:szCs w:val="16"/>
          <w:color w:val="auto"/>
        </w:rPr>
        <w:t>III</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6"/>
          <w:szCs w:val="16"/>
          <w:b w:val="1"/>
          <w:bCs w:val="1"/>
          <w:color w:val="auto"/>
        </w:rPr>
        <w:t>“Put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Triggering Event Redemption Date”). </w:t>
      </w:r>
      <w:r>
        <w:rPr>
          <w:rFonts w:ascii="Arial" w:cs="Arial" w:eastAsia="Arial" w:hAnsi="Arial"/>
          <w:sz w:val="16"/>
          <w:szCs w:val="16"/>
          <w:color w:val="auto"/>
        </w:rPr>
        <w:t>To the extent redemptions required by this Section 5(c) are deemed or determined by a court of competent</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8" w:name="page119"/>
    <w:bookmarkEnd w:id="118"/>
    <w:p>
      <w:pPr>
        <w:jc w:val="both"/>
        <w:ind w:left="-20" w:firstLine="1304"/>
        <w:spacing w:after="0" w:line="287" w:lineRule="auto"/>
        <w:tabs>
          <w:tab w:leader="none" w:pos="209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Void Redemption</w:t>
      </w:r>
      <w:r>
        <w:rPr>
          <w:rFonts w:ascii="Arial" w:cs="Arial" w:eastAsia="Arial" w:hAnsi="Arial"/>
          <w:sz w:val="16"/>
          <w:szCs w:val="16"/>
          <w:color w:val="auto"/>
        </w:rPr>
        <w:t xml:space="preserve">.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6"/>
          <w:szCs w:val="16"/>
          <w:b w:val="1"/>
          <w:bCs w:val="1"/>
          <w:color w:val="auto"/>
        </w:rPr>
        <w:t>“Void Redemption Notice”).</w:t>
      </w:r>
      <w:r>
        <w:rPr>
          <w:rFonts w:ascii="Arial" w:cs="Arial" w:eastAsia="Arial" w:hAnsi="Arial"/>
          <w:sz w:val="16"/>
          <w:szCs w:val="16"/>
          <w:color w:val="auto"/>
        </w:rPr>
        <w:t xml:space="preserve">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 (B) 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171" w:lineRule="exact"/>
        <w:rPr>
          <w:rFonts w:ascii="Arial" w:cs="Arial" w:eastAsia="Arial" w:hAnsi="Arial"/>
          <w:sz w:val="16"/>
          <w:szCs w:val="16"/>
          <w:color w:val="auto"/>
        </w:rPr>
      </w:pPr>
    </w:p>
    <w:p>
      <w:pPr>
        <w:jc w:val="both"/>
        <w:ind w:left="-20" w:firstLine="1304"/>
        <w:spacing w:after="0" w:line="259" w:lineRule="auto"/>
        <w:tabs>
          <w:tab w:leader="none" w:pos="196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 dispute as to the determination of the arithmetic calculation of the Put Triggering Event Redemption Price, such dispute shall be resolved pursuant to Section 7(e) with the term “Put Triggering Event Redemption Price”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19" w:name="page120"/>
    <w:bookmarkEnd w:id="119"/>
    <w:p>
      <w:pPr>
        <w:ind w:left="1000" w:hanging="684"/>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656"/>
        <w:spacing w:after="0"/>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jc w:val="both"/>
        <w:ind w:firstLine="1612"/>
        <w:spacing w:after="0" w:line="258" w:lineRule="auto"/>
        <w:tabs>
          <w:tab w:leader="none" w:pos="2415" w:val="left"/>
        </w:tabs>
        <w:numPr>
          <w:ilvl w:val="2"/>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“Contingent Obligation” </w:t>
      </w:r>
      <w:r>
        <w:rPr>
          <w:rFonts w:ascii="Arial" w:cs="Arial" w:eastAsia="Arial" w:hAnsi="Arial"/>
          <w:sz w:val="18"/>
          <w:szCs w:val="18"/>
          <w:color w:val="auto"/>
        </w:rPr>
        <w:t>means, as to any Person, any direct or indirect liability, contingent or otherwise,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83" w:lineRule="exact"/>
        <w:rPr>
          <w:rFonts w:ascii="Arial" w:cs="Arial" w:eastAsia="Arial" w:hAnsi="Arial"/>
          <w:sz w:val="18"/>
          <w:szCs w:val="18"/>
          <w:color w:val="auto"/>
        </w:rPr>
      </w:pPr>
    </w:p>
    <w:p>
      <w:pPr>
        <w:ind w:left="2240" w:hanging="628"/>
        <w:spacing w:after="0"/>
        <w:tabs>
          <w:tab w:leader="none" w:pos="2240" w:val="left"/>
        </w:tabs>
        <w:numPr>
          <w:ilvl w:val="2"/>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firstLine="1612"/>
        <w:spacing w:after="0" w:line="287" w:lineRule="auto"/>
        <w:tabs>
          <w:tab w:leader="none" w:pos="2290" w:val="left"/>
        </w:tabs>
        <w:numPr>
          <w:ilvl w:val="2"/>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of any Person means, without duplication (i) all indebtedness for borrowed money, (ii) all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163" w:lineRule="exact"/>
        <w:rPr>
          <w:rFonts w:ascii="Arial" w:cs="Arial" w:eastAsia="Arial" w:hAnsi="Arial"/>
          <w:sz w:val="16"/>
          <w:szCs w:val="16"/>
          <w:color w:val="auto"/>
        </w:rPr>
      </w:pPr>
    </w:p>
    <w:p>
      <w:pPr>
        <w:ind w:firstLine="1612"/>
        <w:spacing w:after="0" w:line="282" w:lineRule="auto"/>
        <w:tabs>
          <w:tab w:leader="none" w:pos="2375" w:val="left"/>
        </w:tabs>
        <w:numPr>
          <w:ilvl w:val="2"/>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limited liability company, a partnership, a joint venture, a corporation, a trust, an</w:t>
      </w:r>
      <w:r>
        <w:rPr>
          <w:rFonts w:ascii="Arial" w:cs="Arial" w:eastAsia="Arial" w:hAnsi="Arial"/>
          <w:sz w:val="18"/>
          <w:szCs w:val="18"/>
          <w:b w:val="1"/>
          <w:bCs w:val="1"/>
          <w:color w:val="auto"/>
        </w:rPr>
        <w:t xml:space="preserve"> </w:t>
      </w:r>
      <w:r>
        <w:rPr>
          <w:rFonts w:ascii="Arial" w:cs="Arial" w:eastAsia="Arial" w:hAnsi="Arial"/>
          <w:sz w:val="18"/>
          <w:szCs w:val="18"/>
          <w:color w:val="auto"/>
        </w:rPr>
        <w:t>unincorporated organization, any other entity and a government or any department or agency thereof.</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20" w:name="page121"/>
    <w:bookmarkEnd w:id="120"/>
    <w:p>
      <w:pPr>
        <w:jc w:val="both"/>
        <w:ind w:left="-20" w:firstLine="1304"/>
        <w:spacing w:after="0" w:line="270" w:lineRule="auto"/>
        <w:tabs>
          <w:tab w:leader="none" w:pos="197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7"/>
          <w:szCs w:val="17"/>
          <w:b w:val="1"/>
          <w:bCs w:val="1"/>
          <w:color w:val="auto"/>
        </w:rPr>
        <w:t>“Twenty Percent Issuance”).</w:t>
      </w:r>
    </w:p>
    <w:p>
      <w:pPr>
        <w:spacing w:after="0" w:line="180" w:lineRule="exact"/>
        <w:rPr>
          <w:rFonts w:ascii="Arial" w:cs="Arial" w:eastAsia="Arial" w:hAnsi="Arial"/>
          <w:sz w:val="17"/>
          <w:szCs w:val="17"/>
          <w:color w:val="auto"/>
        </w:rPr>
      </w:pPr>
    </w:p>
    <w:p>
      <w:pPr>
        <w:jc w:val="both"/>
        <w:ind w:left="-20" w:right="20" w:firstLine="1304"/>
        <w:spacing w:after="0" w:line="263" w:lineRule="auto"/>
        <w:tabs>
          <w:tab w:leader="none" w:pos="20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183" w:lineRule="exact"/>
        <w:rPr>
          <w:rFonts w:ascii="Arial" w:cs="Arial" w:eastAsia="Arial" w:hAnsi="Arial"/>
          <w:sz w:val="18"/>
          <w:szCs w:val="18"/>
          <w:color w:val="auto"/>
        </w:rPr>
      </w:pPr>
    </w:p>
    <w:p>
      <w:pPr>
        <w:ind w:left="2560" w:hanging="628"/>
        <w:spacing w:after="0"/>
        <w:tabs>
          <w:tab w:leader="none" w:pos="2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225" w:lineRule="exact"/>
        <w:rPr>
          <w:rFonts w:ascii="Arial" w:cs="Arial" w:eastAsia="Arial" w:hAnsi="Arial"/>
          <w:sz w:val="18"/>
          <w:szCs w:val="18"/>
          <w:color w:val="auto"/>
        </w:rPr>
      </w:pPr>
    </w:p>
    <w:p>
      <w:pPr>
        <w:ind w:left="320" w:firstLine="1612"/>
        <w:spacing w:after="0" w:line="277" w:lineRule="auto"/>
        <w:tabs>
          <w:tab w:leader="none" w:pos="26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A Preferred Stock so as to affect adversely the Series A Preferred Stock;</w:t>
      </w:r>
    </w:p>
    <w:p>
      <w:pPr>
        <w:spacing w:after="0" w:line="170" w:lineRule="exact"/>
        <w:rPr>
          <w:rFonts w:ascii="Arial" w:cs="Arial" w:eastAsia="Arial" w:hAnsi="Arial"/>
          <w:sz w:val="18"/>
          <w:szCs w:val="18"/>
          <w:color w:val="auto"/>
        </w:rPr>
      </w:pPr>
    </w:p>
    <w:p>
      <w:pPr>
        <w:jc w:val="both"/>
        <w:ind w:left="320" w:firstLine="1612"/>
        <w:spacing w:after="0" w:line="269" w:lineRule="auto"/>
        <w:tabs>
          <w:tab w:leader="none" w:pos="26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on or prior to the 18th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Vringo Notes (as defined in the Agreement and Plan of Merger, dated as of March 12, 2012 (the </w:t>
      </w:r>
      <w:r>
        <w:rPr>
          <w:rFonts w:ascii="Arial" w:cs="Arial" w:eastAsia="Arial" w:hAnsi="Arial"/>
          <w:sz w:val="17"/>
          <w:szCs w:val="17"/>
          <w:b w:val="1"/>
          <w:bCs w:val="1"/>
          <w:color w:val="auto"/>
        </w:rPr>
        <w:t>“Subscription Date”),</w:t>
      </w:r>
      <w:r>
        <w:rPr>
          <w:rFonts w:ascii="Arial" w:cs="Arial" w:eastAsia="Arial" w:hAnsi="Arial"/>
          <w:sz w:val="17"/>
          <w:szCs w:val="17"/>
          <w:color w:val="auto"/>
        </w:rPr>
        <w:t xml:space="preserve"> by and among Vringo,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xml:space="preserve"> VIP Merger Sub, Inc., a Delaware corporation and wholly owned Subsidiary of Parent, and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Corporation and its Subsidiaries shall be permitted to incur Indebtedness, provided,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1" w:name="page122"/>
    <w:bookmarkEnd w:id="121"/>
    <w:p>
      <w:pPr>
        <w:jc w:val="both"/>
        <w:ind w:left="320" w:firstLine="1612"/>
        <w:spacing w:after="0" w:line="289" w:lineRule="auto"/>
        <w:tabs>
          <w:tab w:leader="none" w:pos="2664" w:val="left"/>
        </w:tabs>
        <w:numPr>
          <w:ilvl w:val="2"/>
          <w:numId w:val="45"/>
        </w:numPr>
        <w:rPr>
          <w:rFonts w:ascii="Arial" w:cs="Arial" w:eastAsia="Arial" w:hAnsi="Arial"/>
          <w:sz w:val="16"/>
          <w:szCs w:val="16"/>
          <w:color w:val="auto"/>
        </w:rPr>
      </w:pPr>
      <w:r>
        <w:rPr>
          <w:rFonts w:ascii="Arial" w:cs="Arial" w:eastAsia="Arial" w:hAnsi="Arial"/>
          <w:sz w:val="16"/>
          <w:szCs w:val="16"/>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 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166" w:lineRule="exact"/>
        <w:rPr>
          <w:rFonts w:ascii="Arial" w:cs="Arial" w:eastAsia="Arial" w:hAnsi="Arial"/>
          <w:sz w:val="16"/>
          <w:szCs w:val="16"/>
          <w:color w:val="auto"/>
        </w:rPr>
      </w:pPr>
    </w:p>
    <w:p>
      <w:pPr>
        <w:jc w:val="both"/>
        <w:ind w:left="-20" w:firstLine="656"/>
        <w:spacing w:after="0" w:line="259" w:lineRule="auto"/>
        <w:tabs>
          <w:tab w:leader="none" w:pos="138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186" w:lineRule="exact"/>
        <w:rPr>
          <w:rFonts w:ascii="Arial" w:cs="Arial" w:eastAsia="Arial" w:hAnsi="Arial"/>
          <w:sz w:val="18"/>
          <w:szCs w:val="18"/>
          <w:color w:val="auto"/>
        </w:rPr>
      </w:pPr>
    </w:p>
    <w:p>
      <w:pPr>
        <w:ind w:left="1940" w:hanging="656"/>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2560" w:hanging="628"/>
        <w:spacing w:after="0"/>
        <w:tabs>
          <w:tab w:leader="none" w:pos="25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2560" w:hanging="628"/>
        <w:spacing w:after="0"/>
        <w:tabs>
          <w:tab w:leader="none" w:pos="25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225" w:lineRule="exact"/>
        <w:rPr>
          <w:rFonts w:ascii="Arial" w:cs="Arial" w:eastAsia="Arial" w:hAnsi="Arial"/>
          <w:sz w:val="18"/>
          <w:szCs w:val="18"/>
          <w:color w:val="auto"/>
        </w:rPr>
      </w:pPr>
    </w:p>
    <w:p>
      <w:pPr>
        <w:ind w:left="2560" w:hanging="628"/>
        <w:spacing w:after="0"/>
        <w:tabs>
          <w:tab w:leader="none" w:pos="25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$.33138918, subject to adjustment as provided herein.</w:t>
      </w:r>
    </w:p>
    <w:p>
      <w:pPr>
        <w:spacing w:after="0" w:line="225" w:lineRule="exact"/>
        <w:rPr>
          <w:rFonts w:ascii="Arial" w:cs="Arial" w:eastAsia="Arial" w:hAnsi="Arial"/>
          <w:sz w:val="18"/>
          <w:szCs w:val="18"/>
          <w:color w:val="auto"/>
        </w:rPr>
      </w:pPr>
    </w:p>
    <w:p>
      <w:pPr>
        <w:ind w:left="320" w:firstLine="1612"/>
        <w:spacing w:after="0" w:line="282" w:lineRule="auto"/>
        <w:tabs>
          <w:tab w:leader="none" w:pos="2614" w:val="left"/>
        </w:tabs>
        <w:numPr>
          <w:ilvl w:val="2"/>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161" w:lineRule="exact"/>
        <w:rPr>
          <w:rFonts w:ascii="Arial" w:cs="Arial" w:eastAsia="Arial" w:hAnsi="Arial"/>
          <w:sz w:val="18"/>
          <w:szCs w:val="18"/>
          <w:color w:val="auto"/>
        </w:rPr>
      </w:pPr>
    </w:p>
    <w:p>
      <w:pPr>
        <w:jc w:val="both"/>
        <w:ind w:left="320" w:firstLine="1612"/>
        <w:spacing w:after="0" w:line="269" w:lineRule="auto"/>
        <w:tabs>
          <w:tab w:leader="none" w:pos="2622" w:val="left"/>
        </w:tabs>
        <w:numPr>
          <w:ilvl w:val="2"/>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2" w:name="page123"/>
    <w:bookmarkEnd w:id="122"/>
    <w:p>
      <w:pPr>
        <w:ind w:right="20" w:firstLine="1304"/>
        <w:spacing w:after="0" w:line="277" w:lineRule="auto"/>
        <w:tabs>
          <w:tab w:leader="none" w:pos="214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The number of shares of Common Stock issuable upon conversion of each share of Series A Preferred Stock pursuant to this Section 7 shall be determined according to the following formula (the </w:t>
      </w:r>
      <w:r>
        <w:rPr>
          <w:rFonts w:ascii="Arial" w:cs="Arial" w:eastAsia="Arial" w:hAnsi="Arial"/>
          <w:sz w:val="18"/>
          <w:szCs w:val="18"/>
          <w:b w:val="1"/>
          <w:bCs w:val="1"/>
          <w:color w:val="auto"/>
        </w:rPr>
        <w:t>“Conversion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320"/>
        <w:spacing w:after="0" w:line="277" w:lineRule="auto"/>
        <w:rPr>
          <w:sz w:val="20"/>
          <w:szCs w:val="20"/>
          <w:color w:val="auto"/>
        </w:rPr>
      </w:pPr>
      <w:r>
        <w:rPr>
          <w:rFonts w:ascii="Arial" w:cs="Arial" w:eastAsia="Arial" w:hAnsi="Arial"/>
          <w:sz w:val="18"/>
          <w:szCs w:val="18"/>
          <w:color w:val="auto"/>
        </w:rPr>
        <w:t>No fractional shares of Common Stock are to be issued upon the conversion of any Series A Preferred Stock, but rather the number of shares of Common Stock to be issued shall be rounded up to the nearest whole number.</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37" w:lineRule="exact"/>
        <w:rPr>
          <w:sz w:val="20"/>
          <w:szCs w:val="20"/>
          <w:color w:val="auto"/>
        </w:rPr>
      </w:pPr>
    </w:p>
    <w:p>
      <w:pPr>
        <w:ind w:left="2000" w:hanging="696"/>
        <w:spacing w:after="0"/>
        <w:tabs>
          <w:tab w:leader="none" w:pos="20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A Preferred Stock shall be conducted in the following manner:</w:t>
      </w:r>
    </w:p>
    <w:p>
      <w:pPr>
        <w:spacing w:after="0" w:line="225" w:lineRule="exact"/>
        <w:rPr>
          <w:rFonts w:ascii="Arial" w:cs="Arial" w:eastAsia="Arial" w:hAnsi="Arial"/>
          <w:sz w:val="18"/>
          <w:szCs w:val="18"/>
          <w:color w:val="auto"/>
        </w:rPr>
      </w:pPr>
    </w:p>
    <w:p>
      <w:pPr>
        <w:jc w:val="both"/>
        <w:ind w:left="680" w:firstLine="1290"/>
        <w:spacing w:after="0" w:line="290" w:lineRule="auto"/>
        <w:tabs>
          <w:tab w:leader="none" w:pos="273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xml:space="preserve">. To convert Series A Preferred Stock into shares of Common Stock on any date (a </w:t>
      </w:r>
      <w:r>
        <w:rPr>
          <w:rFonts w:ascii="Arial" w:cs="Arial" w:eastAsia="Arial" w:hAnsi="Arial"/>
          <w:sz w:val="16"/>
          <w:szCs w:val="16"/>
          <w:b w:val="1"/>
          <w:bCs w:val="1"/>
          <w:color w:val="auto"/>
        </w:rPr>
        <w:t xml:space="preserve">“Conversion Date”), </w:t>
      </w:r>
      <w:r>
        <w:rPr>
          <w:rFonts w:ascii="Arial" w:cs="Arial" w:eastAsia="Arial" w:hAnsi="Arial"/>
          <w:sz w:val="16"/>
          <w:szCs w:val="16"/>
          <w:color w:val="auto"/>
        </w:rPr>
        <w:t>the Holder shall (A) transmit by facsimile (or otherwise deliver), for receipt on or prior to 11:59 p.m., New York City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such date, a copy of a properly completed notice of conversion executed by the registered Holder of the Series A Preferred Stock subject to such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xml:space="preserve"> to the Corporation and if the Corporation has appointed a registered transfer agent, the Corporations registered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xml:space="preserve">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6"/>
          <w:szCs w:val="16"/>
          <w:b w:val="1"/>
          <w:bCs w:val="1"/>
          <w:color w:val="auto"/>
        </w:rPr>
        <w:t>“Preferred Stock Certificates”).</w:t>
      </w:r>
    </w:p>
    <w:p>
      <w:pPr>
        <w:spacing w:after="0" w:line="165" w:lineRule="exact"/>
        <w:rPr>
          <w:rFonts w:ascii="Arial" w:cs="Arial" w:eastAsia="Arial" w:hAnsi="Arial"/>
          <w:sz w:val="16"/>
          <w:szCs w:val="16"/>
          <w:color w:val="auto"/>
        </w:rPr>
      </w:pPr>
    </w:p>
    <w:p>
      <w:pPr>
        <w:jc w:val="both"/>
        <w:ind w:left="680" w:firstLine="1290"/>
        <w:spacing w:after="0" w:line="287" w:lineRule="auto"/>
        <w:tabs>
          <w:tab w:leader="none" w:pos="2641"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two (2) Trading Days, send, via facsimile, a confirmation of receipt of such Conversion Notice to such Holder and the Transfer Agent, if applicable, which confirmation shall constitute an instruction to the Transfer Agent to process such</w:t>
      </w:r>
    </w:p>
    <w:p>
      <w:pPr>
        <w:spacing w:after="0" w:line="2" w:lineRule="exact"/>
        <w:rPr>
          <w:sz w:val="20"/>
          <w:szCs w:val="20"/>
          <w:color w:val="auto"/>
        </w:rPr>
      </w:pPr>
    </w:p>
    <w:p>
      <w:pPr>
        <w:jc w:val="both"/>
        <w:ind w:left="680"/>
        <w:spacing w:after="0" w:line="256" w:lineRule="auto"/>
        <w:rPr>
          <w:sz w:val="20"/>
          <w:szCs w:val="20"/>
          <w:color w:val="auto"/>
        </w:rPr>
      </w:pPr>
      <w:r>
        <w:rPr>
          <w:rFonts w:ascii="Arial" w:cs="Arial" w:eastAsia="Arial" w:hAnsi="Arial"/>
          <w:sz w:val="17"/>
          <w:szCs w:val="17"/>
          <w:color w:val="auto"/>
        </w:rPr>
        <w:t>Conversion Notice in accordance with the terms herein and (B)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Trading Day following the date of receipt by the Corporation of such Conversion Notice (the </w:t>
      </w:r>
      <w:r>
        <w:rPr>
          <w:rFonts w:ascii="Arial" w:cs="Arial" w:eastAsia="Arial" w:hAnsi="Arial"/>
          <w:sz w:val="17"/>
          <w:szCs w:val="17"/>
          <w:b w:val="1"/>
          <w:bCs w:val="1"/>
          <w:color w:val="auto"/>
        </w:rPr>
        <w:t>“Share Delivery Date”),</w:t>
      </w:r>
      <w:r>
        <w:rPr>
          <w:rFonts w:ascii="Arial" w:cs="Arial" w:eastAsia="Arial" w:hAnsi="Arial"/>
          <w:sz w:val="17"/>
          <w:szCs w:val="17"/>
          <w:color w:val="auto"/>
        </w:rPr>
        <w:t xml:space="preserv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7"/>
          <w:szCs w:val="17"/>
          <w:b w:val="1"/>
          <w:bCs w:val="1"/>
          <w:color w:val="auto"/>
        </w:rPr>
        <w:t>“Preferred Stock Delivery Date”)</w:t>
      </w:r>
      <w:r>
        <w:rPr>
          <w:rFonts w:ascii="Arial" w:cs="Arial" w:eastAsia="Arial" w:hAnsi="Arial"/>
          <w:sz w:val="17"/>
          <w:szCs w:val="17"/>
          <w:color w:val="auto"/>
        </w:rPr>
        <w:t xml:space="preserve"> and at its own expense, issue and deliver to the Holder a new Preferred Stock Certificate representing the number of shares of Series A Preferred Stock not converted.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left="1480" w:hanging="630"/>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80" w:firstLine="1300"/>
        <w:spacing w:after="0" w:line="268" w:lineRule="auto"/>
        <w:tabs>
          <w:tab w:leader="none" w:pos="2266"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Cash Damages</w:t>
      </w:r>
      <w:r>
        <w:rPr>
          <w:rFonts w:ascii="Arial" w:cs="Arial" w:eastAsia="Arial" w:hAnsi="Arial"/>
          <w:sz w:val="17"/>
          <w:szCs w:val="17"/>
          <w:color w:val="auto"/>
        </w:rPr>
        <w:t xml:space="preserve">.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7"/>
          <w:szCs w:val="17"/>
          <w:b w:val="1"/>
          <w:bCs w:val="1"/>
          <w:color w:val="auto"/>
        </w:rPr>
        <w:t>“Conversion Failure”),</w:t>
      </w:r>
      <w:r>
        <w:rPr>
          <w:rFonts w:ascii="Arial" w:cs="Arial" w:eastAsia="Arial" w:hAnsi="Arial"/>
          <w:sz w:val="17"/>
          <w:szCs w:val="17"/>
          <w:color w:val="auto"/>
        </w:rPr>
        <w:t xml:space="preserve">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7"/>
          <w:szCs w:val="17"/>
          <w:b w:val="1"/>
          <w:bCs w:val="1"/>
          <w:color w:val="auto"/>
        </w:rPr>
        <w:t>“Buy-In”),</w:t>
      </w:r>
      <w:r>
        <w:rPr>
          <w:rFonts w:ascii="Arial" w:cs="Arial" w:eastAsia="Arial" w:hAnsi="Arial"/>
          <w:sz w:val="17"/>
          <w:szCs w:val="17"/>
          <w:color w:val="auto"/>
        </w:rPr>
        <w:t xml:space="preserve">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7"/>
          <w:szCs w:val="17"/>
          <w:b w:val="1"/>
          <w:bCs w:val="1"/>
          <w:color w:val="auto"/>
        </w:rPr>
        <w:t>“Buy- In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Price”), </w:t>
      </w:r>
      <w:r>
        <w:rPr>
          <w:rFonts w:ascii="Arial" w:cs="Arial" w:eastAsia="Arial" w:hAnsi="Arial"/>
          <w:sz w:val="17"/>
          <w:szCs w:val="17"/>
          <w:color w:val="auto"/>
        </w:rPr>
        <w:t>at which point the Corporation’s obligation to deliver such certificate (and to issue such Common Stock) shall terminate, or (ii)</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4" w:name="page125"/>
    <w:bookmarkEnd w:id="124"/>
    <w:p>
      <w:pPr>
        <w:ind w:left="2200" w:hanging="720"/>
        <w:spacing w:after="0"/>
        <w:tabs>
          <w:tab w:leader="none" w:pos="220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Void Conversion Notice: Adjustment of Conversion Price</w:t>
      </w:r>
      <w:r>
        <w:rPr>
          <w:rFonts w:ascii="Arial" w:cs="Arial" w:eastAsia="Arial" w:hAnsi="Arial"/>
          <w:sz w:val="16"/>
          <w:szCs w:val="16"/>
          <w:color w:val="auto"/>
        </w:rPr>
        <w:t>. If for any reason a Holder has not received all of</w:t>
      </w:r>
    </w:p>
    <w:p>
      <w:pPr>
        <w:spacing w:after="0" w:line="46" w:lineRule="exact"/>
        <w:rPr>
          <w:sz w:val="20"/>
          <w:szCs w:val="20"/>
          <w:color w:val="auto"/>
        </w:rPr>
      </w:pPr>
    </w:p>
    <w:p>
      <w:pPr>
        <w:jc w:val="both"/>
        <w:ind w:left="180"/>
        <w:spacing w:after="0" w:line="234" w:lineRule="auto"/>
        <w:rPr>
          <w:sz w:val="20"/>
          <w:szCs w:val="20"/>
          <w:color w:val="auto"/>
        </w:rPr>
      </w:pPr>
      <w:r>
        <w:rPr>
          <w:rFonts w:ascii="Arial" w:cs="Arial" w:eastAsia="Arial" w:hAnsi="Arial"/>
          <w:sz w:val="18"/>
          <w:szCs w:val="18"/>
          <w:color w:val="auto"/>
        </w:rPr>
        <w:t>the shares of Common Stock to which such Holder is entitled prior to the tenth (10</w:t>
      </w:r>
      <w:r>
        <w:rPr>
          <w:rFonts w:ascii="Arial" w:cs="Arial" w:eastAsia="Arial" w:hAnsi="Arial"/>
          <w:sz w:val="29"/>
          <w:szCs w:val="29"/>
          <w:color w:val="auto"/>
          <w:vertAlign w:val="superscript"/>
        </w:rPr>
        <w:t>th</w:t>
      </w:r>
      <w:r>
        <w:rPr>
          <w:rFonts w:ascii="Arial" w:cs="Arial" w:eastAsia="Arial" w:hAnsi="Arial"/>
          <w:sz w:val="18"/>
          <w:szCs w:val="18"/>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204" w:lineRule="exact"/>
        <w:rPr>
          <w:sz w:val="20"/>
          <w:szCs w:val="20"/>
          <w:color w:val="auto"/>
        </w:rPr>
      </w:pPr>
    </w:p>
    <w:p>
      <w:pPr>
        <w:jc w:val="both"/>
        <w:ind w:left="-440" w:firstLine="1290"/>
        <w:spacing w:after="0" w:line="267" w:lineRule="auto"/>
        <w:tabs>
          <w:tab w:leader="none" w:pos="150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Book-Entry</w:t>
      </w:r>
      <w:r>
        <w:rPr>
          <w:rFonts w:ascii="Arial" w:cs="Arial" w:eastAsia="Arial" w:hAnsi="Arial"/>
          <w:sz w:val="17"/>
          <w:szCs w:val="17"/>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190" w:lineRule="exact"/>
        <w:rPr>
          <w:sz w:val="20"/>
          <w:szCs w:val="20"/>
          <w:color w:val="auto"/>
        </w:rPr>
      </w:pPr>
    </w:p>
    <w:p>
      <w:pPr>
        <w:jc w:val="both"/>
        <w:ind w:left="1480"/>
        <w:spacing w:after="0" w:line="254" w:lineRule="auto"/>
        <w:rPr>
          <w:sz w:val="20"/>
          <w:szCs w:val="20"/>
          <w:color w:val="auto"/>
        </w:rPr>
      </w:pPr>
      <w:r>
        <w:rPr>
          <w:rFonts w:ascii="Arial" w:cs="Arial" w:eastAsia="Arial" w:hAnsi="Arial"/>
          <w:sz w:val="18"/>
          <w:szCs w:val="18"/>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5" w:name="page126"/>
    <w:bookmarkEnd w:id="125"/>
    <w:p>
      <w:pPr>
        <w:ind w:left="880" w:hanging="66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40" w:firstLine="1290"/>
        <w:spacing w:after="0" w:line="285" w:lineRule="auto"/>
        <w:tabs>
          <w:tab w:leader="none" w:pos="147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xml:space="preserve">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173" w:lineRule="exact"/>
        <w:rPr>
          <w:rFonts w:ascii="Arial" w:cs="Arial" w:eastAsia="Arial" w:hAnsi="Arial"/>
          <w:sz w:val="16"/>
          <w:szCs w:val="16"/>
          <w:color w:val="auto"/>
        </w:rPr>
      </w:pPr>
    </w:p>
    <w:p>
      <w:pPr>
        <w:jc w:val="both"/>
        <w:ind w:left="-440" w:firstLine="1290"/>
        <w:spacing w:after="0" w:line="288" w:lineRule="auto"/>
        <w:tabs>
          <w:tab w:leader="none" w:pos="1527"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xml:space="preserve">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6" w:name="page127"/>
    <w:bookmarkEnd w:id="126"/>
    <w:p>
      <w:pPr>
        <w:jc w:val="both"/>
        <w:ind w:left="-20" w:firstLine="1304"/>
        <w:spacing w:after="0" w:line="269" w:lineRule="auto"/>
        <w:tabs>
          <w:tab w:leader="none" w:pos="201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85" w:lineRule="exact"/>
        <w:rPr>
          <w:rFonts w:ascii="Arial" w:cs="Arial" w:eastAsia="Arial" w:hAnsi="Arial"/>
          <w:sz w:val="17"/>
          <w:szCs w:val="17"/>
          <w:color w:val="auto"/>
        </w:rPr>
      </w:pPr>
    </w:p>
    <w:p>
      <w:pPr>
        <w:ind w:left="-20" w:firstLine="1304"/>
        <w:spacing w:after="0" w:line="308" w:lineRule="auto"/>
        <w:tabs>
          <w:tab w:leader="none" w:pos="201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Record Holder</w:t>
      </w:r>
      <w:r>
        <w:rPr>
          <w:rFonts w:ascii="Arial" w:cs="Arial" w:eastAsia="Arial" w:hAnsi="Arial"/>
          <w:sz w:val="17"/>
          <w:szCs w:val="17"/>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146" w:lineRule="exact"/>
        <w:rPr>
          <w:rFonts w:ascii="Arial" w:cs="Arial" w:eastAsia="Arial" w:hAnsi="Arial"/>
          <w:sz w:val="17"/>
          <w:szCs w:val="17"/>
          <w:color w:val="auto"/>
        </w:rPr>
      </w:pPr>
    </w:p>
    <w:p>
      <w:pPr>
        <w:jc w:val="both"/>
        <w:ind w:left="-20" w:firstLine="1304"/>
        <w:spacing w:after="0" w:line="255" w:lineRule="auto"/>
        <w:tabs>
          <w:tab w:leader="none" w:pos="219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7" w:name="page128"/>
    <w:bookmarkEnd w:id="127"/>
    <w:p>
      <w:pPr>
        <w:jc w:val="both"/>
        <w:ind w:left="-20" w:firstLine="1304"/>
        <w:spacing w:after="0" w:line="293" w:lineRule="auto"/>
        <w:tabs>
          <w:tab w:leader="none" w:pos="210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64" w:lineRule="exact"/>
        <w:rPr>
          <w:rFonts w:ascii="Arial" w:cs="Arial" w:eastAsia="Arial" w:hAnsi="Arial"/>
          <w:sz w:val="16"/>
          <w:szCs w:val="16"/>
          <w:color w:val="auto"/>
        </w:rPr>
      </w:pPr>
    </w:p>
    <w:p>
      <w:pPr>
        <w:jc w:val="both"/>
        <w:ind w:left="-20" w:firstLine="1304"/>
        <w:spacing w:after="0" w:line="283" w:lineRule="auto"/>
        <w:tabs>
          <w:tab w:leader="none" w:pos="233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Maximum Percentage</w:t>
      </w:r>
      <w:r>
        <w:rPr>
          <w:rFonts w:ascii="Arial" w:cs="Arial" w:eastAsia="Arial" w:hAnsi="Arial"/>
          <w:sz w:val="16"/>
          <w:szCs w:val="16"/>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xml:space="preserve">”)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 (1) 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 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 sixty-first (61st)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6"/>
          <w:szCs w:val="16"/>
          <w:b w:val="1"/>
          <w:bCs w:val="1"/>
          <w:color w:val="auto"/>
        </w:rPr>
        <w:t>“Limited Shares”),</w:t>
      </w:r>
      <w:r>
        <w:rPr>
          <w:rFonts w:ascii="Arial" w:cs="Arial" w:eastAsia="Arial" w:hAnsi="Arial"/>
          <w:sz w:val="16"/>
          <w:szCs w:val="16"/>
          <w:color w:val="auto"/>
        </w:rPr>
        <w:t xml:space="preserve">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28" w:name="page129"/>
    <w:bookmarkEnd w:id="128"/>
    <w:p>
      <w:pPr>
        <w:ind w:left="624" w:hanging="624"/>
        <w:spacing w:after="0"/>
        <w:tabs>
          <w:tab w:leader="none" w:pos="62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Anti-Dilution Provisions</w:t>
      </w:r>
      <w:r>
        <w:rPr>
          <w:rFonts w:ascii="Arial" w:cs="Arial" w:eastAsia="Arial" w:hAnsi="Arial"/>
          <w:sz w:val="17"/>
          <w:szCs w:val="17"/>
          <w:color w:val="auto"/>
        </w:rPr>
        <w:t>. The Conversion Price shall be subject to adjustment from time to time in accordance with this Section 8.</w:t>
      </w:r>
    </w:p>
    <w:p>
      <w:pPr>
        <w:spacing w:after="0" w:line="236" w:lineRule="exact"/>
        <w:rPr>
          <w:rFonts w:ascii="Arial" w:cs="Arial" w:eastAsia="Arial" w:hAnsi="Arial"/>
          <w:sz w:val="17"/>
          <w:szCs w:val="17"/>
          <w:color w:val="auto"/>
        </w:rPr>
      </w:pPr>
    </w:p>
    <w:p>
      <w:pPr>
        <w:ind w:left="1344" w:hanging="696"/>
        <w:spacing w:after="0"/>
        <w:tabs>
          <w:tab w:leader="none" w:pos="1344"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jc w:val="both"/>
        <w:ind w:left="24" w:firstLine="1290"/>
        <w:spacing w:after="0" w:line="287" w:lineRule="auto"/>
        <w:tabs>
          <w:tab w:leader="none" w:pos="2128" w:val="left"/>
        </w:tabs>
        <w:numPr>
          <w:ilvl w:val="2"/>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“Closing Sale Price” </w:t>
      </w:r>
      <w:r>
        <w:rPr>
          <w:rFonts w:ascii="Arial" w:cs="Arial" w:eastAsia="Arial" w:hAnsi="Arial"/>
          <w:sz w:val="16"/>
          <w:szCs w:val="16"/>
          <w:color w:val="auto"/>
        </w:rPr>
        <w:t>means, for any security as of any date, the last closing trade price for such security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167" w:lineRule="exact"/>
        <w:rPr>
          <w:rFonts w:ascii="Arial" w:cs="Arial" w:eastAsia="Arial" w:hAnsi="Arial"/>
          <w:sz w:val="16"/>
          <w:szCs w:val="16"/>
          <w:color w:val="auto"/>
        </w:rPr>
      </w:pPr>
    </w:p>
    <w:p>
      <w:pPr>
        <w:ind w:left="24" w:firstLine="1290"/>
        <w:spacing w:after="0" w:line="282" w:lineRule="auto"/>
        <w:tabs>
          <w:tab w:leader="none" w:pos="2012" w:val="left"/>
        </w:tabs>
        <w:numPr>
          <w:ilvl w:val="2"/>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“Convertible Securities” </w:t>
      </w:r>
      <w:r>
        <w:rPr>
          <w:rFonts w:ascii="Arial" w:cs="Arial" w:eastAsia="Arial" w:hAnsi="Arial"/>
          <w:sz w:val="18"/>
          <w:szCs w:val="18"/>
          <w:color w:val="auto"/>
        </w:rPr>
        <w:t>means any stock or securities (other than Options) directly or indirectly convertible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or exercisable for Common Stock.</w:t>
      </w:r>
    </w:p>
    <w:p>
      <w:pPr>
        <w:spacing w:after="0" w:line="38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9" w:name="page130"/>
    <w:bookmarkEnd w:id="129"/>
    <w:p>
      <w:pPr>
        <w:ind w:left="1926" w:hanging="630"/>
        <w:spacing w:after="0"/>
        <w:tabs>
          <w:tab w:leader="none" w:pos="1926"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“Excluded Securities” </w:t>
      </w:r>
      <w:r>
        <w:rPr>
          <w:rFonts w:ascii="Arial" w:cs="Arial" w:eastAsia="Arial" w:hAnsi="Arial"/>
          <w:sz w:val="16"/>
          <w:szCs w:val="16"/>
          <w:color w:val="auto"/>
        </w:rPr>
        <w:t>means any capital stock issued or issuable: (i) upon conversion of the Series A Preferred Stock;</w:t>
      </w:r>
    </w:p>
    <w:p>
      <w:pPr>
        <w:spacing w:after="0" w:line="50" w:lineRule="exact"/>
        <w:rPr>
          <w:rFonts w:ascii="Arial" w:cs="Arial" w:eastAsia="Arial" w:hAnsi="Arial"/>
          <w:sz w:val="16"/>
          <w:szCs w:val="16"/>
          <w:color w:val="auto"/>
        </w:rPr>
      </w:pPr>
    </w:p>
    <w:p>
      <w:pPr>
        <w:jc w:val="both"/>
        <w:ind w:left="6" w:hanging="6"/>
        <w:spacing w:after="0" w:line="286" w:lineRule="auto"/>
        <w:tabs>
          <w:tab w:leader="none" w:pos="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168" w:lineRule="exact"/>
        <w:rPr>
          <w:rFonts w:ascii="Arial" w:cs="Arial" w:eastAsia="Arial" w:hAnsi="Arial"/>
          <w:sz w:val="16"/>
          <w:szCs w:val="16"/>
          <w:color w:val="auto"/>
        </w:rPr>
      </w:pPr>
    </w:p>
    <w:p>
      <w:pPr>
        <w:ind w:left="1906" w:hanging="610"/>
        <w:spacing w:after="0"/>
        <w:tabs>
          <w:tab w:leader="none" w:pos="1906" w:val="left"/>
        </w:tabs>
        <w:numPr>
          <w:ilvl w:val="1"/>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“Options” </w:t>
      </w:r>
      <w:r>
        <w:rPr>
          <w:rFonts w:ascii="Arial" w:cs="Arial" w:eastAsia="Arial" w:hAnsi="Arial"/>
          <w:sz w:val="16"/>
          <w:szCs w:val="16"/>
          <w:color w:val="auto"/>
        </w:rPr>
        <w:t>means any rights, warrants or options to subscribe for or purchase Common Stock or Convertible Securities.</w:t>
      </w:r>
    </w:p>
    <w:p>
      <w:pPr>
        <w:spacing w:after="0" w:line="248" w:lineRule="exact"/>
        <w:rPr>
          <w:rFonts w:ascii="Arial" w:cs="Arial" w:eastAsia="Arial" w:hAnsi="Arial"/>
          <w:sz w:val="16"/>
          <w:szCs w:val="16"/>
          <w:color w:val="auto"/>
        </w:rPr>
      </w:pPr>
    </w:p>
    <w:p>
      <w:pPr>
        <w:jc w:val="both"/>
        <w:ind w:left="6" w:firstLine="1290"/>
        <w:spacing w:after="0" w:line="271" w:lineRule="auto"/>
        <w:tabs>
          <w:tab w:leader="none" w:pos="1930" w:val="left"/>
        </w:tabs>
        <w:numPr>
          <w:ilvl w:val="1"/>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“Option Value” </w:t>
      </w:r>
      <w:r>
        <w:rPr>
          <w:rFonts w:ascii="Arial" w:cs="Arial" w:eastAsia="Arial" w:hAnsi="Arial"/>
          <w:sz w:val="17"/>
          <w:szCs w:val="17"/>
          <w:color w:val="auto"/>
        </w:rPr>
        <w:t>means the value of an Option based on the Black and Scholes Option Pricing model obtained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173" w:lineRule="exact"/>
        <w:rPr>
          <w:rFonts w:ascii="Arial" w:cs="Arial" w:eastAsia="Arial" w:hAnsi="Arial"/>
          <w:sz w:val="17"/>
          <w:szCs w:val="17"/>
          <w:color w:val="auto"/>
        </w:rPr>
      </w:pPr>
    </w:p>
    <w:p>
      <w:pPr>
        <w:ind w:left="1906" w:hanging="610"/>
        <w:spacing w:after="0"/>
        <w:tabs>
          <w:tab w:leader="none" w:pos="1906" w:val="left"/>
        </w:tabs>
        <w:numPr>
          <w:ilvl w:val="1"/>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“Principal Market” </w:t>
      </w:r>
      <w:r>
        <w:rPr>
          <w:rFonts w:ascii="Arial" w:cs="Arial" w:eastAsia="Arial" w:hAnsi="Arial"/>
          <w:sz w:val="16"/>
          <w:szCs w:val="16"/>
          <w:color w:val="auto"/>
        </w:rPr>
        <w:t>means the Eligible Market that is the principal securities exchange market for the Common Stock.</w:t>
      </w:r>
    </w:p>
    <w:p>
      <w:pPr>
        <w:spacing w:after="0" w:line="200" w:lineRule="exact"/>
        <w:rPr>
          <w:sz w:val="20"/>
          <w:szCs w:val="20"/>
          <w:color w:val="auto"/>
        </w:rPr>
      </w:pPr>
    </w:p>
    <w:p>
      <w:pPr>
        <w:spacing w:after="0" w:line="268" w:lineRule="exact"/>
        <w:rPr>
          <w:sz w:val="20"/>
          <w:szCs w:val="20"/>
          <w:color w:val="auto"/>
        </w:rPr>
      </w:pPr>
    </w:p>
    <w:p>
      <w:pPr>
        <w:ind w:left="486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6"/>
          </w:cols>
          <w:pgMar w:left="994" w:top="904" w:right="339" w:bottom="1440" w:gutter="0" w:footer="0" w:header="0"/>
        </w:sectPr>
      </w:pPr>
    </w:p>
    <w:bookmarkStart w:id="130" w:name="page131"/>
    <w:bookmarkEnd w:id="130"/>
    <w:p>
      <w:pPr>
        <w:jc w:val="both"/>
        <w:ind w:left="-20" w:firstLine="1304"/>
        <w:spacing w:after="0" w:line="253" w:lineRule="auto"/>
        <w:tabs>
          <w:tab w:leader="none" w:pos="207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Adjustment of Series A Conversion Price Upon Issuance of Additional Shares of Common Stock</w:t>
      </w:r>
      <w:r>
        <w:rPr>
          <w:rFonts w:ascii="Arial" w:cs="Arial" w:eastAsia="Arial" w:hAnsi="Arial"/>
          <w:sz w:val="18"/>
          <w:szCs w:val="18"/>
          <w:color w:val="auto"/>
        </w:rPr>
        <w:t xml:space="preserve">.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8"/>
          <w:szCs w:val="18"/>
          <w:b w:val="1"/>
          <w:bCs w:val="1"/>
          <w:color w:val="auto"/>
        </w:rPr>
        <w:t>“New Issuance Price”)</w:t>
      </w:r>
      <w:r>
        <w:rPr>
          <w:rFonts w:ascii="Arial" w:cs="Arial" w:eastAsia="Arial" w:hAnsi="Arial"/>
          <w:sz w:val="18"/>
          <w:szCs w:val="18"/>
          <w:color w:val="auto"/>
        </w:rPr>
        <w:t xml:space="preserve"> less than a price (the </w:t>
      </w:r>
      <w:r>
        <w:rPr>
          <w:rFonts w:ascii="Arial" w:cs="Arial" w:eastAsia="Arial" w:hAnsi="Arial"/>
          <w:sz w:val="18"/>
          <w:szCs w:val="18"/>
          <w:b w:val="1"/>
          <w:bCs w:val="1"/>
          <w:color w:val="auto"/>
        </w:rPr>
        <w:t>“Applicable Price”)</w:t>
      </w:r>
      <w:r>
        <w:rPr>
          <w:rFonts w:ascii="Arial" w:cs="Arial" w:eastAsia="Arial" w:hAnsi="Arial"/>
          <w:sz w:val="18"/>
          <w:szCs w:val="18"/>
          <w:color w:val="auto"/>
        </w:rPr>
        <w:t xml:space="preserve"> equal to the Conversion Price in effect immediately prior to such issue or sale or deemed issuance or sale (the foregoing, a </w:t>
      </w:r>
      <w:r>
        <w:rPr>
          <w:rFonts w:ascii="Arial" w:cs="Arial" w:eastAsia="Arial" w:hAnsi="Arial"/>
          <w:sz w:val="18"/>
          <w:szCs w:val="18"/>
          <w:b w:val="1"/>
          <w:bCs w:val="1"/>
          <w:color w:val="auto"/>
        </w:rPr>
        <w:t>“Dilutive Issuance”),</w:t>
      </w:r>
      <w:r>
        <w:rPr>
          <w:rFonts w:ascii="Arial" w:cs="Arial" w:eastAsia="Arial" w:hAnsi="Arial"/>
          <w:sz w:val="18"/>
          <w:szCs w:val="18"/>
          <w:color w:val="auto"/>
        </w:rPr>
        <w:t xml:space="preserve">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194" w:lineRule="exact"/>
        <w:rPr>
          <w:rFonts w:ascii="Arial" w:cs="Arial" w:eastAsia="Arial" w:hAnsi="Arial"/>
          <w:sz w:val="18"/>
          <w:szCs w:val="18"/>
          <w:color w:val="auto"/>
        </w:rPr>
      </w:pPr>
    </w:p>
    <w:p>
      <w:pPr>
        <w:jc w:val="both"/>
        <w:ind w:left="660" w:firstLine="1290"/>
        <w:spacing w:after="0" w:line="286" w:lineRule="auto"/>
        <w:tabs>
          <w:tab w:leader="none" w:pos="2683"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 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173" w:lineRule="exact"/>
        <w:rPr>
          <w:rFonts w:ascii="Arial" w:cs="Arial" w:eastAsia="Arial" w:hAnsi="Arial"/>
          <w:sz w:val="16"/>
          <w:szCs w:val="16"/>
          <w:color w:val="auto"/>
        </w:rPr>
      </w:pPr>
    </w:p>
    <w:p>
      <w:pPr>
        <w:jc w:val="both"/>
        <w:ind w:left="660" w:firstLine="1290"/>
        <w:spacing w:after="0" w:line="268" w:lineRule="auto"/>
        <w:tabs>
          <w:tab w:leader="none" w:pos="2635"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Issuance of Convertible Securities</w:t>
      </w:r>
      <w:r>
        <w:rPr>
          <w:rFonts w:ascii="Arial" w:cs="Arial" w:eastAsia="Arial" w:hAnsi="Arial"/>
          <w:sz w:val="17"/>
          <w:szCs w:val="17"/>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1" w:name="page132"/>
    <w:bookmarkEnd w:id="131"/>
    <w:p>
      <w:pPr>
        <w:jc w:val="both"/>
        <w:ind w:firstLine="1290"/>
        <w:spacing w:after="0" w:line="289" w:lineRule="auto"/>
        <w:tabs>
          <w:tab w:leader="none" w:pos="208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166" w:lineRule="exact"/>
        <w:rPr>
          <w:rFonts w:ascii="Arial" w:cs="Arial" w:eastAsia="Arial" w:hAnsi="Arial"/>
          <w:sz w:val="16"/>
          <w:szCs w:val="16"/>
          <w:color w:val="auto"/>
        </w:rPr>
      </w:pPr>
    </w:p>
    <w:p>
      <w:pPr>
        <w:jc w:val="both"/>
        <w:ind w:firstLine="1290"/>
        <w:spacing w:after="0" w:line="283" w:lineRule="auto"/>
        <w:tabs>
          <w:tab w:leader="none" w:pos="209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xml:space="preserve">.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 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6"/>
          <w:szCs w:val="16"/>
          <w:b w:val="1"/>
          <w:bCs w:val="1"/>
          <w:color w:val="auto"/>
        </w:rPr>
        <w:t>“Valuation</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Event”), </w:t>
      </w:r>
      <w:r>
        <w:rPr>
          <w:rFonts w:ascii="Arial" w:cs="Arial" w:eastAsia="Arial" w:hAnsi="Arial"/>
          <w:sz w:val="16"/>
          <w:szCs w:val="16"/>
          <w:color w:val="auto"/>
        </w:rPr>
        <w:t>the fair value of such consideration will be determined within five (5) Business Days after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Valuation</w:t>
      </w:r>
      <w:r>
        <w:rPr>
          <w:rFonts w:ascii="Arial" w:cs="Arial" w:eastAsia="Arial" w:hAnsi="Arial"/>
          <w:sz w:val="16"/>
          <w:szCs w:val="16"/>
          <w:b w:val="1"/>
          <w:bCs w:val="1"/>
          <w:color w:val="auto"/>
        </w:rPr>
        <w:t xml:space="preserve"> </w:t>
      </w:r>
      <w:r>
        <w:rPr>
          <w:rFonts w:ascii="Arial" w:cs="Arial" w:eastAsia="Arial" w:hAnsi="Arial"/>
          <w:sz w:val="16"/>
          <w:szCs w:val="16"/>
          <w:color w:val="auto"/>
        </w:rPr>
        <w:t>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200" w:lineRule="exact"/>
        <w:rPr>
          <w:sz w:val="20"/>
          <w:szCs w:val="20"/>
          <w:color w:val="auto"/>
        </w:rPr>
      </w:pP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1000" w:top="908" w:right="339" w:bottom="1440" w:gutter="0" w:footer="0" w:header="0"/>
        </w:sectPr>
      </w:pPr>
    </w:p>
    <w:bookmarkStart w:id="132" w:name="page133"/>
    <w:bookmarkEnd w:id="132"/>
    <w:p>
      <w:pPr>
        <w:jc w:val="both"/>
        <w:ind w:left="-20" w:firstLine="1304"/>
        <w:spacing w:after="0" w:line="275" w:lineRule="auto"/>
        <w:tabs>
          <w:tab w:leader="none" w:pos="2006"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76" w:lineRule="exact"/>
        <w:rPr>
          <w:rFonts w:ascii="Arial" w:cs="Arial" w:eastAsia="Arial" w:hAnsi="Arial"/>
          <w:sz w:val="17"/>
          <w:szCs w:val="17"/>
          <w:color w:val="auto"/>
        </w:rPr>
      </w:pPr>
    </w:p>
    <w:p>
      <w:pPr>
        <w:jc w:val="both"/>
        <w:ind w:left="-20" w:firstLine="1304"/>
        <w:spacing w:after="0" w:line="257" w:lineRule="auto"/>
        <w:tabs>
          <w:tab w:leader="none" w:pos="196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187" w:lineRule="exact"/>
        <w:rPr>
          <w:rFonts w:ascii="Arial" w:cs="Arial" w:eastAsia="Arial" w:hAnsi="Arial"/>
          <w:sz w:val="18"/>
          <w:szCs w:val="18"/>
          <w:color w:val="auto"/>
        </w:rPr>
      </w:pPr>
    </w:p>
    <w:p>
      <w:pPr>
        <w:ind w:left="-20" w:firstLine="1304"/>
        <w:spacing w:after="0" w:line="277" w:lineRule="auto"/>
        <w:tabs>
          <w:tab w:leader="none" w:pos="217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Corporation</w:t>
      </w:r>
      <w:r>
        <w:rPr>
          <w:rFonts w:ascii="Arial" w:cs="Arial" w:eastAsia="Arial" w:hAnsi="Arial"/>
          <w:sz w:val="18"/>
          <w:szCs w:val="18"/>
          <w:color w:val="auto"/>
        </w:rPr>
        <w:t>. The Corporation may at any time reduce the then current Conversion Price to any amount and for any period of time deemed appropriate and approved by the Board of Directors in accordance with Delaware law.</w:t>
      </w:r>
    </w:p>
    <w:p>
      <w:pPr>
        <w:spacing w:after="0" w:line="170" w:lineRule="exact"/>
        <w:rPr>
          <w:rFonts w:ascii="Arial" w:cs="Arial" w:eastAsia="Arial" w:hAnsi="Arial"/>
          <w:sz w:val="18"/>
          <w:szCs w:val="18"/>
          <w:color w:val="auto"/>
        </w:rPr>
      </w:pPr>
    </w:p>
    <w:p>
      <w:pPr>
        <w:jc w:val="both"/>
        <w:ind w:left="-20" w:firstLine="1304"/>
        <w:spacing w:after="0" w:line="287" w:lineRule="auto"/>
        <w:tabs>
          <w:tab w:leader="none" w:pos="203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xml:space="preserve">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171" w:lineRule="exact"/>
        <w:rPr>
          <w:rFonts w:ascii="Arial" w:cs="Arial" w:eastAsia="Arial" w:hAnsi="Arial"/>
          <w:sz w:val="16"/>
          <w:szCs w:val="16"/>
          <w:color w:val="auto"/>
        </w:rPr>
      </w:pPr>
    </w:p>
    <w:p>
      <w:pPr>
        <w:ind w:left="1980" w:hanging="696"/>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0"/>
        <w:spacing w:after="0" w:line="279" w:lineRule="auto"/>
        <w:tabs>
          <w:tab w:leader="none" w:pos="2768" w:val="left"/>
        </w:tabs>
        <w:numPr>
          <w:ilvl w:val="1"/>
          <w:numId w:val="60"/>
        </w:numPr>
        <w:rPr>
          <w:rFonts w:ascii="Arial" w:cs="Arial" w:eastAsia="Arial" w:hAnsi="Arial"/>
          <w:sz w:val="17"/>
          <w:szCs w:val="17"/>
          <w:color w:val="auto"/>
        </w:rPr>
      </w:pPr>
      <w:r>
        <w:rPr>
          <w:rFonts w:ascii="Arial" w:cs="Arial" w:eastAsia="Arial" w:hAnsi="Arial"/>
          <w:sz w:val="17"/>
          <w:szCs w:val="17"/>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3" w:name="page134"/>
    <w:bookmarkEnd w:id="133"/>
    <w:p>
      <w:pPr>
        <w:jc w:val="both"/>
        <w:ind w:left="660" w:firstLine="1290"/>
        <w:spacing w:after="0" w:line="279" w:lineRule="auto"/>
        <w:tabs>
          <w:tab w:leader="none" w:pos="2628" w:val="left"/>
        </w:tabs>
        <w:numPr>
          <w:ilvl w:val="1"/>
          <w:numId w:val="61"/>
        </w:numPr>
        <w:rPr>
          <w:rFonts w:ascii="Arial" w:cs="Arial" w:eastAsia="Arial" w:hAnsi="Arial"/>
          <w:sz w:val="17"/>
          <w:szCs w:val="17"/>
          <w:color w:val="auto"/>
        </w:rPr>
      </w:pPr>
      <w:r>
        <w:rPr>
          <w:rFonts w:ascii="Arial" w:cs="Arial" w:eastAsia="Arial" w:hAnsi="Arial"/>
          <w:sz w:val="17"/>
          <w:szCs w:val="17"/>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Change of Control, any Twenty Percent Issuance, any Fundamental Transaction or any Liquidation Event.</w:t>
      </w:r>
    </w:p>
    <w:p>
      <w:pPr>
        <w:spacing w:after="0" w:line="171" w:lineRule="exact"/>
        <w:rPr>
          <w:rFonts w:ascii="Arial" w:cs="Arial" w:eastAsia="Arial" w:hAnsi="Arial"/>
          <w:sz w:val="17"/>
          <w:szCs w:val="17"/>
          <w:color w:val="auto"/>
        </w:rPr>
      </w:pPr>
    </w:p>
    <w:p>
      <w:pPr>
        <w:ind w:left="660" w:right="20" w:firstLine="1290"/>
        <w:spacing w:after="0" w:line="308" w:lineRule="auto"/>
        <w:tabs>
          <w:tab w:leader="none" w:pos="2616"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146" w:lineRule="exact"/>
        <w:rPr>
          <w:rFonts w:ascii="Arial" w:cs="Arial" w:eastAsia="Arial" w:hAnsi="Arial"/>
          <w:sz w:val="17"/>
          <w:szCs w:val="17"/>
          <w:color w:val="auto"/>
        </w:rPr>
      </w:pPr>
    </w:p>
    <w:p>
      <w:pPr>
        <w:jc w:val="both"/>
        <w:ind w:left="-20" w:firstLine="656"/>
        <w:spacing w:after="0" w:line="267" w:lineRule="auto"/>
        <w:tabs>
          <w:tab w:leader="none" w:pos="133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Suspension from Trading</w:t>
      </w:r>
      <w:r>
        <w:rPr>
          <w:rFonts w:ascii="Arial" w:cs="Arial" w:eastAsia="Arial" w:hAnsi="Arial"/>
          <w:sz w:val="17"/>
          <w:szCs w:val="17"/>
          <w:color w:val="auto"/>
        </w:rPr>
        <w:t xml:space="preserve">. If on any day after the Initial Issuance Date, the sale of any of the shares of Common Stock issued or issuable upon the conversion of any shares of Series A Preferred Stock (the </w:t>
      </w:r>
      <w:r>
        <w:rPr>
          <w:rFonts w:ascii="Arial" w:cs="Arial" w:eastAsia="Arial" w:hAnsi="Arial"/>
          <w:sz w:val="17"/>
          <w:szCs w:val="17"/>
          <w:b w:val="1"/>
          <w:bCs w:val="1"/>
          <w:color w:val="auto"/>
        </w:rPr>
        <w:t>“Conversion Shares”)</w:t>
      </w:r>
      <w:r>
        <w:rPr>
          <w:rFonts w:ascii="Arial" w:cs="Arial" w:eastAsia="Arial" w:hAnsi="Arial"/>
          <w:sz w:val="17"/>
          <w:szCs w:val="17"/>
          <w:color w:val="auto"/>
        </w:rPr>
        <w:t xml:space="preserve">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7"/>
          <w:szCs w:val="17"/>
          <w:b w:val="1"/>
          <w:bCs w:val="1"/>
          <w:color w:val="auto"/>
        </w:rPr>
        <w:t>“Maintenance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Failure”), </w:t>
      </w:r>
      <w:r>
        <w:rPr>
          <w:rFonts w:ascii="Arial" w:cs="Arial" w:eastAsia="Arial" w:hAnsi="Arial"/>
          <w:sz w:val="17"/>
          <w:szCs w:val="17"/>
          <w:color w:val="auto"/>
        </w:rPr>
        <w:t>then, as partial relief for the damages to any Holder by reason of any such delay in or reduction of its ability to sell the Conversion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7"/>
          <w:szCs w:val="17"/>
          <w:b w:val="1"/>
          <w:bCs w:val="1"/>
          <w:color w:val="auto"/>
        </w:rPr>
        <w:t>“Delisting Maintenance Failure”),</w:t>
      </w:r>
      <w:r>
        <w:rPr>
          <w:rFonts w:ascii="Arial" w:cs="Arial" w:eastAsia="Arial" w:hAnsi="Arial"/>
          <w:sz w:val="17"/>
          <w:szCs w:val="17"/>
          <w:color w:val="auto"/>
        </w:rPr>
        <w:t xml:space="preserve">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7"/>
          <w:szCs w:val="17"/>
          <w:b w:val="1"/>
          <w:bCs w:val="1"/>
          <w:color w:val="auto"/>
        </w:rPr>
        <w:t>“Suspension Payments”.</w:t>
      </w:r>
      <w:r>
        <w:rPr>
          <w:rFonts w:ascii="Arial" w:cs="Arial" w:eastAsia="Arial" w:hAnsi="Arial"/>
          <w:sz w:val="17"/>
          <w:szCs w:val="17"/>
          <w:color w:val="auto"/>
        </w:rPr>
        <w:t xml:space="preserve"> Suspension Payments shall be paid on the third Business Day after each full fifteen (15) day period during which there is a Maintenance Failure or a Delisting Maintenance Failure, as applicable.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4" w:name="page135"/>
    <w:bookmarkEnd w:id="134"/>
    <w:p>
      <w:pPr>
        <w:ind w:left="-20" w:firstLine="656"/>
        <w:spacing w:after="0" w:line="277" w:lineRule="auto"/>
        <w:tabs>
          <w:tab w:leader="none" w:pos="130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A Preferred Stock shall be converted pursuant to Section 7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20" w:firstLine="656"/>
        <w:spacing w:after="0" w:line="255" w:lineRule="auto"/>
        <w:tabs>
          <w:tab w:leader="none" w:pos="143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the Corporation shall not be obligated to re-issue preferred stock certificates if the holder contemporaneously requests the Corporation to convert such Series A Preferred Stock into Common Stock.</w:t>
      </w:r>
    </w:p>
    <w:p>
      <w:pPr>
        <w:spacing w:after="0" w:line="192" w:lineRule="exact"/>
        <w:rPr>
          <w:rFonts w:ascii="Arial" w:cs="Arial" w:eastAsia="Arial" w:hAnsi="Arial"/>
          <w:sz w:val="18"/>
          <w:szCs w:val="18"/>
          <w:color w:val="auto"/>
        </w:rPr>
      </w:pPr>
    </w:p>
    <w:p>
      <w:pPr>
        <w:jc w:val="both"/>
        <w:ind w:left="-20" w:firstLine="656"/>
        <w:spacing w:after="0" w:line="269" w:lineRule="auto"/>
        <w:tabs>
          <w:tab w:leader="none" w:pos="168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178" w:lineRule="exact"/>
        <w:rPr>
          <w:rFonts w:ascii="Arial" w:cs="Arial" w:eastAsia="Arial" w:hAnsi="Arial"/>
          <w:sz w:val="17"/>
          <w:szCs w:val="17"/>
          <w:color w:val="auto"/>
        </w:rPr>
      </w:pPr>
    </w:p>
    <w:p>
      <w:pPr>
        <w:jc w:val="both"/>
        <w:ind w:left="-20" w:firstLine="656"/>
        <w:spacing w:after="0" w:line="263" w:lineRule="auto"/>
        <w:tabs>
          <w:tab w:leader="none" w:pos="154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31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3" w:lineRule="exact"/>
        <w:rPr>
          <w:rFonts w:ascii="Arial" w:cs="Arial" w:eastAsia="Arial" w:hAnsi="Arial"/>
          <w:sz w:val="18"/>
          <w:szCs w:val="18"/>
          <w:color w:val="auto"/>
        </w:rPr>
      </w:pPr>
    </w:p>
    <w:p>
      <w:pPr>
        <w:ind w:left="-20" w:right="20" w:firstLine="656"/>
        <w:spacing w:after="0" w:line="342" w:lineRule="auto"/>
        <w:tabs>
          <w:tab w:leader="none" w:pos="142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Transfer of Series A Preferred Stock</w:t>
      </w:r>
      <w:r>
        <w:rPr>
          <w:rFonts w:ascii="Arial" w:cs="Arial" w:eastAsia="Arial" w:hAnsi="Arial"/>
          <w:sz w:val="16"/>
          <w:szCs w:val="16"/>
          <w:color w:val="auto"/>
        </w:rPr>
        <w:t xml:space="preserve">. A Holder may assign some or all of the Series A Preferred Stock and the accompanying rights hereunder held by such Holder without the consent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assignment is in compliance with applicable securities laws.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5" w:name="page136"/>
    <w:bookmarkEnd w:id="135"/>
    <w:p>
      <w:pPr>
        <w:jc w:val="both"/>
        <w:ind w:left="-20" w:firstLine="656"/>
        <w:spacing w:after="0" w:line="275" w:lineRule="auto"/>
        <w:tabs>
          <w:tab w:leader="none" w:pos="133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Register</w:t>
      </w:r>
      <w:r>
        <w:rPr>
          <w:rFonts w:ascii="Arial" w:cs="Arial" w:eastAsia="Arial" w:hAnsi="Arial"/>
          <w:sz w:val="17"/>
          <w:szCs w:val="17"/>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176" w:lineRule="exact"/>
        <w:rPr>
          <w:rFonts w:ascii="Arial" w:cs="Arial" w:eastAsia="Arial" w:hAnsi="Arial"/>
          <w:sz w:val="17"/>
          <w:szCs w:val="17"/>
          <w:color w:val="auto"/>
        </w:rPr>
      </w:pPr>
    </w:p>
    <w:p>
      <w:pPr>
        <w:jc w:val="both"/>
        <w:ind w:left="-20" w:firstLine="656"/>
        <w:spacing w:after="0" w:line="275" w:lineRule="auto"/>
        <w:tabs>
          <w:tab w:leader="none" w:pos="137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Stockholder Matters</w:t>
      </w:r>
      <w:r>
        <w:rPr>
          <w:rFonts w:ascii="Arial" w:cs="Arial" w:eastAsia="Arial" w:hAnsi="Arial"/>
          <w:sz w:val="17"/>
          <w:szCs w:val="17"/>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76" w:lineRule="exact"/>
        <w:rPr>
          <w:rFonts w:ascii="Arial" w:cs="Arial" w:eastAsia="Arial" w:hAnsi="Arial"/>
          <w:sz w:val="17"/>
          <w:szCs w:val="17"/>
          <w:color w:val="auto"/>
        </w:rPr>
      </w:pPr>
    </w:p>
    <w:p>
      <w:pPr>
        <w:jc w:val="both"/>
        <w:ind w:left="-20" w:firstLine="656"/>
        <w:spacing w:after="0" w:line="263" w:lineRule="auto"/>
        <w:tabs>
          <w:tab w:leader="none" w:pos="134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183" w:lineRule="exact"/>
        <w:rPr>
          <w:rFonts w:ascii="Arial" w:cs="Arial" w:eastAsia="Arial" w:hAnsi="Arial"/>
          <w:sz w:val="18"/>
          <w:szCs w:val="18"/>
          <w:color w:val="auto"/>
        </w:rPr>
      </w:pPr>
    </w:p>
    <w:p>
      <w:pPr>
        <w:jc w:val="both"/>
        <w:ind w:left="-20" w:firstLine="656"/>
        <w:spacing w:after="0" w:line="272" w:lineRule="auto"/>
        <w:tabs>
          <w:tab w:leader="none" w:pos="138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36" w:name="page137"/>
    <w:bookmarkEnd w:id="136"/>
    <w:p>
      <w:pPr>
        <w:ind w:right="20" w:firstLine="972"/>
        <w:spacing w:after="0" w:line="277" w:lineRule="auto"/>
        <w:rPr>
          <w:sz w:val="20"/>
          <w:szCs w:val="20"/>
          <w:color w:val="auto"/>
        </w:rPr>
      </w:pPr>
      <w:r>
        <w:rPr>
          <w:rFonts w:ascii="Arial" w:cs="Arial" w:eastAsia="Arial" w:hAnsi="Arial"/>
          <w:sz w:val="18"/>
          <w:szCs w:val="18"/>
          <w:color w:val="auto"/>
        </w:rPr>
        <w:t>IN WITNESS WHEREOF, the undersigned has signed this Certificate of Designation on the 19th day of July 2012, and affirms the statements contained therein as true under the penalties of perjury.</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00" w:type="dxa"/>
            <w:vAlign w:val="bottom"/>
          </w:tcPr>
          <w:p>
            <w:pPr>
              <w:spacing w:after="0"/>
              <w:rPr>
                <w:sz w:val="16"/>
                <w:szCs w:val="16"/>
                <w:color w:val="auto"/>
              </w:rPr>
            </w:pPr>
          </w:p>
        </w:tc>
        <w:tc>
          <w:tcPr>
            <w:tcW w:w="5040" w:type="dxa"/>
            <w:vAlign w:val="bottom"/>
            <w:gridSpan w:val="2"/>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6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48"/>
        </w:trPr>
        <w:tc>
          <w:tcPr>
            <w:tcW w:w="6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 xml:space="preserve">Reference is made to the Certificate of Designations, Preferences and Rights of Series A Convertible Preferred Stock of Vringo, Inc. (the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In accordance with and pursuant to the Certificate of Designations, the undersigned hereby elects to convert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Series A Convertible Preferred Stock, par value $0.01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xml:space="preserve">), of Vringo,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 Stock, par value $0.01 per share (the</w:t>
      </w:r>
      <w:r>
        <w:rPr>
          <w:rFonts w:ascii="Arial" w:cs="Arial" w:eastAsia="Arial" w:hAnsi="Arial"/>
          <w:sz w:val="16"/>
          <w:szCs w:val="16"/>
          <w:b w:val="1"/>
          <w:bCs w:val="1"/>
          <w:color w:val="auto"/>
        </w:rPr>
        <w:t xml:space="preserve"> “Common Stock”</w:t>
      </w:r>
      <w:r>
        <w:rPr>
          <w:rFonts w:ascii="Arial" w:cs="Arial" w:eastAsia="Arial" w:hAnsi="Arial"/>
          <w:sz w:val="16"/>
          <w:szCs w:val="16"/>
          <w:color w:val="auto"/>
        </w:rPr>
        <w:t>), of the Corporation,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below. The undersigned represents and warrants that such conversion is not prohibited by Section 7(i) of the Certificate of Designations.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54260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0435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27774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14605</wp:posOffset>
            </wp:positionV>
            <wp:extent cx="4834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14605</wp:posOffset>
            </wp:positionV>
            <wp:extent cx="45605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14605</wp:posOffset>
            </wp:positionV>
            <wp:extent cx="55632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37719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issue the Common Stock into which the Series A Preferred Stock are being converted in the following name and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160655</wp:posOffset>
            </wp:positionV>
            <wp:extent cx="37204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14605</wp:posOffset>
            </wp:positionV>
            <wp:extent cx="37204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3677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3077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14605</wp:posOffset>
            </wp:positionV>
            <wp:extent cx="31203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wp:posOffset>
            </wp:positionV>
            <wp:extent cx="33775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40201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3934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6429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11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hereby acknowledges this Conversion Notice and hereby directs American Stock Transfer &amp; Trust Company, LLC to issue the above indicated number of shares of Common Stock.</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59915" cy="5911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859915" cy="5911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 OF DELAWARE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OF CHANGE</w:t>
      </w:r>
    </w:p>
    <w:p>
      <w:pPr>
        <w:jc w:val="center"/>
        <w:spacing w:after="0" w:line="230" w:lineRule="auto"/>
        <w:rPr>
          <w:sz w:val="20"/>
          <w:szCs w:val="20"/>
          <w:color w:val="auto"/>
        </w:rPr>
      </w:pPr>
      <w:r>
        <w:rPr>
          <w:rFonts w:ascii="Arial" w:cs="Arial" w:eastAsia="Arial" w:hAnsi="Arial"/>
          <w:sz w:val="22"/>
          <w:szCs w:val="22"/>
          <w:b w:val="1"/>
          <w:bCs w:val="1"/>
          <w:color w:val="auto"/>
        </w:rPr>
        <w:t>OF REGISTERED AGENT AND/OR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REGISTERED OFFICE</w:t>
      </w:r>
    </w:p>
    <w:p>
      <w:pPr>
        <w:spacing w:after="0" w:line="19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of Directors of Vringo, Inc., a Corporation of Delaware, on June 21, 2013 do hereby resolve and order that the location of the Registered Office of this Corporation within this State be, and the same hereby is, 1811 Silverside Road, in the City of Wilmington, County of New Castle, Zip Code 19810.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Registered Agent therein and in charge thereof upon whom process against this Corporation may be served is Vcorp Services, LLC.</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Vringo, Inc., a Corporation of Delaware, does hereby certify that the foregoing is a true copy of a resolution adopted by the Board of Directors at a meeting held as herein stated.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said Corporation has caused this certificate to be signed by an authorized officer on June 21, 2013</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/s/ 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Alexander R. Berger,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5531485</wp:posOffset>
            </wp:positionH>
            <wp:positionV relativeFrom="page">
              <wp:posOffset>586105</wp:posOffset>
            </wp:positionV>
            <wp:extent cx="1783080" cy="8655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178308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WHEREAS, the Amended and Restated Certificate of Incorporation of Vringo, Inc.,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xml:space="preserve"> provides for a class of its authorized stock known, as preferred stock, comprised of 5,000,000 shares, issuable from, time to time in one or more series;</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the Board of Directors of the Corporation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WHEREAS, it is the desire of the Board of Directors of the Corporation, pursuant to its authority as aforesaid, to fix the rights, preferences, restrictions and other matters relating to a series of the preferred stock, which shall consist of ONE MILLION SIX HUNDRED NINE THOUSAND ONE HUNDRED SIXTY SEVEN (1,609,167) shares of the preferred stock which the Corporation has the authority to issue, classified as Series B Convertible Preferred Stock, as follows: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BE IT RESOLVED, that the Board of Directors of the Corporation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firstLine="1304"/>
        <w:spacing w:after="0" w:line="301" w:lineRule="auto"/>
        <w:tabs>
          <w:tab w:leader="none" w:pos="1966"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class of preferred stock hereby classified shall be designated the “Series B Convertible Preferred Stock”. The initial number of authorized shares of the Series B Convertible Preferred Stock shall be ONE MILLION SIX HUNDRED NINE THOUSAND ONE HUNDRED SIXTY SEVEN (1,609,167), which shall not be subject to increase without the consent of the holders of a majority of the then outstanding shares of Series B Convertible Preferred Stock. Each share of the Series B Convertible Preferred Stock shall have a par value of $0.01.</w:t>
      </w:r>
    </w:p>
    <w:p>
      <w:pPr>
        <w:spacing w:after="0" w:line="153" w:lineRule="exact"/>
        <w:rPr>
          <w:rFonts w:ascii="Arial" w:cs="Arial" w:eastAsia="Arial" w:hAnsi="Arial"/>
          <w:sz w:val="16"/>
          <w:szCs w:val="16"/>
          <w:color w:val="auto"/>
        </w:rPr>
      </w:pPr>
    </w:p>
    <w:p>
      <w:pPr>
        <w:jc w:val="both"/>
        <w:ind w:firstLine="1304"/>
        <w:spacing w:after="0" w:line="274" w:lineRule="auto"/>
        <w:tabs>
          <w:tab w:leader="none" w:pos="195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From and after the first date of issuance of any shares of Series B Convertible Preferred Stock (the </w:t>
      </w:r>
      <w:r>
        <w:rPr>
          <w:rFonts w:ascii="Arial" w:cs="Arial" w:eastAsia="Arial" w:hAnsi="Arial"/>
          <w:sz w:val="17"/>
          <w:szCs w:val="17"/>
          <w:b w:val="1"/>
          <w:bCs w:val="1"/>
          <w:color w:val="auto"/>
        </w:rPr>
        <w:t>“Initial Issuance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holders of Series B Convertible Preferred Stock (each, a</w:t>
      </w:r>
      <w:r>
        <w:rPr>
          <w:rFonts w:ascii="Arial" w:cs="Arial" w:eastAsia="Arial" w:hAnsi="Arial"/>
          <w:sz w:val="17"/>
          <w:szCs w:val="17"/>
          <w:b w:val="1"/>
          <w:bCs w:val="1"/>
          <w:color w:val="auto"/>
        </w:rPr>
        <w:t xml:space="preserve"> “Holder” </w:t>
      </w:r>
      <w:r>
        <w:rPr>
          <w:rFonts w:ascii="Arial" w:cs="Arial" w:eastAsia="Arial" w:hAnsi="Arial"/>
          <w:sz w:val="17"/>
          <w:szCs w:val="17"/>
          <w:color w:val="auto"/>
        </w:rPr>
        <w:t>and collectively, the</w:t>
      </w:r>
      <w:r>
        <w:rPr>
          <w:rFonts w:ascii="Arial" w:cs="Arial" w:eastAsia="Arial" w:hAnsi="Arial"/>
          <w:sz w:val="17"/>
          <w:szCs w:val="17"/>
          <w:b w:val="1"/>
          <w:bCs w:val="1"/>
          <w:color w:val="auto"/>
        </w:rPr>
        <w:t xml:space="preserve"> “Holders”) </w:t>
      </w:r>
      <w:r>
        <w:rPr>
          <w:rFonts w:ascii="Arial" w:cs="Arial" w:eastAsia="Arial" w:hAnsi="Arial"/>
          <w:sz w:val="17"/>
          <w:szCs w:val="17"/>
          <w:color w:val="auto"/>
        </w:rPr>
        <w:t>shall be entitled to receive such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paid and distributions made to the holders of common stock, par value $0.01 per share ( the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the holders of Common Stock to the same extent as if such Holders had converted the Series B Convertible Preferred Stock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jc w:val="both"/>
        <w:ind w:left="-20" w:firstLine="1304"/>
        <w:spacing w:after="0" w:line="293" w:lineRule="auto"/>
        <w:tabs>
          <w:tab w:leader="none" w:pos="190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xml:space="preserve">. Upon any Liquidation Event (as defined below), after provision for payment of all debts and liabilities of the Corporation, any remaining assets of the Corporation shall be distributed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to the holders of Common Stock and the holders of Series B Convertible Preferred Stock as if the Series B Convertible Preferred Stock had been converted into shares of Common Stock pursuant to the provisions of Section 6 hereof immediately prior to such distribution. For purposes of this Certificate of Designation, a </w:t>
      </w:r>
      <w:r>
        <w:rPr>
          <w:rFonts w:ascii="Arial" w:cs="Arial" w:eastAsia="Arial" w:hAnsi="Arial"/>
          <w:sz w:val="16"/>
          <w:szCs w:val="16"/>
          <w:b w:val="1"/>
          <w:bCs w:val="1"/>
          <w:color w:val="auto"/>
        </w:rPr>
        <w:t>“Liquidation Event”</w:t>
      </w:r>
      <w:r>
        <w:rPr>
          <w:rFonts w:ascii="Arial" w:cs="Arial" w:eastAsia="Arial" w:hAnsi="Arial"/>
          <w:sz w:val="16"/>
          <w:szCs w:val="16"/>
          <w:color w:val="auto"/>
        </w:rPr>
        <w:t xml:space="preserve"> means the voluntary or involuntary liquidation, dissolution or winding up of the Corporation or its subsidiaries or the sale of assets of which constitute all or substantially all of the assets of the business of the Corporation and its Subsidiaries taken as a whole, in a single transaction or series of transactions.</w:t>
      </w:r>
    </w:p>
    <w:p>
      <w:pPr>
        <w:spacing w:after="0" w:line="164" w:lineRule="exact"/>
        <w:rPr>
          <w:rFonts w:ascii="Arial" w:cs="Arial" w:eastAsia="Arial" w:hAnsi="Arial"/>
          <w:sz w:val="16"/>
          <w:szCs w:val="16"/>
          <w:color w:val="auto"/>
        </w:rPr>
      </w:pPr>
    </w:p>
    <w:p>
      <w:pPr>
        <w:ind w:left="1960" w:hanging="676"/>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80" w:hanging="648"/>
        <w:spacing w:after="0"/>
        <w:tabs>
          <w:tab w:leader="none" w:pos="2580"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1" w:lineRule="exact"/>
        <w:rPr>
          <w:rFonts w:ascii="Arial" w:cs="Arial" w:eastAsia="Arial" w:hAnsi="Arial"/>
          <w:sz w:val="18"/>
          <w:szCs w:val="18"/>
          <w:color w:val="auto"/>
        </w:rPr>
      </w:pPr>
    </w:p>
    <w:p>
      <w:pPr>
        <w:ind w:left="640" w:right="20" w:firstLine="1940"/>
        <w:spacing w:after="0" w:line="282" w:lineRule="auto"/>
        <w:tabs>
          <w:tab w:leader="none" w:pos="3258"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other day on which commercial banks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New York are authorized or required by law to remain closed.</w:t>
      </w:r>
    </w:p>
    <w:p>
      <w:pPr>
        <w:spacing w:after="0" w:line="161" w:lineRule="exact"/>
        <w:rPr>
          <w:rFonts w:ascii="Arial" w:cs="Arial" w:eastAsia="Arial" w:hAnsi="Arial"/>
          <w:sz w:val="18"/>
          <w:szCs w:val="18"/>
          <w:color w:val="auto"/>
        </w:rPr>
      </w:pPr>
    </w:p>
    <w:p>
      <w:pPr>
        <w:ind w:left="3200" w:hanging="620"/>
        <w:spacing w:after="0"/>
        <w:tabs>
          <w:tab w:leader="none" w:pos="3200"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ind w:left="640" w:firstLine="1940"/>
        <w:spacing w:after="0" w:line="282" w:lineRule="auto"/>
        <w:tabs>
          <w:tab w:leader="none" w:pos="3241"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“Eligible Market” </w:t>
      </w:r>
      <w:r>
        <w:rPr>
          <w:rFonts w:ascii="Arial" w:cs="Arial" w:eastAsia="Arial" w:hAnsi="Arial"/>
          <w:sz w:val="18"/>
          <w:szCs w:val="18"/>
          <w:color w:val="auto"/>
        </w:rPr>
        <w:t>means the New York Stock Exchange, Inc., the NYSE MKT, the NASDAQ Global Select</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the NASDAQ Global Market, the NASDAQ Capital Market and the Over-the-Counter Bulletin Board.</w:t>
      </w:r>
    </w:p>
    <w:p>
      <w:pPr>
        <w:spacing w:after="0" w:line="161" w:lineRule="exact"/>
        <w:rPr>
          <w:rFonts w:ascii="Arial" w:cs="Arial" w:eastAsia="Arial" w:hAnsi="Arial"/>
          <w:sz w:val="18"/>
          <w:szCs w:val="18"/>
          <w:color w:val="auto"/>
        </w:rPr>
      </w:pPr>
    </w:p>
    <w:p>
      <w:pPr>
        <w:jc w:val="both"/>
        <w:ind w:left="640" w:firstLine="1940"/>
        <w:spacing w:after="0" w:line="269" w:lineRule="auto"/>
        <w:tabs>
          <w:tab w:leader="none" w:pos="3285" w:val="left"/>
        </w:tabs>
        <w:numPr>
          <w:ilvl w:val="2"/>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“Fundamental Transaction” </w:t>
      </w:r>
      <w:r>
        <w:rPr>
          <w:rFonts w:ascii="Arial" w:cs="Arial" w:eastAsia="Arial" w:hAnsi="Arial"/>
          <w:sz w:val="17"/>
          <w:szCs w:val="17"/>
          <w:color w:val="auto"/>
        </w:rPr>
        <w:t>means that the Corporation shall (or in the case of clause (F) any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2" w:name="page143"/>
    <w:bookmarkEnd w:id="142"/>
    <w:p>
      <w:pPr>
        <w:jc w:val="both"/>
        <w:ind w:firstLine="1940"/>
        <w:spacing w:after="0" w:line="314" w:lineRule="auto"/>
        <w:tabs>
          <w:tab w:leader="none" w:pos="2666"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“Parent Entity’’ </w:t>
      </w:r>
      <w:r>
        <w:rPr>
          <w:rFonts w:ascii="Arial" w:cs="Arial" w:eastAsia="Arial" w:hAnsi="Arial"/>
          <w:sz w:val="16"/>
          <w:szCs w:val="16"/>
          <w:color w:val="auto"/>
        </w:rPr>
        <w:t>of a Person means an entity that, directly or indirectly, controls the applicable Person and</w:t>
      </w:r>
      <w:r>
        <w:rPr>
          <w:rFonts w:ascii="Arial" w:cs="Arial" w:eastAsia="Arial" w:hAnsi="Arial"/>
          <w:sz w:val="16"/>
          <w:szCs w:val="16"/>
          <w:b w:val="1"/>
          <w:bCs w:val="1"/>
          <w:color w:val="auto"/>
        </w:rPr>
        <w:t xml:space="preserve"> </w:t>
      </w:r>
      <w:r>
        <w:rPr>
          <w:rFonts w:ascii="Arial" w:cs="Arial" w:eastAsia="Arial" w:hAnsi="Arial"/>
          <w:sz w:val="16"/>
          <w:szCs w:val="16"/>
          <w:color w:val="auto"/>
        </w:rPr>
        <w:t>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41" w:lineRule="exact"/>
        <w:rPr>
          <w:rFonts w:ascii="Arial" w:cs="Arial" w:eastAsia="Arial" w:hAnsi="Arial"/>
          <w:sz w:val="16"/>
          <w:szCs w:val="16"/>
          <w:color w:val="auto"/>
        </w:rPr>
      </w:pPr>
    </w:p>
    <w:p>
      <w:pPr>
        <w:ind w:firstLine="1940"/>
        <w:spacing w:after="0" w:line="282" w:lineRule="auto"/>
        <w:tabs>
          <w:tab w:leader="none" w:pos="256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limited liability company, a partnership, a joint venture, a corporation, a trust,</w:t>
      </w:r>
      <w:r>
        <w:rPr>
          <w:rFonts w:ascii="Arial" w:cs="Arial" w:eastAsia="Arial" w:hAnsi="Arial"/>
          <w:sz w:val="18"/>
          <w:szCs w:val="18"/>
          <w:b w:val="1"/>
          <w:bCs w:val="1"/>
          <w:color w:val="auto"/>
        </w:rPr>
        <w:t xml:space="preserve"> </w:t>
      </w:r>
      <w:r>
        <w:rPr>
          <w:rFonts w:ascii="Arial" w:cs="Arial" w:eastAsia="Arial" w:hAnsi="Arial"/>
          <w:sz w:val="18"/>
          <w:szCs w:val="18"/>
          <w:color w:val="auto"/>
        </w:rPr>
        <w:t>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left="2680" w:hanging="740"/>
        <w:spacing w:after="0"/>
        <w:tabs>
          <w:tab w:leader="none" w:pos="26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“Required Holders” </w:t>
      </w:r>
      <w:r>
        <w:rPr>
          <w:rFonts w:ascii="Arial" w:cs="Arial" w:eastAsia="Arial" w:hAnsi="Arial"/>
          <w:sz w:val="16"/>
          <w:szCs w:val="16"/>
          <w:color w:val="auto"/>
        </w:rPr>
        <w:t>means the holders of record of a majority of the then outstanding shares of Series B</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Convertible Preferred Stock.</w:t>
      </w:r>
    </w:p>
    <w:p>
      <w:pPr>
        <w:spacing w:after="0" w:line="206" w:lineRule="exact"/>
        <w:rPr>
          <w:rFonts w:ascii="Arial" w:cs="Arial" w:eastAsia="Arial" w:hAnsi="Arial"/>
          <w:sz w:val="16"/>
          <w:szCs w:val="16"/>
          <w:color w:val="auto"/>
        </w:rPr>
      </w:pPr>
    </w:p>
    <w:p>
      <w:pPr>
        <w:jc w:val="both"/>
        <w:ind w:firstLine="1940"/>
        <w:spacing w:after="0" w:line="266" w:lineRule="auto"/>
        <w:tabs>
          <w:tab w:leader="none" w:pos="284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“Stated Value” </w:t>
      </w:r>
      <w:r>
        <w:rPr>
          <w:rFonts w:ascii="Arial" w:cs="Arial" w:eastAsia="Arial" w:hAnsi="Arial"/>
          <w:sz w:val="18"/>
          <w:szCs w:val="18"/>
          <w:color w:val="auto"/>
        </w:rPr>
        <w:t>shall mean $6.00 per share, subject to adjustment for stock splits, stock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recapitalizations, reorganizations, reclassifications, combinations, reverse stock splits or other similar events relating to the Series B Convertible Preferred Stock after the Initial issuance Date.</w:t>
      </w:r>
    </w:p>
    <w:p>
      <w:pPr>
        <w:spacing w:after="0" w:line="175" w:lineRule="exact"/>
        <w:rPr>
          <w:rFonts w:ascii="Arial" w:cs="Arial" w:eastAsia="Arial" w:hAnsi="Arial"/>
          <w:sz w:val="18"/>
          <w:szCs w:val="18"/>
          <w:color w:val="auto"/>
        </w:rPr>
      </w:pPr>
    </w:p>
    <w:p>
      <w:pPr>
        <w:jc w:val="both"/>
        <w:ind w:firstLine="1940"/>
        <w:spacing w:after="0" w:line="261" w:lineRule="auto"/>
        <w:tabs>
          <w:tab w:leader="none" w:pos="2635"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“Successor Entity” </w:t>
      </w:r>
      <w:r>
        <w:rPr>
          <w:rFonts w:ascii="Arial" w:cs="Arial" w:eastAsia="Arial" w:hAnsi="Arial"/>
          <w:sz w:val="18"/>
          <w:szCs w:val="18"/>
          <w:color w:val="auto"/>
        </w:rPr>
        <w:t>means the Person, which may be the Corporation, formed by, resulting from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79" w:lineRule="exact"/>
        <w:rPr>
          <w:rFonts w:ascii="Arial" w:cs="Arial" w:eastAsia="Arial" w:hAnsi="Arial"/>
          <w:sz w:val="18"/>
          <w:szCs w:val="18"/>
          <w:color w:val="auto"/>
        </w:rPr>
      </w:pPr>
    </w:p>
    <w:p>
      <w:pPr>
        <w:jc w:val="both"/>
        <w:ind w:firstLine="1940"/>
        <w:spacing w:after="0" w:line="274" w:lineRule="auto"/>
        <w:tabs>
          <w:tab w:leader="none" w:pos="2766"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“Trading Day” </w:t>
      </w:r>
      <w:r>
        <w:rPr>
          <w:rFonts w:ascii="Arial" w:cs="Arial" w:eastAsia="Arial" w:hAnsi="Arial"/>
          <w:sz w:val="17"/>
          <w:szCs w:val="17"/>
          <w:color w:val="auto"/>
        </w:rPr>
        <w:t>means any day on which the Common Stock is traded on the Principal Market, or, if the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3" w:lineRule="exact"/>
        <w:rPr>
          <w:rFonts w:ascii="Arial" w:cs="Arial" w:eastAsia="Arial" w:hAnsi="Arial"/>
          <w:sz w:val="17"/>
          <w:szCs w:val="17"/>
          <w:color w:val="auto"/>
        </w:rPr>
      </w:pPr>
    </w:p>
    <w:p>
      <w:pPr>
        <w:jc w:val="both"/>
        <w:ind w:firstLine="1940"/>
        <w:spacing w:after="0" w:line="261" w:lineRule="auto"/>
        <w:tabs>
          <w:tab w:leader="none" w:pos="274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“Voting Stock” </w:t>
      </w:r>
      <w:r>
        <w:rPr>
          <w:rFonts w:ascii="Arial" w:cs="Arial" w:eastAsia="Arial" w:hAnsi="Arial"/>
          <w:sz w:val="18"/>
          <w:szCs w:val="18"/>
          <w:color w:val="auto"/>
        </w:rPr>
        <w:t>means capital stock of the class or classes pursuant to which the holders thereof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3" w:name="page144"/>
    <w:bookmarkEnd w:id="143"/>
    <w:p>
      <w:pPr>
        <w:jc w:val="both"/>
        <w:ind w:left="-20" w:firstLine="1952"/>
        <w:spacing w:after="0" w:line="267" w:lineRule="auto"/>
        <w:tabs>
          <w:tab w:leader="none" w:pos="270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Assumption</w:t>
      </w:r>
      <w:r>
        <w:rPr>
          <w:rFonts w:ascii="Arial" w:cs="Arial" w:eastAsia="Arial" w:hAnsi="Arial"/>
          <w:sz w:val="17"/>
          <w:szCs w:val="17"/>
          <w:color w:val="auto"/>
        </w:rPr>
        <w:t>. The Corporation shall not enter into or be party to a Fundamental Transaction unless (i) the Successor Entity assumes in writing all of the obligations of the Corporation under this Certificate of Designation in accordance with the provisions of this Section 4 pursuant to written agreements in form and substance reasonably satisfactory to the Required Holders and approved by the Required Holders prior to such Fundamental Transaction, including agreements to deliver to each Holder of Series B Convertible Preferred Stock in exchange for such Series B Convertible Preferred Stock a security of the Successor Entity evidenced by a written instrument substantially similar in form and substance to this Certificate of Designation including, without limitation, having a stated value equal to the Stated Value of the Series B Convertible Preferred Stock held by such Holder and having similar ranking to the Series B Convertible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 referring to the “Corporation” shall refer instead to the Successor Entity), and may exercise every right and power of the Corporation and shall assume all of the obligations of the Corporation under this Certificate of Designation with the same effect as if such Successor Entity had been named as the Corporation herein. Upon consummation of the Fundamental Transaction, the Successor Entity shall deliver to the Holder confirmation that there shall be issued upon conversion of the Series B Convertible Preferred Stock at any time after the consummation of the Fundamental Transaction, in lieu of the shares of Common Stock (or other securities, cash, assets or other property) issuable upon the conversion of the Series B Convertible Preferred Stock prior to such Fundamental Transaction (without regard to any limitations on the conversion of the Series B Convertible Preferred Stock), such shares of publicly traded common stock (or their equivalent) of the Successor Entity, as adjusted in accordance with the provisions of this Certificate of Designation, which the Holder would have been entitled to receive had such Holder converted the Series B Convertible Preferred Stock in full (without regard to any limitations on conversion) immediately prior to such Fundamental Transaction. The provisions of this Section shall apply similarly and equally to successive Fundamental Transactions and shall be applied without regard to any limitations on the conversion of the Series B Convertible Preferred Stock.</w:t>
      </w:r>
    </w:p>
    <w:p>
      <w:pPr>
        <w:spacing w:after="0" w:line="186" w:lineRule="exact"/>
        <w:rPr>
          <w:rFonts w:ascii="Arial" w:cs="Arial" w:eastAsia="Arial" w:hAnsi="Arial"/>
          <w:sz w:val="17"/>
          <w:szCs w:val="17"/>
          <w:color w:val="auto"/>
        </w:rPr>
      </w:pPr>
    </w:p>
    <w:p>
      <w:pPr>
        <w:ind w:left="1920" w:hanging="636"/>
        <w:spacing w:after="0"/>
        <w:tabs>
          <w:tab w:leader="none" w:pos="19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20" w:firstLine="1952"/>
        <w:spacing w:after="0" w:line="263" w:lineRule="auto"/>
        <w:tabs>
          <w:tab w:leader="none" w:pos="269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issued and outstanding share of share of Series B Convertible Preferred Stock shall be entitled to the number of votes equal to the number of shares of Common Stock into which each such share of Series B Convertible Preferred Stock is convertible (as adjusted from time to time pursuant to Section 4 hereof).</w:t>
      </w:r>
    </w:p>
    <w:p>
      <w:pPr>
        <w:spacing w:after="0" w:line="183" w:lineRule="exact"/>
        <w:rPr>
          <w:rFonts w:ascii="Arial" w:cs="Arial" w:eastAsia="Arial" w:hAnsi="Arial"/>
          <w:sz w:val="18"/>
          <w:szCs w:val="18"/>
          <w:color w:val="auto"/>
        </w:rPr>
      </w:pPr>
    </w:p>
    <w:p>
      <w:pPr>
        <w:jc w:val="both"/>
        <w:ind w:left="-20" w:firstLine="1952"/>
        <w:spacing w:after="0" w:line="286" w:lineRule="auto"/>
        <w:tabs>
          <w:tab w:leader="none" w:pos="2827"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Series B Convertible Preferred Stock Protective Provisions</w:t>
      </w:r>
      <w:r>
        <w:rPr>
          <w:rFonts w:ascii="Arial" w:cs="Arial" w:eastAsia="Arial" w:hAnsi="Arial"/>
          <w:sz w:val="17"/>
          <w:szCs w:val="17"/>
          <w:color w:val="auto"/>
        </w:rPr>
        <w:t>. In addition to any other rights provided by law, the Corporation shall not and shall not permit any direct or indirect Subsidiary (as defined below) of the Corporation to, without first obtaining the affirmative vote or written consent of the holders of a majority of the outstanding shares of Series B Convertible Preferred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4" w:name="page145"/>
    <w:bookmarkEnd w:id="144"/>
    <w:p>
      <w:pPr>
        <w:ind w:left="3200" w:hanging="620"/>
        <w:spacing w:after="0"/>
        <w:tabs>
          <w:tab w:leader="none" w:pos="32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B Convertible Preferred Stock; or</w:t>
      </w:r>
    </w:p>
    <w:p>
      <w:pPr>
        <w:spacing w:after="0" w:line="225" w:lineRule="exact"/>
        <w:rPr>
          <w:rFonts w:ascii="Arial" w:cs="Arial" w:eastAsia="Arial" w:hAnsi="Arial"/>
          <w:sz w:val="18"/>
          <w:szCs w:val="18"/>
          <w:color w:val="auto"/>
        </w:rPr>
      </w:pPr>
    </w:p>
    <w:p>
      <w:pPr>
        <w:ind w:left="640" w:firstLine="1940"/>
        <w:spacing w:after="0" w:line="277" w:lineRule="auto"/>
        <w:tabs>
          <w:tab w:leader="none" w:pos="333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B Convertible Preferred Stock so as to affect adversely the Series B Convertible Preferred Stock.</w:t>
      </w:r>
    </w:p>
    <w:p>
      <w:pPr>
        <w:spacing w:after="0" w:line="170" w:lineRule="exact"/>
        <w:rPr>
          <w:rFonts w:ascii="Arial" w:cs="Arial" w:eastAsia="Arial" w:hAnsi="Arial"/>
          <w:sz w:val="18"/>
          <w:szCs w:val="18"/>
          <w:color w:val="auto"/>
        </w:rPr>
      </w:pPr>
    </w:p>
    <w:p>
      <w:pPr>
        <w:jc w:val="both"/>
        <w:ind w:left="-20" w:firstLine="1304"/>
        <w:spacing w:after="0" w:line="268" w:lineRule="auto"/>
        <w:tabs>
          <w:tab w:leader="none" w:pos="1915"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Each share of Series B Convertible Preferred Stock shall automatically be converted into shares of Common Stock immediately upon (i) the Corporation’s authorized shares of Common Stock being increased to an amount sufficient to allow the Corporation to convert all shares of Series B Convertible Preferred Stock then outstanding into shares of Common Stock or (ii) the number of issued and outstanding shares of Common Stock and shares reserved for issuance being reduced to an amount sufficient to allow the Corporation to convert all shares of Series B Convertible Preferred Stock then outstanding into shares of Common Stock (each, a </w:t>
      </w:r>
      <w:r>
        <w:rPr>
          <w:rFonts w:ascii="Arial" w:cs="Arial" w:eastAsia="Arial" w:hAnsi="Arial"/>
          <w:sz w:val="17"/>
          <w:szCs w:val="17"/>
          <w:b w:val="1"/>
          <w:bCs w:val="1"/>
          <w:color w:val="auto"/>
        </w:rPr>
        <w:t>“Series B Automatic Conversion Event”)</w:t>
      </w:r>
      <w:r>
        <w:rPr>
          <w:rFonts w:ascii="Arial" w:cs="Arial" w:eastAsia="Arial" w:hAnsi="Arial"/>
          <w:sz w:val="17"/>
          <w:szCs w:val="17"/>
          <w:color w:val="auto"/>
        </w:rPr>
        <w:t xml:space="preserve">. If a Series B Automatic Conversion Event does not occur following the Corporation’s Annual Meeting scheduled to be held on November 16, 2015 (as such date may be extended pursuant to any adjournments of such meeting), then each share of Series B Convertible Preferred Stock shall automatically be converted into shares of Common Stock, up to and to the extent that the Corporation has authorized shares that are not reserved for other issuances (the </w:t>
      </w:r>
      <w:r>
        <w:rPr>
          <w:rFonts w:ascii="Arial" w:cs="Arial" w:eastAsia="Arial" w:hAnsi="Arial"/>
          <w:sz w:val="17"/>
          <w:szCs w:val="17"/>
          <w:b w:val="1"/>
          <w:bCs w:val="1"/>
          <w:color w:val="auto"/>
        </w:rPr>
        <w:t>“Partial 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The number of shares to be converted pursuant to the Partial Conversion Event shall be allocated pro rata among the Holders based on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Series B Convertible Preferred Stock held by each Holder at the time of the Partial Conversion Event. Upon the occurrence of a Series B Automatic Conversion Event or Partial Conversion Event, the applicable shares of Series B Preferred Stock shall be automatically converted into the number of shares of Common Stock into which such shares of Series B Convertible Preferred Stock are then convertible pursuant to this Section 6 without any further action by any holder of such shares and whether or not the certificate(s) representing such shares are surrendered to the Corporation or its transfer agent.</w:t>
      </w:r>
    </w:p>
    <w:p>
      <w:pPr>
        <w:spacing w:after="0" w:line="184" w:lineRule="exact"/>
        <w:rPr>
          <w:rFonts w:ascii="Arial" w:cs="Arial" w:eastAsia="Arial" w:hAnsi="Arial"/>
          <w:sz w:val="17"/>
          <w:szCs w:val="17"/>
          <w:color w:val="auto"/>
        </w:rPr>
      </w:pPr>
    </w:p>
    <w:p>
      <w:pPr>
        <w:ind w:left="2580" w:hanging="648"/>
        <w:spacing w:after="0"/>
        <w:tabs>
          <w:tab w:leader="none" w:pos="25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1" w:lineRule="exact"/>
        <w:rPr>
          <w:rFonts w:ascii="Arial" w:cs="Arial" w:eastAsia="Arial" w:hAnsi="Arial"/>
          <w:sz w:val="18"/>
          <w:szCs w:val="18"/>
          <w:color w:val="auto"/>
        </w:rPr>
      </w:pPr>
    </w:p>
    <w:p>
      <w:pPr>
        <w:ind w:left="3200" w:hanging="620"/>
        <w:spacing w:after="0"/>
        <w:tabs>
          <w:tab w:leader="none" w:pos="3200" w:val="left"/>
        </w:tabs>
        <w:numPr>
          <w:ilvl w:val="2"/>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“Bloomberg” </w:t>
      </w:r>
      <w:r>
        <w:rPr>
          <w:rFonts w:ascii="Arial" w:cs="Arial" w:eastAsia="Arial" w:hAnsi="Arial"/>
          <w:sz w:val="18"/>
          <w:szCs w:val="18"/>
          <w:color w:val="auto"/>
        </w:rPr>
        <w:t>means Bloomberg Financial Markets.</w:t>
      </w:r>
    </w:p>
    <w:p>
      <w:pPr>
        <w:spacing w:after="0" w:line="225" w:lineRule="exact"/>
        <w:rPr>
          <w:rFonts w:ascii="Arial" w:cs="Arial" w:eastAsia="Arial" w:hAnsi="Arial"/>
          <w:sz w:val="18"/>
          <w:szCs w:val="18"/>
          <w:color w:val="auto"/>
        </w:rPr>
      </w:pPr>
    </w:p>
    <w:p>
      <w:pPr>
        <w:ind w:left="3200" w:hanging="620"/>
        <w:spacing w:after="0"/>
        <w:tabs>
          <w:tab w:leader="none" w:pos="3200" w:val="left"/>
        </w:tabs>
        <w:numPr>
          <w:ilvl w:val="2"/>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“Conversion Amount” </w:t>
      </w:r>
      <w:r>
        <w:rPr>
          <w:rFonts w:ascii="Arial" w:cs="Arial" w:eastAsia="Arial" w:hAnsi="Arial"/>
          <w:sz w:val="18"/>
          <w:szCs w:val="18"/>
          <w:color w:val="auto"/>
        </w:rPr>
        <w:t>means the Stated Value.</w:t>
      </w:r>
    </w:p>
    <w:p>
      <w:pPr>
        <w:spacing w:after="0" w:line="225" w:lineRule="exact"/>
        <w:rPr>
          <w:rFonts w:ascii="Arial" w:cs="Arial" w:eastAsia="Arial" w:hAnsi="Arial"/>
          <w:sz w:val="18"/>
          <w:szCs w:val="18"/>
          <w:color w:val="auto"/>
        </w:rPr>
      </w:pPr>
    </w:p>
    <w:p>
      <w:pPr>
        <w:ind w:left="3200" w:hanging="620"/>
        <w:spacing w:after="0"/>
        <w:tabs>
          <w:tab w:leader="none" w:pos="3200" w:val="left"/>
        </w:tabs>
        <w:numPr>
          <w:ilvl w:val="2"/>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“Conversion Price” </w:t>
      </w:r>
      <w:r>
        <w:rPr>
          <w:rFonts w:ascii="Arial" w:cs="Arial" w:eastAsia="Arial" w:hAnsi="Arial"/>
          <w:sz w:val="18"/>
          <w:szCs w:val="18"/>
          <w:color w:val="auto"/>
        </w:rPr>
        <w:t>means $0.60, subject to adjustment as provided herein.</w:t>
      </w:r>
    </w:p>
    <w:p>
      <w:pPr>
        <w:spacing w:after="0" w:line="225" w:lineRule="exact"/>
        <w:rPr>
          <w:rFonts w:ascii="Arial" w:cs="Arial" w:eastAsia="Arial" w:hAnsi="Arial"/>
          <w:sz w:val="18"/>
          <w:szCs w:val="18"/>
          <w:color w:val="auto"/>
        </w:rPr>
      </w:pPr>
    </w:p>
    <w:p>
      <w:pPr>
        <w:ind w:left="640" w:firstLine="1940"/>
        <w:spacing w:after="0" w:line="282" w:lineRule="auto"/>
        <w:tabs>
          <w:tab w:leader="none" w:pos="3447" w:val="left"/>
        </w:tabs>
        <w:numPr>
          <w:ilvl w:val="2"/>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the Corporation, any entity in which the Corporation,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owns any of the capital stock or holds an equity or similar interest.</w:t>
      </w:r>
    </w:p>
    <w:p>
      <w:pPr>
        <w:spacing w:after="0" w:line="165" w:lineRule="exact"/>
        <w:rPr>
          <w:rFonts w:ascii="Arial" w:cs="Arial" w:eastAsia="Arial" w:hAnsi="Arial"/>
          <w:sz w:val="18"/>
          <w:szCs w:val="18"/>
          <w:color w:val="auto"/>
        </w:rPr>
      </w:pPr>
    </w:p>
    <w:p>
      <w:pPr>
        <w:jc w:val="both"/>
        <w:ind w:left="-20" w:firstLine="1952"/>
        <w:spacing w:after="0" w:line="263" w:lineRule="auto"/>
        <w:tabs>
          <w:tab w:leader="none" w:pos="2651"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The number of shares of Common Stock issuable upon conversion of each share of Series B Convertible Preferred Stock pursuant to this Section 6 shall be determined by multiplying each such share of Series B Convertible Preferred Stock by the fraction set forth below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 fractional shares of Common Stock are to be issued upon the conversion of any Series B Convertible Preferred Stock, but rather the number of shares of Common Stock to be issued shall be rounded up to the nearest whole number.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37" w:lineRule="exact"/>
        <w:rPr>
          <w:sz w:val="20"/>
          <w:szCs w:val="20"/>
          <w:color w:val="auto"/>
        </w:rPr>
      </w:pPr>
    </w:p>
    <w:p>
      <w:pPr>
        <w:ind w:left="2620" w:hanging="668"/>
        <w:spacing w:after="0"/>
        <w:tabs>
          <w:tab w:leader="none" w:pos="26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The conversion of Series B Convertible Preferred Stock shall be conducted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manner:</w:t>
      </w:r>
    </w:p>
    <w:p>
      <w:pPr>
        <w:spacing w:after="0" w:line="211" w:lineRule="exact"/>
        <w:rPr>
          <w:sz w:val="20"/>
          <w:szCs w:val="20"/>
          <w:color w:val="auto"/>
        </w:rPr>
      </w:pPr>
    </w:p>
    <w:p>
      <w:pPr>
        <w:jc w:val="both"/>
        <w:ind w:left="660" w:firstLine="1940"/>
        <w:spacing w:after="0" w:line="253" w:lineRule="auto"/>
        <w:tabs>
          <w:tab w:leader="none" w:pos="331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Upon the occurrence of a Series B Automatic Conversion Event or if a Partial Conversion Event is to occur and in any event within ten (10) days after receipt of notice, by mail, postage prepaid from the Corporation of the occurrence of such event, each holder of record of shares of Series B Convertible Preferred Stock being converted shall (A) transmit by facsimile (or otherwise deliver) a copy of a properly completed notice of conversion executed by the registered Holder of the Series B Convertible Preferred Stock subject to such conversion in the form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b w:val="1"/>
          <w:bCs w:val="1"/>
          <w:color w:val="auto"/>
        </w:rPr>
        <w:t>“Conversion Notice”</w:t>
      </w:r>
      <w:r>
        <w:rPr>
          <w:rFonts w:ascii="Arial" w:cs="Arial" w:eastAsia="Arial" w:hAnsi="Arial"/>
          <w:sz w:val="18"/>
          <w:szCs w:val="18"/>
          <w:color w:val="auto"/>
        </w:rPr>
        <w:t xml:space="preserve">) to the Corporation and if the Corporation has appointed a registered transfer agent, the Corporation’s registered transfer agent (the </w:t>
      </w:r>
      <w:r>
        <w:rPr>
          <w:rFonts w:ascii="Arial" w:cs="Arial" w:eastAsia="Arial" w:hAnsi="Arial"/>
          <w:sz w:val="18"/>
          <w:szCs w:val="18"/>
          <w:b w:val="1"/>
          <w:bCs w:val="1"/>
          <w:color w:val="auto"/>
        </w:rPr>
        <w:t>“Transfer Agent”</w:t>
      </w:r>
      <w:r>
        <w:rPr>
          <w:rFonts w:ascii="Arial" w:cs="Arial" w:eastAsia="Arial" w:hAnsi="Arial"/>
          <w:sz w:val="18"/>
          <w:szCs w:val="18"/>
          <w:color w:val="auto"/>
        </w:rPr>
        <w:t xml:space="preserve">) (if the Corporation does not have a registered transfer agent, references hereto to the “Transfer Agent” shall be deemed to be references to the Corporation) and (B) if required by Section 6(c)(iv), surrender to a common carrier for delivery to the Corporation as soon as practicable following such date the original certificates representing the Series B Convertible Preferred Stock being converted (or compliance with the procedures set forth in Section 9) (the </w:t>
      </w:r>
      <w:r>
        <w:rPr>
          <w:rFonts w:ascii="Arial" w:cs="Arial" w:eastAsia="Arial" w:hAnsi="Arial"/>
          <w:sz w:val="18"/>
          <w:szCs w:val="18"/>
          <w:b w:val="1"/>
          <w:bCs w:val="1"/>
          <w:color w:val="auto"/>
        </w:rPr>
        <w:t>“Preferred Stock</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660" w:firstLine="1940"/>
        <w:spacing w:after="0" w:line="287" w:lineRule="auto"/>
        <w:tabs>
          <w:tab w:leader="none" w:pos="329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facsimile, a confirmation of receipt of such Conversion Notice to such Holder and the Transfer Agent, if applicable, which confirmation shall constitute an instruction to the Transfer Agent to process</w:t>
      </w:r>
    </w:p>
    <w:p>
      <w:pPr>
        <w:spacing w:after="0" w:line="2" w:lineRule="exact"/>
        <w:rPr>
          <w:sz w:val="20"/>
          <w:szCs w:val="20"/>
          <w:color w:val="auto"/>
        </w:rPr>
      </w:pPr>
    </w:p>
    <w:p>
      <w:pPr>
        <w:jc w:val="both"/>
        <w:ind w:left="660"/>
        <w:spacing w:after="0" w:line="274" w:lineRule="auto"/>
        <w:rPr>
          <w:sz w:val="20"/>
          <w:szCs w:val="20"/>
          <w:color w:val="auto"/>
        </w:rPr>
      </w:pPr>
      <w:r>
        <w:rPr>
          <w:rFonts w:ascii="Arial" w:cs="Arial" w:eastAsia="Arial" w:hAnsi="Arial"/>
          <w:sz w:val="16"/>
          <w:szCs w:val="16"/>
          <w:color w:val="auto"/>
        </w:rPr>
        <w:t>such Conversion Notice in 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Trading Day following the date of receipt by the Corporation of such Conversion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xml:space="preserv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B Convertible Preferred Stock represented by the Preferred Stock Certificate(s) submitted for conversion pursuant to a Partial Conversion Event, as may be required pursuant to Section 6(c)(iv), is greater than the number of shares of Series B Convertible Preferred Stock being converted, then the Corporation shall or shall direct the Transfer Agent, as soon as practicable and in no event later than three (3) Business Days after receipt of the Preferred Stock Certificate(s) (the </w:t>
      </w:r>
      <w:r>
        <w:rPr>
          <w:rFonts w:ascii="Arial" w:cs="Arial" w:eastAsia="Arial" w:hAnsi="Arial"/>
          <w:sz w:val="16"/>
          <w:szCs w:val="16"/>
          <w:b w:val="1"/>
          <w:bCs w:val="1"/>
          <w:color w:val="auto"/>
        </w:rPr>
        <w:t>“Preferred Stock Delivery Date”)</w:t>
      </w:r>
      <w:r>
        <w:rPr>
          <w:rFonts w:ascii="Arial" w:cs="Arial" w:eastAsia="Arial" w:hAnsi="Arial"/>
          <w:sz w:val="16"/>
          <w:szCs w:val="16"/>
          <w:color w:val="auto"/>
        </w:rPr>
        <w:t xml:space="preserve"> and at its own expense, issue and deliver to the Holder a new Preferred Stock Certificate representing the number of shares of Series B Convertible Preferred Stock not converted or it shall direct the Transfer Agent to update the Holder’s account to reflect the number of shares of Series B Convertible Preferred Stock not converted.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2100" w:hanging="620"/>
        <w:spacing w:after="0"/>
        <w:tabs>
          <w:tab w:leader="none" w:pos="21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1288"/>
        <w:spacing w:after="0" w:line="285" w:lineRule="auto"/>
        <w:tabs>
          <w:tab w:leader="none" w:pos="2818"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xml:space="preserve">.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B Convertible Preferred Stock (a </w:t>
      </w:r>
      <w:r>
        <w:rPr>
          <w:rFonts w:ascii="Arial" w:cs="Arial" w:eastAsia="Arial" w:hAnsi="Arial"/>
          <w:sz w:val="16"/>
          <w:szCs w:val="16"/>
          <w:b w:val="1"/>
          <w:bCs w:val="1"/>
          <w:color w:val="auto"/>
        </w:rPr>
        <w:t>“Conversion Failure”</w:t>
      </w:r>
      <w:r>
        <w:rPr>
          <w:rFonts w:ascii="Arial" w:cs="Arial" w:eastAsia="Arial" w:hAnsi="Arial"/>
          <w:sz w:val="16"/>
          <w:szCs w:val="16"/>
          <w:color w:val="auto"/>
        </w:rPr>
        <w:t xml:space="preserve">),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xml:space="preserve">),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B Convertible Preferred Stock as required pursuant to the terms hereof.</w:t>
      </w:r>
    </w:p>
    <w:p>
      <w:pPr>
        <w:spacing w:after="0" w:line="176" w:lineRule="exact"/>
        <w:rPr>
          <w:rFonts w:ascii="Arial" w:cs="Arial" w:eastAsia="Arial" w:hAnsi="Arial"/>
          <w:sz w:val="16"/>
          <w:szCs w:val="16"/>
          <w:color w:val="auto"/>
        </w:rPr>
      </w:pPr>
    </w:p>
    <w:p>
      <w:pPr>
        <w:jc w:val="both"/>
        <w:ind w:left="-460" w:firstLine="1940"/>
        <w:spacing w:after="0" w:line="285" w:lineRule="auto"/>
        <w:tabs>
          <w:tab w:leader="none" w:pos="241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B Convertible Preferred Stock in accordance with the terms hereof, the Holder thereof shall not be required to physically surrender the Preferred Stock Certificate unless (A) the full or remaining number of shares of Series B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B Convertible Preferred Stock upon physical surrender of any Series B Convertible Preferred Stock. The Holder and the Corporation shall maintain records showing the number of shares of Series B Convertible Preferred Stock so converted and the dates of such conversions or shall use such other method, reasonably satisfactory to the Holder and the Corporation, so as not to require physical surrender of the certificate representing the Series B Convertible Preferred Stock upon each such conversion. In the event of any dispute or discrepancy, such records of the Corporation establishing the number of shares of Series B Convertible Preferred Stock to which the record holder is entitled shall be controlling and determinative in the absence of manifest error, Notwithstanding the foregoing, if Series B Convertible Preferred Stock represented by a certificate are converted as aforesaid, a Holder may not transfer the certificate representing the Series B Convertible Preferred Stock unless such Holder first physically surrenders the certificate representing the Series B Convertible Preferred Stock to the Corporation, whereupon the Corporation will forthwith issue and deliver upon the order of such Holder a new certificate of like tenor, registered as such Holder may request, representing in the aggregate the remaining number of shares of Series B Convertible Preferred Stock represented by such certificate. A Holder and any assignee, by acceptance of a certificate, acknowledge and agree that, by reason of the provisions of this paragraph, following conversion of any Series B Convertible Preferred Stock, the number of shares of Series B Convertible Preferred Stock represented by such certificate may be less than the number of shares of Series B Convertible Preferred Stock stated on the face thereof. Each certificate for Series B Convertible Preferred Stock shall bear the following legend: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7" w:name="page148"/>
    <w:bookmarkEnd w:id="147"/>
    <w:p>
      <w:pPr>
        <w:jc w:val="both"/>
        <w:ind w:left="1480"/>
        <w:spacing w:after="0" w:line="257" w:lineRule="auto"/>
        <w:rPr>
          <w:sz w:val="20"/>
          <w:szCs w:val="20"/>
          <w:color w:val="auto"/>
        </w:rPr>
      </w:pPr>
      <w:r>
        <w:rPr>
          <w:rFonts w:ascii="Arial" w:cs="Arial" w:eastAsia="Arial" w:hAnsi="Arial"/>
          <w:sz w:val="18"/>
          <w:szCs w:val="18"/>
          <w:color w:val="auto"/>
        </w:rPr>
        <w:t>THIS SECURITY HAS NOT BEEN REGISTERED UNDER THE UNITED STATES SECURITIES ACT OF 1933, AS AMENDED (THE “SECURITIES ACT”) OR THE SECURITIES LAWS OF ANY U.S. STATE, NOR IS ANY SUCH REGISTRATION CONTEMPLATED. THIS SECURITY MAY NOT BE OFFERED, SOLD OR OTHERWISE TRANSFERRED IN THE ABSENCE OF SUCH REGISTRATION OR AN APPLICABLE EXEMPTION THEREFROM.</w:t>
      </w:r>
    </w:p>
    <w:p>
      <w:pPr>
        <w:spacing w:after="0" w:line="188" w:lineRule="exact"/>
        <w:rPr>
          <w:sz w:val="20"/>
          <w:szCs w:val="20"/>
          <w:color w:val="auto"/>
        </w:rPr>
      </w:pPr>
    </w:p>
    <w:p>
      <w:pPr>
        <w:ind w:left="1500" w:hanging="668"/>
        <w:spacing w:after="0"/>
        <w:tabs>
          <w:tab w:leader="none" w:pos="15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940"/>
        <w:spacing w:after="0" w:line="268" w:lineRule="auto"/>
        <w:tabs>
          <w:tab w:leader="none" w:pos="2252"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The Corporation shall, upon the happening of the Series B Automatic Conversion Event, reserve and keep available out of its authorized but unissued stock, for the purposes of effecting the conversion of the Series B Convertible Preferred Stock, such number of its duly authorized and unissued shares of Common Stock as shall from time to time be sufficient to effect the conversion of all outstanding Series B Convertible Preferred Stock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xml:space="preserve">). The initial number of shares of Common Stock reserved for conversions of the Series B Convertible Preferred Stock and each increase in the number of shares so reserved shall be allocated pro rata among the Holders based on the number of shares of Series B Convertible Preferred Stock held by each Holder at the time of issuance of the Series B Convertible Preferred Stock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a Holder shall sell or otherwise transfer any of such Holder’s Series B Convertible Preferred Stock, each transferee shall be allocated a pro rata portion of the number of reserved shares of Common Stock reserved for such transferor. Any shares of Common Stock reserved and allocated to any Person which ceases to hold any Series B Convertible Preferred Stock (other than pursuant to a transfer of Series B Convertible Preferred Stock in accordance with the immediately preceding sentence) shall be allocated to the remaining Holders of Series B Convertible Preferred Stock, pro rata based on the number of shares of Series B Convertible Preferred Stock then held by such Holders. Before taking any action that would cause an adjustment reducing the Conversion Price below the then par value of the shares of Common Stock issuable upon conversion of the Series B Convertible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8" w:name="page149"/>
    <w:bookmarkEnd w:id="148"/>
    <w:p>
      <w:pPr>
        <w:jc w:val="both"/>
        <w:ind w:left="-20" w:firstLine="1952"/>
        <w:spacing w:after="0" w:line="269" w:lineRule="auto"/>
        <w:tabs>
          <w:tab w:leader="none" w:pos="268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85" w:lineRule="exact"/>
        <w:rPr>
          <w:rFonts w:ascii="Arial" w:cs="Arial" w:eastAsia="Arial" w:hAnsi="Arial"/>
          <w:sz w:val="17"/>
          <w:szCs w:val="17"/>
          <w:color w:val="auto"/>
        </w:rPr>
      </w:pPr>
    </w:p>
    <w:p>
      <w:pPr>
        <w:jc w:val="both"/>
        <w:ind w:left="-20" w:firstLine="1952"/>
        <w:spacing w:after="0" w:line="263" w:lineRule="auto"/>
        <w:tabs>
          <w:tab w:leader="none" w:pos="263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The Person or Persons entitled to receive the shares of Common Stock issuable upon a conversion of Series B Convertible Preferred Stock shall be treated for all purposes as the record holder or holders of such shares of Common Stock on the Conversion Date.</w:t>
      </w:r>
    </w:p>
    <w:p>
      <w:pPr>
        <w:spacing w:after="0" w:line="183" w:lineRule="exact"/>
        <w:rPr>
          <w:rFonts w:ascii="Arial" w:cs="Arial" w:eastAsia="Arial" w:hAnsi="Arial"/>
          <w:sz w:val="18"/>
          <w:szCs w:val="18"/>
          <w:color w:val="auto"/>
        </w:rPr>
      </w:pPr>
    </w:p>
    <w:p>
      <w:pPr>
        <w:jc w:val="both"/>
        <w:ind w:left="-20" w:firstLine="1952"/>
        <w:spacing w:after="0" w:line="273" w:lineRule="auto"/>
        <w:tabs>
          <w:tab w:leader="none" w:pos="281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B Convertible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6(c)(iii)(B), any shares of Series B Convertible Preferred Stock so converted shall be retired and canceled and shall not be reissued, and the Corporation may from time to time take such appropriate action as may be necessary to reduce the authorized Series B Convertible Preferred Stock accordingly.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49" w:name="page150"/>
    <w:bookmarkEnd w:id="149"/>
    <w:p>
      <w:pPr>
        <w:jc w:val="both"/>
        <w:ind w:firstLine="1952"/>
        <w:spacing w:after="0" w:line="254" w:lineRule="auto"/>
        <w:tabs>
          <w:tab w:leader="none" w:pos="2604"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 issuance of certificates for shares of the Common Stock on conversion of this Series B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B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94" w:lineRule="exact"/>
        <w:rPr>
          <w:rFonts w:ascii="Arial" w:cs="Arial" w:eastAsia="Arial" w:hAnsi="Arial"/>
          <w:sz w:val="18"/>
          <w:szCs w:val="18"/>
          <w:color w:val="auto"/>
        </w:rPr>
      </w:pPr>
    </w:p>
    <w:p>
      <w:pPr>
        <w:ind w:left="2000" w:hanging="696"/>
        <w:spacing w:after="0"/>
        <w:tabs>
          <w:tab w:leader="none" w:pos="200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Anti-Dilution Provisions</w:t>
      </w:r>
      <w:r>
        <w:rPr>
          <w:rFonts w:ascii="Arial" w:cs="Arial" w:eastAsia="Arial" w:hAnsi="Arial"/>
          <w:sz w:val="16"/>
          <w:szCs w:val="16"/>
          <w:color w:val="auto"/>
        </w:rPr>
        <w:t>. The Conversion Price shall be subject to adjustment from time to time in accordance with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210" w:lineRule="exact"/>
        <w:rPr>
          <w:rFonts w:ascii="Arial" w:cs="Arial" w:eastAsia="Arial" w:hAnsi="Arial"/>
          <w:sz w:val="16"/>
          <w:szCs w:val="16"/>
          <w:color w:val="auto"/>
        </w:rPr>
      </w:pPr>
    </w:p>
    <w:p>
      <w:pPr>
        <w:ind w:left="2600" w:hanging="648"/>
        <w:spacing w:after="0"/>
        <w:tabs>
          <w:tab w:leader="none" w:pos="26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660" w:firstLine="1940"/>
        <w:spacing w:after="0" w:line="282" w:lineRule="auto"/>
        <w:tabs>
          <w:tab w:leader="none" w:pos="3264" w:val="left"/>
        </w:tabs>
        <w:numPr>
          <w:ilvl w:val="2"/>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“Convertible Securities” </w:t>
      </w:r>
      <w:r>
        <w:rPr>
          <w:rFonts w:ascii="Arial" w:cs="Arial" w:eastAsia="Arial" w:hAnsi="Arial"/>
          <w:sz w:val="18"/>
          <w:szCs w:val="18"/>
          <w:color w:val="auto"/>
        </w:rPr>
        <w:t>means any stock or securities (other than Options) directly or indirectly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into or exchangeable or exercisable for Common Stock.</w:t>
      </w:r>
    </w:p>
    <w:p>
      <w:pPr>
        <w:spacing w:after="0" w:line="161" w:lineRule="exact"/>
        <w:rPr>
          <w:rFonts w:ascii="Arial" w:cs="Arial" w:eastAsia="Arial" w:hAnsi="Arial"/>
          <w:sz w:val="18"/>
          <w:szCs w:val="18"/>
          <w:color w:val="auto"/>
        </w:rPr>
      </w:pPr>
    </w:p>
    <w:p>
      <w:pPr>
        <w:ind w:left="3280" w:hanging="680"/>
        <w:spacing w:after="0"/>
        <w:tabs>
          <w:tab w:leader="none" w:pos="3280" w:val="left"/>
        </w:tabs>
        <w:numPr>
          <w:ilvl w:val="2"/>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“Options” </w:t>
      </w:r>
      <w:r>
        <w:rPr>
          <w:rFonts w:ascii="Arial" w:cs="Arial" w:eastAsia="Arial" w:hAnsi="Arial"/>
          <w:sz w:val="16"/>
          <w:szCs w:val="16"/>
          <w:color w:val="auto"/>
        </w:rPr>
        <w:t>means any rights, warrants or options to subscribe for or purchase Common Stock or Convertible</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6" w:lineRule="exact"/>
        <w:rPr>
          <w:rFonts w:ascii="Arial" w:cs="Arial" w:eastAsia="Arial" w:hAnsi="Arial"/>
          <w:sz w:val="16"/>
          <w:szCs w:val="16"/>
          <w:color w:val="auto"/>
        </w:rPr>
      </w:pPr>
    </w:p>
    <w:p>
      <w:pPr>
        <w:ind w:left="3440" w:hanging="840"/>
        <w:spacing w:after="0"/>
        <w:tabs>
          <w:tab w:leader="none" w:pos="3440" w:val="left"/>
        </w:tabs>
        <w:numPr>
          <w:ilvl w:val="2"/>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“Principal Market” </w:t>
      </w:r>
      <w:r>
        <w:rPr>
          <w:rFonts w:ascii="Arial" w:cs="Arial" w:eastAsia="Arial" w:hAnsi="Arial"/>
          <w:sz w:val="17"/>
          <w:szCs w:val="17"/>
          <w:color w:val="auto"/>
        </w:rPr>
        <w:t>means the Eligible Market that is the principal securities exchange market for the</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Common Stock.</w:t>
      </w:r>
    </w:p>
    <w:p>
      <w:pPr>
        <w:spacing w:after="0" w:line="210" w:lineRule="exact"/>
        <w:rPr>
          <w:rFonts w:ascii="Arial" w:cs="Arial" w:eastAsia="Arial" w:hAnsi="Arial"/>
          <w:sz w:val="17"/>
          <w:szCs w:val="17"/>
          <w:color w:val="auto"/>
        </w:rPr>
      </w:pPr>
    </w:p>
    <w:p>
      <w:pPr>
        <w:jc w:val="both"/>
        <w:ind w:firstLine="1952"/>
        <w:spacing w:after="0" w:line="275" w:lineRule="auto"/>
        <w:tabs>
          <w:tab w:leader="none" w:pos="2685"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76" w:lineRule="exact"/>
        <w:rPr>
          <w:rFonts w:ascii="Arial" w:cs="Arial" w:eastAsia="Arial" w:hAnsi="Arial"/>
          <w:sz w:val="17"/>
          <w:szCs w:val="17"/>
          <w:color w:val="auto"/>
        </w:rPr>
      </w:pPr>
    </w:p>
    <w:p>
      <w:pPr>
        <w:ind w:left="2600" w:hanging="648"/>
        <w:spacing w:after="0"/>
        <w:tabs>
          <w:tab w:leader="none" w:pos="260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940"/>
        <w:spacing w:after="0" w:line="279" w:lineRule="auto"/>
        <w:tabs>
          <w:tab w:leader="none" w:pos="3278" w:val="left"/>
        </w:tabs>
        <w:numPr>
          <w:ilvl w:val="2"/>
          <w:numId w:val="78"/>
        </w:numPr>
        <w:rPr>
          <w:rFonts w:ascii="Arial" w:cs="Arial" w:eastAsia="Arial" w:hAnsi="Arial"/>
          <w:sz w:val="17"/>
          <w:szCs w:val="17"/>
          <w:color w:val="auto"/>
        </w:rPr>
      </w:pPr>
      <w:r>
        <w:rPr>
          <w:rFonts w:ascii="Arial" w:cs="Arial" w:eastAsia="Arial" w:hAnsi="Arial"/>
          <w:sz w:val="17"/>
          <w:szCs w:val="17"/>
          <w:color w:val="auto"/>
        </w:rPr>
        <w:t>Immediately upon any adjustment of the Conversion Rate and Conversion Price pursuant to Section 7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jc w:val="both"/>
        <w:ind w:left="640" w:firstLine="1940"/>
        <w:spacing w:after="0" w:line="259" w:lineRule="auto"/>
        <w:tabs>
          <w:tab w:leader="none" w:pos="3276"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Twenty Percent Issuance, any Fundamental Transaction or any Liquidation Event.</w:t>
      </w:r>
    </w:p>
    <w:p>
      <w:pPr>
        <w:spacing w:after="0" w:line="186" w:lineRule="exact"/>
        <w:rPr>
          <w:rFonts w:ascii="Arial" w:cs="Arial" w:eastAsia="Arial" w:hAnsi="Arial"/>
          <w:sz w:val="18"/>
          <w:szCs w:val="18"/>
          <w:color w:val="auto"/>
        </w:rPr>
      </w:pPr>
    </w:p>
    <w:p>
      <w:pPr>
        <w:ind w:left="640" w:firstLine="1940"/>
        <w:spacing w:after="0" w:line="277" w:lineRule="auto"/>
        <w:tabs>
          <w:tab w:leader="none" w:pos="326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Twenty Percent Issuance, any Fundamental Transaction or any Liquidation Event will take place.</w:t>
      </w:r>
    </w:p>
    <w:p>
      <w:pPr>
        <w:spacing w:after="0" w:line="170" w:lineRule="exact"/>
        <w:rPr>
          <w:rFonts w:ascii="Arial" w:cs="Arial" w:eastAsia="Arial" w:hAnsi="Arial"/>
          <w:sz w:val="18"/>
          <w:szCs w:val="18"/>
          <w:color w:val="auto"/>
        </w:rPr>
      </w:pPr>
    </w:p>
    <w:p>
      <w:pPr>
        <w:ind w:left="-20" w:firstLine="1304"/>
        <w:spacing w:after="0" w:line="277" w:lineRule="auto"/>
        <w:tabs>
          <w:tab w:leader="none" w:pos="210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B Convertible Preferred Stock shall be converted pursuant to Section 6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20" w:firstLine="1304"/>
        <w:spacing w:after="0" w:line="254" w:lineRule="auto"/>
        <w:tabs>
          <w:tab w:leader="none" w:pos="197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B Convertible Preferred Stock Certificates representing the Series B Convertible Preferred Stock, and, in the case of loss, theft or destruction, of an indemnification undertaking (with surety, if reasonably requested by the Corporation) by the holder thereof to the Corporation in customary form and, in the case of mutilation, upon surrender and cancellation of the Series B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B Convertible Preferred Stock into Common Stock.</w:t>
      </w:r>
    </w:p>
    <w:p>
      <w:pPr>
        <w:spacing w:after="0" w:line="194" w:lineRule="exact"/>
        <w:rPr>
          <w:rFonts w:ascii="Arial" w:cs="Arial" w:eastAsia="Arial" w:hAnsi="Arial"/>
          <w:sz w:val="18"/>
          <w:szCs w:val="18"/>
          <w:color w:val="auto"/>
        </w:rPr>
      </w:pPr>
    </w:p>
    <w:p>
      <w:pPr>
        <w:jc w:val="both"/>
        <w:ind w:left="-20" w:firstLine="1304"/>
        <w:spacing w:after="0" w:line="287" w:lineRule="auto"/>
        <w:tabs>
          <w:tab w:leader="none" w:pos="202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B Convertible Preferred Stock’s right to pursue actual damages for any failure by the Corporation to comply with the terms of this Certificate of Designation. The Corporation covenants to each holder of Series B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B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B Convertible Preferred Stock and that the remedy at law for any such breach may be inadequate. The Corporation therefore agrees that, in the event of any such breach or threatened breach, the holders of Series B Convertible Preferred Stock shall be entitled, in addition to all other available remedies, to an injunction restraining any breach, without the necessity of showing economic loss and without any bond or other security being required.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1" w:name="page152"/>
    <w:bookmarkEnd w:id="151"/>
    <w:p>
      <w:pPr>
        <w:jc w:val="both"/>
        <w:ind w:left="-20" w:firstLine="1304"/>
        <w:spacing w:after="0" w:line="263" w:lineRule="auto"/>
        <w:tabs>
          <w:tab w:leader="none" w:pos="2061"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B Convertible Preferred Stock maintained by the Corporation as set forth in Section 14.</w:t>
      </w:r>
    </w:p>
    <w:p>
      <w:pPr>
        <w:spacing w:after="0" w:line="183" w:lineRule="exact"/>
        <w:rPr>
          <w:rFonts w:ascii="Arial" w:cs="Arial" w:eastAsia="Arial" w:hAnsi="Arial"/>
          <w:sz w:val="18"/>
          <w:szCs w:val="18"/>
          <w:color w:val="auto"/>
        </w:rPr>
      </w:pPr>
    </w:p>
    <w:p>
      <w:pPr>
        <w:jc w:val="both"/>
        <w:ind w:left="-20" w:firstLine="1304"/>
        <w:spacing w:after="0" w:line="263" w:lineRule="auto"/>
        <w:tabs>
          <w:tab w:leader="none" w:pos="197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B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3" w:lineRule="exact"/>
        <w:rPr>
          <w:rFonts w:ascii="Arial" w:cs="Arial" w:eastAsia="Arial" w:hAnsi="Arial"/>
          <w:sz w:val="18"/>
          <w:szCs w:val="18"/>
          <w:color w:val="auto"/>
        </w:rPr>
      </w:pPr>
    </w:p>
    <w:p>
      <w:pPr>
        <w:jc w:val="both"/>
        <w:ind w:left="-20" w:firstLine="1304"/>
        <w:spacing w:after="0" w:line="263" w:lineRule="auto"/>
        <w:tabs>
          <w:tab w:leader="none" w:pos="19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Transfer of Series B Convertible Preferred Stock</w:t>
      </w:r>
      <w:r>
        <w:rPr>
          <w:rFonts w:ascii="Arial" w:cs="Arial" w:eastAsia="Arial" w:hAnsi="Arial"/>
          <w:sz w:val="18"/>
          <w:szCs w:val="18"/>
          <w:color w:val="auto"/>
        </w:rPr>
        <w:t xml:space="preserve">. A Holder may assign some or all of the Series B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3" w:lineRule="exact"/>
        <w:rPr>
          <w:rFonts w:ascii="Arial" w:cs="Arial" w:eastAsia="Arial" w:hAnsi="Arial"/>
          <w:sz w:val="18"/>
          <w:szCs w:val="18"/>
          <w:color w:val="auto"/>
        </w:rPr>
      </w:pPr>
    </w:p>
    <w:p>
      <w:pPr>
        <w:jc w:val="both"/>
        <w:ind w:left="-20" w:firstLine="1304"/>
        <w:spacing w:after="0" w:line="255" w:lineRule="auto"/>
        <w:tabs>
          <w:tab w:leader="none" w:pos="198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Series B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B Convertible Preferred Stock, in which the Corporation shall record the name and address of the persons in whose name the Series B Convertible Preferred Stock have been issued, as well as the name and address of each transferee. The Corporation may treat the person in whose name any Series B Convertible Preferred Stock is registered on the register as the owner and holder thereof for all purposes, notwithstanding any notice to the contrary, but in all events recognizing any properly made transfers.</w:t>
      </w:r>
    </w:p>
    <w:p>
      <w:pPr>
        <w:spacing w:after="0" w:line="192" w:lineRule="exact"/>
        <w:rPr>
          <w:rFonts w:ascii="Arial" w:cs="Arial" w:eastAsia="Arial" w:hAnsi="Arial"/>
          <w:sz w:val="18"/>
          <w:szCs w:val="18"/>
          <w:color w:val="auto"/>
        </w:rPr>
      </w:pPr>
    </w:p>
    <w:p>
      <w:pPr>
        <w:jc w:val="both"/>
        <w:ind w:left="-20" w:firstLine="1304"/>
        <w:spacing w:after="0" w:line="255" w:lineRule="auto"/>
        <w:tabs>
          <w:tab w:leader="none" w:pos="2068"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 this Certificate of Designation or otherwise with respect to the issuance of the Series B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92" w:lineRule="exact"/>
        <w:rPr>
          <w:rFonts w:ascii="Arial" w:cs="Arial" w:eastAsia="Arial" w:hAnsi="Arial"/>
          <w:sz w:val="18"/>
          <w:szCs w:val="18"/>
          <w:color w:val="auto"/>
        </w:rPr>
      </w:pPr>
    </w:p>
    <w:p>
      <w:pPr>
        <w:jc w:val="both"/>
        <w:ind w:left="-20" w:firstLine="1304"/>
        <w:spacing w:after="0" w:line="263" w:lineRule="auto"/>
        <w:tabs>
          <w:tab w:leader="none" w:pos="205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B Convertible Preferred Stock, such Series B Convertible Preferred Stock shall be subject to and be entitled to the benefit of the provisions set forth in the Certificate of Incorporation of the Corporation with respect to preferred stock of the Corporation generally.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2" w:name="page153"/>
    <w:bookmarkEnd w:id="152"/>
    <w:p>
      <w:pPr>
        <w:jc w:val="both"/>
        <w:ind w:firstLine="1304"/>
        <w:spacing w:after="0" w:line="272" w:lineRule="auto"/>
        <w:tabs>
          <w:tab w:leader="none" w:pos="2142"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Corporation of any notice in accordance with the terms of this Certificate of Designation,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15th day of October,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The undersigned hereby elects to convert the number of shares of Series B Convertible Preferred Stock, par value $0.01 per share (the </w:t>
      </w:r>
      <w:r>
        <w:rPr>
          <w:rFonts w:ascii="Arial" w:cs="Arial" w:eastAsia="Arial" w:hAnsi="Arial"/>
          <w:sz w:val="18"/>
          <w:szCs w:val="18"/>
          <w:b w:val="1"/>
          <w:bCs w:val="1"/>
          <w:color w:val="auto"/>
        </w:rPr>
        <w:t>“Series B Convertible Preferred Stock”</w:t>
      </w:r>
      <w:r>
        <w:rPr>
          <w:rFonts w:ascii="Arial" w:cs="Arial" w:eastAsia="Arial" w:hAnsi="Arial"/>
          <w:sz w:val="18"/>
          <w:szCs w:val="18"/>
          <w:color w:val="auto"/>
        </w:rPr>
        <w:t>), of Vringo, Inc., 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indicated below into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54260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B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6485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B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6485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14605</wp:posOffset>
            </wp:positionV>
            <wp:extent cx="4834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14605</wp:posOffset>
            </wp:positionV>
            <wp:extent cx="45605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14605</wp:posOffset>
            </wp:positionV>
            <wp:extent cx="55632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37719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1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Please issue the Common Stock into which the Series B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160655</wp:posOffset>
            </wp:positionV>
            <wp:extent cx="37204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14605</wp:posOffset>
            </wp:positionV>
            <wp:extent cx="37204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36772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30772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14605</wp:posOffset>
            </wp:positionV>
            <wp:extent cx="31203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wp:posOffset>
            </wp:positionV>
            <wp:extent cx="33775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40201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39344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6429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11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VRINGO, INC.</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original Certificate of Incorporation of the Corporation was filed with the Secretary of State of the State of Delaware on January 9, 2006</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 “Board”), 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the State of Delaware (the “DGCL”), adopted resolutions amending the Corporation’s Amended and Restated Certificate of Incorporation as follows: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Article Fourth of the Corporation’s Amended and Restated Certificate of Incorporation is hereby amended by adding the following Sections (3), (4) and (5):</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“(3) Reverse Stock Split. Upon the effectiveness of this Certificate of Amendment of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ten (10)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77" w:lineRule="exact"/>
        <w:rPr>
          <w:sz w:val="20"/>
          <w:szCs w:val="20"/>
          <w:color w:val="auto"/>
        </w:rPr>
      </w:pPr>
    </w:p>
    <w:p>
      <w:pPr>
        <w:jc w:val="both"/>
        <w:ind w:firstLine="8"/>
        <w:spacing w:after="0" w:line="271" w:lineRule="auto"/>
        <w:tabs>
          <w:tab w:leader="none" w:pos="2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121920</wp:posOffset>
            </wp:positionV>
            <wp:extent cx="1748790" cy="8572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174879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(5) This Certificate of Amendment shall be effective on November 27, 2015 at 05:00 p.m., Eastern time (the </w:t>
      </w:r>
      <w:r>
        <w:rPr>
          <w:rFonts w:ascii="Arial" w:cs="Arial" w:eastAsia="Arial" w:hAnsi="Arial"/>
          <w:sz w:val="18"/>
          <w:szCs w:val="18"/>
          <w:b w:val="1"/>
          <w:bCs w:val="1"/>
          <w:color w:val="auto"/>
        </w:rPr>
        <w:t>“Effective Time”).”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 of the Corporation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and was duly adopted in accordance with the provisions of Sections 222 and 242 of the DGCL.</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Anastasia Nyrkovskaya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as of the 24th day of November, 2015.</w:t>
      </w:r>
    </w:p>
    <w:p>
      <w:pPr>
        <w:spacing w:after="0" w:line="16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Anastasia Nyrkovskaya</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5557520</wp:posOffset>
            </wp:positionH>
            <wp:positionV relativeFrom="page">
              <wp:posOffset>586105</wp:posOffset>
            </wp:positionV>
            <wp:extent cx="1757680" cy="8655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75768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do hereby certify that the following resolution was duly adopted by the Board of Directors of Vringo, Inc., a Delaware corporation (the “Company”), on March 18, 2016:</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RESOLVED, that pursuant to the authority vested in the board of directors of the Company (the “Board of Directors”) by the Company’s Amended and Restated Certificate of Incorporation, as amended (the “Certificate of Incorporation”), the Board of Directors does hereby create, authorize and provide for the issue of a series of Preferred Stock, par value $0.01 per share, of the Company, to be designated “Series C Junior Participating Preferred Stock”, initially consisting of 300,000 shares, and to the extent that the designations, powers, preferences and relative and other special rights and the qualifications, limitations or restrictions of the Series C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jc w:val="both"/>
        <w:ind w:firstLine="648"/>
        <w:spacing w:after="0" w:line="284" w:lineRule="auto"/>
        <w:rPr>
          <w:sz w:val="20"/>
          <w:szCs w:val="20"/>
          <w:color w:val="auto"/>
        </w:rPr>
      </w:pPr>
      <w:r>
        <w:rPr>
          <w:rFonts w:ascii="Arial" w:cs="Arial" w:eastAsia="Arial" w:hAnsi="Arial"/>
          <w:sz w:val="16"/>
          <w:szCs w:val="16"/>
          <w:color w:val="auto"/>
        </w:rPr>
        <w:t>SECTION 2</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Dividends or Distributions.</w:t>
      </w:r>
      <w:r>
        <w:rPr>
          <w:rFonts w:ascii="Arial" w:cs="Arial" w:eastAsia="Arial" w:hAnsi="Arial"/>
          <w:sz w:val="16"/>
          <w:szCs w:val="16"/>
          <w:color w:val="auto"/>
        </w:rPr>
        <w:t xml:space="preserve">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Arial" w:cs="Arial" w:eastAsia="Arial" w:hAnsi="Arial"/>
          <w:sz w:val="16"/>
          <w:szCs w:val="16"/>
          <w:u w:val="single" w:color="auto"/>
          <w:color w:val="auto"/>
        </w:rPr>
        <w:t>Formula Number</w:t>
      </w:r>
      <w:r>
        <w:rPr>
          <w:rFonts w:ascii="Arial" w:cs="Arial" w:eastAsia="Arial" w:hAnsi="Arial"/>
          <w:sz w:val="16"/>
          <w:szCs w:val="16"/>
          <w:color w:val="auto"/>
        </w:rPr>
        <w:t xml:space="preserve">” shall be 1,000;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171" w:lineRule="exact"/>
        <w:rPr>
          <w:sz w:val="20"/>
          <w:szCs w:val="20"/>
          <w:color w:val="auto"/>
        </w:rPr>
      </w:pPr>
    </w:p>
    <w:p>
      <w:pPr>
        <w:jc w:val="both"/>
        <w:ind w:firstLine="1304"/>
        <w:spacing w:after="0" w:line="290" w:lineRule="auto"/>
        <w:tabs>
          <w:tab w:leader="none" w:pos="201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The Company shall declare a cash dividend on the Series C Junior Participating Preferred Stock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Section 2(a)(2) immediately prior to or at the same time it declares a cash dividend on the Common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firstLine="1304"/>
        <w:spacing w:after="0" w:line="270" w:lineRule="auto"/>
        <w:tabs>
          <w:tab w:leader="none" w:pos="2269" w:val="left"/>
        </w:tabs>
        <w:numPr>
          <w:ilvl w:val="0"/>
          <w:numId w:val="85"/>
        </w:numPr>
        <w:rPr>
          <w:rFonts w:ascii="Arial" w:cs="Arial" w:eastAsia="Arial" w:hAnsi="Arial"/>
          <w:sz w:val="17"/>
          <w:szCs w:val="17"/>
          <w:color w:val="auto"/>
        </w:rPr>
      </w:pPr>
      <w:r>
        <w:rPr>
          <w:rFonts w:ascii="Arial" w:cs="Arial" w:eastAsia="Arial" w:hAnsi="Arial"/>
          <w:sz w:val="17"/>
          <w:szCs w:val="17"/>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180" w:lineRule="exact"/>
        <w:rPr>
          <w:rFonts w:ascii="Arial" w:cs="Arial" w:eastAsia="Arial" w:hAnsi="Arial"/>
          <w:sz w:val="17"/>
          <w:szCs w:val="17"/>
          <w:color w:val="auto"/>
        </w:rPr>
      </w:pPr>
    </w:p>
    <w:p>
      <w:pPr>
        <w:jc w:val="both"/>
        <w:ind w:firstLine="1304"/>
        <w:spacing w:after="0" w:line="286" w:lineRule="auto"/>
        <w:tabs>
          <w:tab w:leader="none" w:pos="1996" w:val="left"/>
        </w:tabs>
        <w:numPr>
          <w:ilvl w:val="0"/>
          <w:numId w:val="85"/>
        </w:numPr>
        <w:rPr>
          <w:rFonts w:ascii="Arial" w:cs="Arial" w:eastAsia="Arial" w:hAnsi="Arial"/>
          <w:sz w:val="17"/>
          <w:szCs w:val="17"/>
          <w:color w:val="auto"/>
        </w:rPr>
      </w:pPr>
      <w:r>
        <w:rPr>
          <w:rFonts w:ascii="Arial" w:cs="Arial" w:eastAsia="Arial" w:hAnsi="Arial"/>
          <w:sz w:val="17"/>
          <w:szCs w:val="17"/>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65" w:lineRule="exact"/>
        <w:rPr>
          <w:rFonts w:ascii="Arial" w:cs="Arial" w:eastAsia="Arial" w:hAnsi="Arial"/>
          <w:sz w:val="17"/>
          <w:szCs w:val="17"/>
          <w:color w:val="auto"/>
        </w:rPr>
      </w:pPr>
    </w:p>
    <w:p>
      <w:pPr>
        <w:ind w:right="20" w:firstLine="1304"/>
        <w:spacing w:after="0" w:line="277" w:lineRule="auto"/>
        <w:tabs>
          <w:tab w:leader="none" w:pos="20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holders of shares of Series C Junior Participating Preferred Stock shall not be entitled to receive any dividends or other distributions except as herein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holders of shares of Series C Junior Participating Preferred Stock, in addition to the voting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law, shall have the following voting rights:</w:t>
      </w:r>
    </w:p>
    <w:p>
      <w:pPr>
        <w:spacing w:after="0" w:line="170" w:lineRule="exact"/>
        <w:rPr>
          <w:sz w:val="20"/>
          <w:szCs w:val="20"/>
          <w:color w:val="auto"/>
        </w:rPr>
      </w:pPr>
    </w:p>
    <w:p>
      <w:pPr>
        <w:jc w:val="both"/>
        <w:ind w:firstLine="1304"/>
        <w:spacing w:after="0" w:line="257" w:lineRule="auto"/>
        <w:tabs>
          <w:tab w:leader="none" w:pos="2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Except as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Except as otherwise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or by applicable law, holders of Series C Junior Participating Preferred Stock shall have no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rights.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 xml:space="preserve"> (a) Whenever quarterly dividends or other dividends or distributions on the Series C Junior Participating Preferred Stock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firstLine="1304"/>
        <w:spacing w:after="0" w:line="342" w:lineRule="auto"/>
        <w:tabs>
          <w:tab w:leader="none" w:pos="197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19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926"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20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sz w:val="20"/>
          <w:szCs w:val="20"/>
          <w:color w:val="auto"/>
        </w:rPr>
      </w:pPr>
    </w:p>
    <w:p>
      <w:pPr>
        <w:ind w:right="20" w:firstLine="1304"/>
        <w:spacing w:after="0" w:line="342" w:lineRule="auto"/>
        <w:tabs>
          <w:tab w:leader="none" w:pos="19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Liquidation Rights</w:t>
      </w:r>
      <w:r>
        <w:rPr>
          <w:rFonts w:ascii="Arial" w:cs="Arial" w:eastAsia="Arial" w:hAnsi="Arial"/>
          <w:sz w:val="17"/>
          <w:szCs w:val="17"/>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jc w:val="both"/>
        <w:ind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Redemption; No Sinking Fund</w:t>
      </w:r>
      <w:r>
        <w:rPr>
          <w:rFonts w:ascii="Arial" w:cs="Arial" w:eastAsia="Arial" w:hAnsi="Arial"/>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subject to Section 4(a) (iv), the Company may purchase or otherwise acquire outstanding shares of Series C Junior Participating Preferred Stock in the open market or by offer to any holder or holders of shares of Series C Junior Participating Preferred Stock.</w:t>
      </w:r>
    </w:p>
    <w:p>
      <w:pPr>
        <w:spacing w:after="0" w:line="187" w:lineRule="exact"/>
        <w:rPr>
          <w:sz w:val="20"/>
          <w:szCs w:val="20"/>
          <w:color w:val="auto"/>
        </w:rPr>
      </w:pPr>
    </w:p>
    <w:p>
      <w:pPr>
        <w:ind w:left="2040" w:hanging="736"/>
        <w:spacing w:after="0"/>
        <w:tabs>
          <w:tab w:leader="none" w:pos="20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of Series C Junior Participating Preferred Stock shall not be subject to or entitled to the operation of a retirement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sinking fund.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Purchase Fund</w:t>
      </w:r>
      <w:r>
        <w:rPr>
          <w:rFonts w:ascii="Arial" w:cs="Arial" w:eastAsia="Arial" w:hAnsi="Arial"/>
          <w:sz w:val="18"/>
          <w:szCs w:val="18"/>
          <w:color w:val="auto"/>
        </w:rPr>
        <w:t>. The shares of Series C Junior Participating Preferred Stock shall not be subject to or entitled to the operation of a purchase fund.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Conversion; No Exchange</w:t>
      </w:r>
      <w:r>
        <w:rPr>
          <w:rFonts w:ascii="Arial" w:cs="Arial" w:eastAsia="Arial" w:hAnsi="Arial"/>
          <w:sz w:val="18"/>
          <w:szCs w:val="18"/>
          <w:color w:val="auto"/>
        </w:rPr>
        <w:t>. The shares of Series C Junior Participating Preferred Stock shall not be convertible into, or exchangeable for, shares of any other class or series.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Ranking</w:t>
      </w:r>
      <w:r>
        <w:rPr>
          <w:rFonts w:ascii="Arial" w:cs="Arial" w:eastAsia="Arial" w:hAnsi="Arial"/>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for fractions of a share, other than those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19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8"/>
          <w:szCs w:val="18"/>
          <w:color w:val="auto"/>
        </w:rPr>
        <w:t>IN WITNESS WHEREOF, the Company has caused this Certificate of Designations to be signed by Andrew D. Perlman its Chief Executive Officer, as of the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2016.</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5565775</wp:posOffset>
            </wp:positionH>
            <wp:positionV relativeFrom="page">
              <wp:posOffset>586105</wp:posOffset>
            </wp:positionV>
            <wp:extent cx="1748790" cy="8229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74879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VRINGO, INC.</w:t>
      </w:r>
    </w:p>
    <w:p>
      <w:pPr>
        <w:spacing w:after="0" w:line="225"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and on November 24, 2015.</w:t>
      </w:r>
    </w:p>
    <w:p>
      <w:pPr>
        <w:spacing w:after="0" w:line="187" w:lineRule="exact"/>
        <w:rPr>
          <w:sz w:val="20"/>
          <w:szCs w:val="20"/>
          <w:color w:val="auto"/>
        </w:rPr>
      </w:pPr>
    </w:p>
    <w:p>
      <w:pPr>
        <w:jc w:val="both"/>
        <w:ind w:left="1300" w:hanging="1299"/>
        <w:spacing w:after="0" w:line="263"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 242 of the General Corporation Law of the State of Delaware (the “DGCL”), adopted resolutions amending the Corporation’s Amended and Restated Certificate of Incorporation as follows:</w:t>
      </w:r>
    </w:p>
    <w:p>
      <w:pPr>
        <w:spacing w:after="0" w:line="188"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(hereinafter the “Corporation”) is FORM Holdings Corp.”</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This Certificate of Amendment shall be effective on Friday, May 6, 2016 at 5:00 PM, Eastern Daylight Time.</w:t>
      </w:r>
    </w:p>
    <w:p>
      <w:pPr>
        <w:spacing w:after="0" w:line="171"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Anastasia Nyrkovskaya,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as of the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2016.</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Anastasia Nyrkovskaya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HOLDINGS CORP.,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FORM HOLDINGS CORP.</w:t>
      </w:r>
    </w:p>
    <w:p>
      <w:pPr>
        <w:spacing w:after="0" w:line="225"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on November 24, 2015 and on May 5, 2016.</w:t>
      </w:r>
    </w:p>
    <w:p>
      <w:pPr>
        <w:spacing w:after="0" w:line="187" w:lineRule="exact"/>
        <w:rPr>
          <w:sz w:val="20"/>
          <w:szCs w:val="20"/>
          <w:color w:val="auto"/>
        </w:rPr>
      </w:pPr>
    </w:p>
    <w:p>
      <w:pPr>
        <w:jc w:val="both"/>
        <w:ind w:left="1300" w:hanging="1299"/>
        <w:spacing w:after="0" w:line="263"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8" w:lineRule="exact"/>
        <w:rPr>
          <w:sz w:val="20"/>
          <w:szCs w:val="20"/>
          <w:color w:val="auto"/>
        </w:rPr>
      </w:pPr>
    </w:p>
    <w:p>
      <w:pPr>
        <w:ind w:left="1300" w:right="360"/>
        <w:spacing w:after="0" w:line="277" w:lineRule="auto"/>
        <w:rPr>
          <w:sz w:val="20"/>
          <w:szCs w:val="20"/>
          <w:color w:val="auto"/>
        </w:rPr>
      </w:pPr>
      <w:r>
        <w:rPr>
          <w:rFonts w:ascii="Arial" w:cs="Arial" w:eastAsia="Arial" w:hAnsi="Arial"/>
          <w:sz w:val="18"/>
          <w:szCs w:val="18"/>
          <w:color w:val="auto"/>
        </w:rPr>
        <w:t>Article Fifth, Section (2) of the Corporation’s Amended and Restated Certificate of Incorporation is hereby deleted in its entirety and replaced with the following:</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“(2) Subject to the rights of the holders of any series of Preferred Stock then outstanding, any directors, or the entire Board of Directors, may be removed from office, with or without cause, by the affirmative vote of the holders of at least a majority of the total voting power of all of the then-outstanding shares of capital stock of the Corporation entitled to vote generally in the election of directors, voting together as a single class.”</w:t>
      </w:r>
    </w:p>
    <w:p>
      <w:pPr>
        <w:spacing w:after="0" w:line="183" w:lineRule="exact"/>
        <w:rPr>
          <w:sz w:val="20"/>
          <w:szCs w:val="20"/>
          <w:color w:val="auto"/>
        </w:rPr>
      </w:pPr>
    </w:p>
    <w:p>
      <w:pPr>
        <w:ind w:left="1300" w:hanging="1299"/>
        <w:spacing w:after="0" w:line="308" w:lineRule="auto"/>
        <w:tabs>
          <w:tab w:leader="none" w:pos="1280" w:val="left"/>
        </w:tabs>
        <w:rPr>
          <w:sz w:val="20"/>
          <w:szCs w:val="20"/>
          <w:color w:val="auto"/>
        </w:rPr>
      </w:pPr>
      <w:r>
        <w:rPr>
          <w:rFonts w:ascii="Arial" w:cs="Arial" w:eastAsia="Arial" w:hAnsi="Arial"/>
          <w:sz w:val="17"/>
          <w:szCs w:val="17"/>
          <w:b w:val="1"/>
          <w:bCs w:val="1"/>
          <w:color w:val="auto"/>
        </w:rPr>
        <w:t>FOURTH:</w:t>
      </w:r>
      <w:r>
        <w:rPr>
          <w:sz w:val="20"/>
          <w:szCs w:val="20"/>
          <w:color w:val="auto"/>
        </w:rPr>
        <w:tab/>
      </w:r>
      <w:r>
        <w:rPr>
          <w:rFonts w:ascii="Arial" w:cs="Arial" w:eastAsia="Arial" w:hAnsi="Arial"/>
          <w:sz w:val="17"/>
          <w:szCs w:val="17"/>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pacing w:after="0" w:line="146"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Anastasia Nyrkovskaya,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as of the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2016.</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Anastasia Nyrkovskaya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1471930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142875</wp:posOffset>
            </wp:positionV>
            <wp:extent cx="1739900" cy="8826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1739900" cy="88265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39900" cy="8915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Amended and Restated Certificate of Incorporation of Form Holdings Corp.,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provides for a class of its authorized stock known as preferred stock, comprised of 5,000,000 shares, issuable from time to time in one or more series;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500,000 shares of the preferred stock which the Corporation has the authority to issue, classified as Series D Convertible Preferred Stock, as follows: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the rights, preferences, restrictions and other matters relating to such series of preferred stock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D Convertible Preferred Stock”, The initial number of authorized shares of the Series D Convertible Preferred Stock shall be 500,000, which, except as provided herein, shall not be subject to increase without the consent of the holders of a majority of the then outstanding shares of Series D Convertible Preferred Stock. Each share of the Series D Convertible Preferred Stock shall have a par value of $0.01.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Dividends and Distributions to the Holders of Common Stock</w:t>
      </w:r>
      <w:r>
        <w:rPr>
          <w:rFonts w:ascii="Arial" w:cs="Arial" w:eastAsia="Arial" w:hAnsi="Arial"/>
          <w:sz w:val="16"/>
          <w:szCs w:val="16"/>
          <w:color w:val="auto"/>
        </w:rPr>
        <w:t>, From and after the first date of issuance of any shares of Series D Convertible Preferred Stock (the “</w:t>
      </w:r>
      <w:r>
        <w:rPr>
          <w:rFonts w:ascii="Arial" w:cs="Arial" w:eastAsia="Arial" w:hAnsi="Arial"/>
          <w:sz w:val="16"/>
          <w:szCs w:val="16"/>
          <w:u w:val="single" w:color="auto"/>
          <w:color w:val="auto"/>
        </w:rPr>
        <w:t>Initial Issuance Date</w:t>
      </w:r>
      <w:r>
        <w:rPr>
          <w:rFonts w:ascii="Arial" w:cs="Arial" w:eastAsia="Arial" w:hAnsi="Arial"/>
          <w:sz w:val="16"/>
          <w:szCs w:val="16"/>
          <w:color w:val="auto"/>
        </w:rPr>
        <w:t>”), the holders of Series D Convertible Preferred Stock (each, a “Holder”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shall be entitled to receive such dividends paid and distributions made to the holders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pro rata to the holders of Common Stock to the same extent as if such Holders had converted the Series D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jc w:val="both"/>
        <w:ind w:left="652" w:hanging="323"/>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D Convertible Preferred Stock, dividends at the rate per annum of $4.32 per share shall accrue on such shares of Series D Convertible Preferred Stock (subject to appropriate adjustment in the event of any stock dividend, stock split, combination or other similar recapitalization with respect to the Series D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2.2</w:t>
      </w:r>
      <w:r>
        <w:rPr>
          <w:rFonts w:ascii="Arial" w:cs="Arial" w:eastAsia="Arial" w:hAnsi="Arial"/>
          <w:sz w:val="16"/>
          <w:szCs w:val="16"/>
          <w:color w:val="auto"/>
        </w:rPr>
        <w:t>.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the holders of the Series D Convertible Preferred Stock then outstanding shall first receive, or simultaneously receive, a dividend on each outstanding share of Series D Convertible Preferred Stock in an amount at least equal to (i) the amount of the aggregate Accruing Dividends then accrued on such share of Series D Convertible Preferred Stock and not previously paid and (ii) the amount required to be paid pursuant to Section 2.1.</w:t>
      </w:r>
    </w:p>
    <w:p>
      <w:pPr>
        <w:spacing w:after="0" w:line="172" w:lineRule="exact"/>
        <w:rPr>
          <w:sz w:val="20"/>
          <w:szCs w:val="20"/>
          <w:color w:val="auto"/>
        </w:rPr>
      </w:pPr>
    </w:p>
    <w:p>
      <w:pPr>
        <w:ind w:left="332" w:hanging="332"/>
        <w:spacing w:after="0"/>
        <w:tabs>
          <w:tab w:leader="none" w:pos="33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Preferential Payments to Holders of Series D Convertible Preferred Stock</w:t>
      </w:r>
      <w:r>
        <w:rPr>
          <w:rFonts w:ascii="Arial" w:cs="Arial" w:eastAsia="Arial" w:hAnsi="Arial"/>
          <w:sz w:val="17"/>
          <w:szCs w:val="17"/>
          <w:color w:val="auto"/>
        </w:rPr>
        <w:t>. In the event of any voluntary or involuntary liquidation, dissolution or winding up of the Corporation or a Deemed Liquidation Event, subject to the rights of the holders of any other class of preferred stock, the holders of shares of Series D Convertible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D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 D Liquidation Preference 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7" w:name="page168"/>
    <w:bookmarkEnd w:id="167"/>
    <w:p>
      <w:pPr>
        <w:jc w:val="both"/>
        <w:ind w:left="652" w:hanging="323"/>
        <w:spacing w:after="0" w:line="30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Payments to Holders of Common Stock</w:t>
      </w:r>
      <w:r>
        <w:rPr>
          <w:rFonts w:ascii="Arial" w:cs="Arial" w:eastAsia="Arial" w:hAnsi="Arial"/>
          <w:sz w:val="16"/>
          <w:szCs w:val="16"/>
          <w:color w:val="auto"/>
        </w:rPr>
        <w:t>. In the event of any voluntary or involuntary liquidation, dissolution or winding up of the Corporation, after the payment of all preferential amounts required to be paid to the holders of shares of Series D Convertible Preferred Stock (subject to the rights of the holders of any other class of preferred stock), the remaining assets of the Corporation available for distribution to its stockholders shall be distributed among the holders of shares of Common Stock, pro rata based on the number of shares held by each such holder.</w:t>
      </w:r>
    </w:p>
    <w:p>
      <w:pPr>
        <w:spacing w:after="0" w:line="157" w:lineRule="exact"/>
        <w:rPr>
          <w:sz w:val="20"/>
          <w:szCs w:val="20"/>
          <w:color w:val="auto"/>
        </w:rPr>
      </w:pPr>
    </w:p>
    <w:p>
      <w:pPr>
        <w:ind w:left="332" w:hanging="332"/>
        <w:spacing w:after="0"/>
        <w:tabs>
          <w:tab w:leader="none" w:pos="33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jc w:val="both"/>
        <w:ind w:left="1232" w:hanging="579"/>
        <w:spacing w:after="0" w:line="277" w:lineRule="auto"/>
        <w:tabs>
          <w:tab w:leader="none" w:pos="1212" w:val="left"/>
        </w:tabs>
        <w:rPr>
          <w:sz w:val="20"/>
          <w:szCs w:val="20"/>
          <w:color w:val="auto"/>
        </w:rPr>
      </w:pPr>
      <w:r>
        <w:rPr>
          <w:rFonts w:ascii="Arial" w:cs="Arial" w:eastAsia="Arial" w:hAnsi="Arial"/>
          <w:sz w:val="18"/>
          <w:szCs w:val="18"/>
          <w:color w:val="auto"/>
        </w:rPr>
        <w:t>4.1.1.</w:t>
        <w:tab/>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jc w:val="both"/>
        <w:ind w:left="1232" w:hanging="579"/>
        <w:spacing w:after="0" w:line="285" w:lineRule="auto"/>
        <w:tabs>
          <w:tab w:leader="none" w:pos="121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68" w:name="page169"/>
    <w:bookmarkEnd w:id="168"/>
    <w:p>
      <w:pPr>
        <w:ind w:left="320"/>
        <w:spacing w:after="0"/>
        <w:tabs>
          <w:tab w:leader="none" w:pos="8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jc w:val="both"/>
        <w:ind w:left="900" w:hanging="579"/>
        <w:spacing w:after="0" w:line="277" w:lineRule="auto"/>
        <w:tabs>
          <w:tab w:leader="none" w:pos="880" w:val="left"/>
        </w:tabs>
        <w:rPr>
          <w:sz w:val="20"/>
          <w:szCs w:val="20"/>
          <w:color w:val="auto"/>
        </w:rPr>
      </w:pPr>
      <w:r>
        <w:rPr>
          <w:rFonts w:ascii="Arial" w:cs="Arial" w:eastAsia="Arial" w:hAnsi="Arial"/>
          <w:sz w:val="18"/>
          <w:szCs w:val="18"/>
          <w:color w:val="auto"/>
        </w:rPr>
        <w:t>4.1.4.</w:t>
        <w:tab/>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900" w:hanging="579"/>
        <w:spacing w:after="0" w:line="277" w:lineRule="auto"/>
        <w:tabs>
          <w:tab w:leader="none" w:pos="880" w:val="left"/>
        </w:tabs>
        <w:rPr>
          <w:sz w:val="20"/>
          <w:szCs w:val="20"/>
          <w:color w:val="auto"/>
        </w:rPr>
      </w:pPr>
      <w:r>
        <w:rPr>
          <w:rFonts w:ascii="Arial" w:cs="Arial" w:eastAsia="Arial" w:hAnsi="Arial"/>
          <w:sz w:val="18"/>
          <w:szCs w:val="18"/>
          <w:color w:val="auto"/>
        </w:rPr>
        <w:t>4.1.5.</w:t>
        <w:tab/>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D Convertible Preferred Stock.</w:t>
      </w:r>
    </w:p>
    <w:p>
      <w:pPr>
        <w:spacing w:after="0" w:line="225" w:lineRule="exact"/>
        <w:rPr>
          <w:sz w:val="20"/>
          <w:szCs w:val="20"/>
          <w:color w:val="auto"/>
        </w:rPr>
      </w:pPr>
    </w:p>
    <w:p>
      <w:pPr>
        <w:jc w:val="both"/>
        <w:ind w:left="900" w:hanging="579"/>
        <w:spacing w:after="0" w:line="263" w:lineRule="auto"/>
        <w:tabs>
          <w:tab w:leader="none" w:pos="880" w:val="left"/>
        </w:tabs>
        <w:rPr>
          <w:sz w:val="20"/>
          <w:szCs w:val="20"/>
          <w:color w:val="auto"/>
        </w:rPr>
      </w:pPr>
      <w:r>
        <w:rPr>
          <w:rFonts w:ascii="Arial" w:cs="Arial" w:eastAsia="Arial" w:hAnsi="Arial"/>
          <w:sz w:val="18"/>
          <w:szCs w:val="18"/>
          <w:color w:val="auto"/>
        </w:rPr>
        <w:t>4.1.7.</w:t>
        <w:tab/>
        <w:t>“</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$48 per share, subject to adjustment for stock splits, stock dividends, recapitalizations, reorganizations, reclassifications, combinations, reverse stock splits or other similar events relating to the Series D Convertible Preferred Stock after the Initial Issuance Date,</w:t>
      </w:r>
    </w:p>
    <w:p>
      <w:pPr>
        <w:spacing w:after="0" w:line="184" w:lineRule="exact"/>
        <w:rPr>
          <w:sz w:val="20"/>
          <w:szCs w:val="20"/>
          <w:color w:val="auto"/>
        </w:rPr>
      </w:pPr>
    </w:p>
    <w:p>
      <w:pPr>
        <w:jc w:val="both"/>
        <w:ind w:left="900" w:hanging="579"/>
        <w:spacing w:after="0" w:line="273" w:lineRule="auto"/>
        <w:tabs>
          <w:tab w:leader="none" w:pos="8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900" w:hanging="579"/>
        <w:spacing w:after="0" w:line="259" w:lineRule="auto"/>
        <w:tabs>
          <w:tab w:leader="none" w:pos="880" w:val="left"/>
        </w:tabs>
        <w:rPr>
          <w:sz w:val="20"/>
          <w:szCs w:val="20"/>
          <w:color w:val="auto"/>
        </w:rPr>
      </w:pPr>
      <w:r>
        <w:rPr>
          <w:rFonts w:ascii="Arial" w:cs="Arial" w:eastAsia="Arial" w:hAnsi="Arial"/>
          <w:sz w:val="18"/>
          <w:szCs w:val="18"/>
          <w:color w:val="auto"/>
        </w:rPr>
        <w:t>4.1.9.</w:t>
        <w:tab/>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900" w:hanging="579"/>
        <w:spacing w:after="0" w:line="259" w:lineRule="auto"/>
        <w:tabs>
          <w:tab w:leader="none" w:pos="880" w:val="left"/>
        </w:tabs>
        <w:rPr>
          <w:sz w:val="20"/>
          <w:szCs w:val="20"/>
          <w:color w:val="auto"/>
        </w:rPr>
      </w:pPr>
      <w:r>
        <w:rPr>
          <w:rFonts w:ascii="Arial" w:cs="Arial" w:eastAsia="Arial" w:hAnsi="Arial"/>
          <w:sz w:val="18"/>
          <w:szCs w:val="18"/>
          <w:color w:val="auto"/>
        </w:rPr>
        <w:t>4.2.1.</w:t>
        <w:tab/>
        <w:t>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69" w:name="page170"/>
    <w:bookmarkEnd w:id="169"/>
    <w:p>
      <w:pPr>
        <w:jc w:val="both"/>
        <w:ind w:left="900" w:hanging="579"/>
        <w:spacing w:after="0" w:line="267" w:lineRule="auto"/>
        <w:tabs>
          <w:tab w:leader="none" w:pos="8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In the event of a Deemed Liquidation Event, if the Corporation does not effect a dissolution of the Corporation under the Delaware General Corporation Law (“</w:t>
      </w:r>
      <w:r>
        <w:rPr>
          <w:rFonts w:ascii="Arial" w:cs="Arial" w:eastAsia="Arial" w:hAnsi="Arial"/>
          <w:sz w:val="17"/>
          <w:szCs w:val="17"/>
          <w:u w:val="single" w:color="auto"/>
          <w:color w:val="auto"/>
        </w:rPr>
        <w:t>DGCL</w:t>
      </w:r>
      <w:r>
        <w:rPr>
          <w:rFonts w:ascii="Arial" w:cs="Arial" w:eastAsia="Arial" w:hAnsi="Arial"/>
          <w:sz w:val="17"/>
          <w:szCs w:val="17"/>
          <w:color w:val="auto"/>
        </w:rPr>
        <w:t>”) within ninety (90) days after such Deemed Liquidation Event, then (i) the Corporation shall send a written notice to each holder of Series D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D Convertible Preferred Stock, and (iii) if the holders of at least 50% of the then outstanding shares of Series D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7"/>
          <w:szCs w:val="17"/>
          <w:u w:val="single" w:color="auto"/>
          <w:color w:val="auto"/>
        </w:rPr>
        <w:t>Available Proceeds</w:t>
      </w:r>
      <w:r>
        <w:rPr>
          <w:rFonts w:ascii="Arial" w:cs="Arial" w:eastAsia="Arial" w:hAnsi="Arial"/>
          <w:sz w:val="17"/>
          <w:szCs w:val="17"/>
          <w:color w:val="auto"/>
        </w:rPr>
        <w:t>”), on the one hundred fiftieth (150th) day after such Deemed Liquidation Event, to repay and cancel all outstanding shares of Series D Convertible Preferred Stock at a price per share equal to the Series D Liquidation Preference Amount, Notwithstanding the foregoing, in the event of a repayment pursuant to the preceding sentence, if the Available Proceeds are not sufficient to repay all outstanding shares of Series D Convertible Preferred Stock, the Corporation shall ratably repay each Holder’s shares of Series D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88" w:lineRule="exact"/>
        <w:rPr>
          <w:sz w:val="20"/>
          <w:szCs w:val="20"/>
          <w:color w:val="auto"/>
        </w:rPr>
      </w:pPr>
    </w:p>
    <w:p>
      <w:pPr>
        <w:jc w:val="both"/>
        <w:ind w:left="320" w:hanging="32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jc w:val="both"/>
        <w:ind w:left="320" w:hanging="323"/>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7"/>
          <w:szCs w:val="17"/>
          <w:u w:val="single" w:color="auto"/>
          <w:color w:val="auto"/>
        </w:rPr>
        <w:t>Additional Consideration</w:t>
      </w:r>
      <w:r>
        <w:rPr>
          <w:rFonts w:ascii="Arial" w:cs="Arial" w:eastAsia="Arial" w:hAnsi="Arial"/>
          <w:sz w:val="17"/>
          <w:szCs w:val="17"/>
          <w:color w:val="auto"/>
        </w:rPr>
        <w:t>”), the transaction agreement shall provide that (a) the portion of such consideration that is not Additional Consideration (such portion,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70" w:name="page171"/>
    <w:bookmarkEnd w:id="170"/>
    <w:p>
      <w:pPr>
        <w:ind w:left="332" w:hanging="332"/>
        <w:spacing w:after="0"/>
        <w:tabs>
          <w:tab w:leader="none" w:pos="33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D Convertible Preferred Stock held by such holder are convertible as of the record date for determining stockholders entitled to vote on such matter. Except as provided by law or by the other provisions of the Amended and Restated Certificate of Incorporation, the holders of Series D Convertible Preferred Stock shall vote together with the holders of Common Stock as a single class,</w:t>
      </w:r>
    </w:p>
    <w:p>
      <w:pPr>
        <w:spacing w:after="0" w:line="192" w:lineRule="exact"/>
        <w:rPr>
          <w:rFonts w:ascii="Arial" w:cs="Arial" w:eastAsia="Arial" w:hAnsi="Arial"/>
          <w:sz w:val="18"/>
          <w:szCs w:val="18"/>
          <w:color w:val="auto"/>
        </w:rPr>
      </w:pPr>
    </w:p>
    <w:p>
      <w:pPr>
        <w:jc w:val="right"/>
        <w:ind w:left="652" w:hanging="324"/>
        <w:spacing w:after="0" w:line="283" w:lineRule="auto"/>
        <w:rPr>
          <w:rFonts w:ascii="Arial" w:cs="Arial" w:eastAsia="Arial" w:hAnsi="Arial"/>
          <w:sz w:val="18"/>
          <w:szCs w:val="18"/>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D Convertible Preferred Stock, exclusively and as a separate class, shall be entitled to elect one (1) director of the Corporation (the “</w:t>
      </w:r>
      <w:r>
        <w:rPr>
          <w:rFonts w:ascii="Arial" w:cs="Arial" w:eastAsia="Arial" w:hAnsi="Arial"/>
          <w:sz w:val="16"/>
          <w:szCs w:val="16"/>
          <w:u w:val="single" w:color="auto"/>
          <w:color w:val="auto"/>
        </w:rPr>
        <w:t>Series D Director</w:t>
      </w:r>
      <w:r>
        <w:rPr>
          <w:rFonts w:ascii="Arial" w:cs="Arial" w:eastAsia="Arial" w:hAnsi="Arial"/>
          <w:sz w:val="16"/>
          <w:szCs w:val="16"/>
          <w:color w:val="auto"/>
        </w:rPr>
        <w:t xml:space="preserve">”). If the holders of shares of Series D Convertible Preferred Stock fail to elect a director to fill the directorship for which they are entitled to elect a director, voting exclusively and as a separate class, pursuant to the first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then the directorship not so filled shall remain vacant until such time as the holders of the Series D Convertible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D Convertible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The initial Series D Director shall be Mr. Andrew Heyer, C/O FORM</w:t>
      </w:r>
    </w:p>
    <w:p>
      <w:pPr>
        <w:spacing w:after="0" w:line="2" w:lineRule="exact"/>
        <w:rPr>
          <w:sz w:val="20"/>
          <w:szCs w:val="20"/>
          <w:color w:val="auto"/>
        </w:rPr>
      </w:pPr>
    </w:p>
    <w:p>
      <w:pPr>
        <w:jc w:val="both"/>
        <w:ind w:left="652"/>
        <w:spacing w:after="0" w:line="259" w:lineRule="auto"/>
        <w:rPr>
          <w:sz w:val="20"/>
          <w:szCs w:val="20"/>
          <w:color w:val="auto"/>
        </w:rPr>
      </w:pPr>
      <w:r>
        <w:rPr>
          <w:rFonts w:ascii="Arial" w:cs="Arial" w:eastAsia="Arial" w:hAnsi="Arial"/>
          <w:sz w:val="16"/>
          <w:szCs w:val="16"/>
          <w:color w:val="auto"/>
        </w:rPr>
        <w:t>Holdings Corp.,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10017. The rights of the holders of the Series D Convertible Preferred Stock to elect a Series D Director shall terminate on the first date following the Initial Issuance Date on which the shares of Common Stock underlying the Series D Convertible Preferred Stock represent beneficial ownership (as such term is defined in Rule 13d-3 under the Exchange Act), in the aggregate, of less than five percent (5%) of the Corporation’s issued and outstanding shares of Common Stock on an as-converted basis.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1" w:name="page172"/>
    <w:bookmarkEnd w:id="171"/>
    <w:p>
      <w:pPr>
        <w:ind w:left="332" w:hanging="332"/>
        <w:spacing w:after="0"/>
        <w:tabs>
          <w:tab w:leader="none" w:pos="33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The holders of the Series D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left="652"/>
        <w:spacing w:after="0"/>
        <w:tabs>
          <w:tab w:leader="none" w:pos="121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jc w:val="both"/>
        <w:ind w:left="1552" w:hanging="579"/>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 Price</w:t>
      </w:r>
      <w:r>
        <w:rPr>
          <w:rFonts w:ascii="Arial" w:cs="Arial" w:eastAsia="Arial" w:hAnsi="Arial"/>
          <w:sz w:val="17"/>
          <w:szCs w:val="17"/>
          <w:color w:val="auto"/>
        </w:rPr>
        <w:t>” shall initially be equal to $6.00. Such initial Series D Conversion Price, and the rate at which shares of Series D Convertible Preferred Stock may be converted into shares of Common Stock, shall be subject to adjustment as provided below. On the Initial Issuance Date, the Series D Conversion Rate shall be equal to 8 shares of Common Stock for each share of Series D Convertible Preferred Stock.</w:t>
      </w:r>
    </w:p>
    <w:p>
      <w:pPr>
        <w:spacing w:after="0" w:line="178" w:lineRule="exact"/>
        <w:rPr>
          <w:sz w:val="20"/>
          <w:szCs w:val="20"/>
          <w:color w:val="auto"/>
        </w:rPr>
      </w:pPr>
    </w:p>
    <w:p>
      <w:pPr>
        <w:jc w:val="both"/>
        <w:ind w:left="1552" w:hanging="579"/>
        <w:spacing w:after="0" w:line="263"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D Convertible Preferred Stock.</w:t>
      </w:r>
    </w:p>
    <w:p>
      <w:pPr>
        <w:spacing w:after="0" w:line="184" w:lineRule="exact"/>
        <w:rPr>
          <w:sz w:val="20"/>
          <w:szCs w:val="20"/>
          <w:color w:val="auto"/>
        </w:rPr>
      </w:pPr>
    </w:p>
    <w:p>
      <w:pPr>
        <w:jc w:val="both"/>
        <w:ind w:left="1232" w:hanging="579"/>
        <w:spacing w:after="0" w:line="255" w:lineRule="auto"/>
        <w:tabs>
          <w:tab w:leader="none" w:pos="121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D Convertible Preferred Stock.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D Convertible Preferred Stock the Holder is at the time converting into Common Stock and the aggregate number of shares of Common Stock issuable upon such conversion.</w:t>
      </w:r>
    </w:p>
    <w:p>
      <w:pPr>
        <w:spacing w:after="0" w:line="19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D Convertible Preferred Stock shall be conducted in the following manner: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2" w:name="page173"/>
    <w:bookmarkEnd w:id="172"/>
    <w:p>
      <w:pPr>
        <w:jc w:val="both"/>
        <w:ind w:left="120" w:hanging="579"/>
        <w:spacing w:after="0" w:line="271" w:lineRule="auto"/>
        <w:tabs>
          <w:tab w:leader="none" w:pos="10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u w:val="single" w:color="auto"/>
          <w:color w:val="auto"/>
        </w:rPr>
        <w:t>Conversion Notice</w:t>
      </w:r>
      <w:r>
        <w:rPr>
          <w:rFonts w:ascii="Arial" w:cs="Arial" w:eastAsia="Arial" w:hAnsi="Arial"/>
          <w:sz w:val="17"/>
          <w:szCs w:val="17"/>
          <w:color w:val="auto"/>
        </w:rPr>
        <w:t>. The Holder of record of shares of Series D Convertible Preferred Stock being converted shall (A) transmit by email</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(or otherwise deliver) a copy of a properly completed notice of conversion executed by the registered Holder of the Series D Convertible Preferred Stock subject to such conversion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Conversion Notice</w:t>
      </w:r>
      <w:r>
        <w:rPr>
          <w:rFonts w:ascii="Arial" w:cs="Arial" w:eastAsia="Arial" w:hAnsi="Arial"/>
          <w:sz w:val="17"/>
          <w:szCs w:val="17"/>
          <w:color w:val="auto"/>
        </w:rPr>
        <w:t>”) to the Corporation and if the Corporation has appointed a registered transfer agent, the Corporation’s registered transfer agent (the “</w:t>
      </w:r>
      <w:r>
        <w:rPr>
          <w:rFonts w:ascii="Arial" w:cs="Arial" w:eastAsia="Arial" w:hAnsi="Arial"/>
          <w:sz w:val="17"/>
          <w:szCs w:val="17"/>
          <w:u w:val="single" w:color="auto"/>
          <w:color w:val="auto"/>
        </w:rPr>
        <w:t>Transfer Agent</w:t>
      </w:r>
      <w:r>
        <w:rPr>
          <w:rFonts w:ascii="Arial" w:cs="Arial" w:eastAsia="Arial" w:hAnsi="Arial"/>
          <w:sz w:val="17"/>
          <w:szCs w:val="17"/>
          <w:color w:val="auto"/>
        </w:rPr>
        <w:t xml:space="preserve">”) (if the Corporation does not have a registered transfer agent, references hereto to the “Transfer Agent” shall be deemed to be references to the Corporation) and (B) if required by </w:t>
      </w:r>
      <w:r>
        <w:rPr>
          <w:rFonts w:ascii="Arial" w:cs="Arial" w:eastAsia="Arial" w:hAnsi="Arial"/>
          <w:sz w:val="17"/>
          <w:szCs w:val="17"/>
          <w:u w:val="single" w:color="auto"/>
          <w:color w:val="auto"/>
        </w:rPr>
        <w:t>Section 6.2.3,</w:t>
      </w:r>
      <w:r>
        <w:rPr>
          <w:rFonts w:ascii="Arial" w:cs="Arial" w:eastAsia="Arial" w:hAnsi="Arial"/>
          <w:sz w:val="17"/>
          <w:szCs w:val="17"/>
          <w:color w:val="auto"/>
        </w:rPr>
        <w:t xml:space="preserve"> surrender to a common carrier for delivery to the Corporation as soon as practicable following such date the original certificates, if any, representing the Series D Convertible Preferred Stock being converted (or compliance with the procedures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(the “</w:t>
      </w:r>
      <w:r>
        <w:rPr>
          <w:rFonts w:ascii="Arial" w:cs="Arial" w:eastAsia="Arial" w:hAnsi="Arial"/>
          <w:sz w:val="17"/>
          <w:szCs w:val="17"/>
          <w:u w:val="single" w:color="auto"/>
          <w:color w:val="auto"/>
        </w:rPr>
        <w:t>Preferred Stock Certificates</w:t>
      </w:r>
      <w:r>
        <w:rPr>
          <w:rFonts w:ascii="Arial" w:cs="Arial" w:eastAsia="Arial" w:hAnsi="Arial"/>
          <w:sz w:val="17"/>
          <w:szCs w:val="17"/>
          <w:color w:val="auto"/>
        </w:rPr>
        <w:t>”).</w:t>
      </w:r>
    </w:p>
    <w:p>
      <w:pPr>
        <w:spacing w:after="0" w:line="178" w:lineRule="exact"/>
        <w:rPr>
          <w:sz w:val="20"/>
          <w:szCs w:val="20"/>
          <w:color w:val="auto"/>
        </w:rPr>
      </w:pPr>
    </w:p>
    <w:p>
      <w:pPr>
        <w:jc w:val="both"/>
        <w:ind w:left="120" w:hanging="579"/>
        <w:spacing w:after="0" w:line="287" w:lineRule="auto"/>
        <w:tabs>
          <w:tab w:leader="none" w:pos="10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practicable, but in any event within three (3) Trading Days, send, via email, a confirmation of receipt of such Conversion Notice to such Holder and the Transfer Agent, if applicable, which confirmation shall constitute an instruction to the Transfer Agent to process such</w:t>
      </w:r>
    </w:p>
    <w:p>
      <w:pPr>
        <w:spacing w:after="0" w:line="2" w:lineRule="exact"/>
        <w:rPr>
          <w:sz w:val="20"/>
          <w:szCs w:val="20"/>
          <w:color w:val="auto"/>
        </w:rPr>
      </w:pPr>
    </w:p>
    <w:p>
      <w:pPr>
        <w:jc w:val="both"/>
        <w:ind w:left="120"/>
        <w:spacing w:after="0" w:line="274" w:lineRule="auto"/>
        <w:rPr>
          <w:sz w:val="20"/>
          <w:szCs w:val="20"/>
          <w:color w:val="auto"/>
        </w:rPr>
      </w:pPr>
      <w:r>
        <w:rPr>
          <w:rFonts w:ascii="Arial" w:cs="Arial" w:eastAsia="Arial" w:hAnsi="Arial"/>
          <w:sz w:val="16"/>
          <w:szCs w:val="16"/>
          <w:color w:val="auto"/>
        </w:rPr>
        <w:t>Conversion Notice in 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D Convertible Preferred Stock represented by the Preferred Stock Certificate(s) submitted for conversion is greater than the number of shares of Series D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D Convertible Preferred Stock not converted or it shall direct the Transfer Agent to update the Holder’s account to reflect the number of shares of Series D Convertible Preferred Stock not converted.</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3" w:name="page174"/>
    <w:bookmarkEnd w:id="173"/>
    <w:p>
      <w:pPr>
        <w:jc w:val="both"/>
        <w:ind w:left="120" w:hanging="579"/>
        <w:spacing w:after="0" w:line="285" w:lineRule="auto"/>
        <w:tabs>
          <w:tab w:leader="none" w:pos="10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D Convertible Preferred Stock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the terms hereof, the Holder thereof shall not be required to physically surrender the Preferred Stock Certificate, if any, unless (A) the full or remaining number of shares of Series D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D Convertible Preferred Stock upon physical surrender of any Series D Convertible Preferred Stock. The Holder and the Corporation shall maintain records showing the number of shares of Series D Convertible Preferred Stock so converted and the dates of such conversions or shall use such other method, reasonably satisfactory to the Holder and the Corporation, so as not to require physical surrender of the certificate representing the Series D Convertible Preferred Stock upon each such conversion. In the event of any dispute or discrepancy, such records of the Corporation establishing the number of shares of Series D Convertible Preferred Stock to which the record holder is entitled shall be controlling and determinative in the absence of manifest error. Notwithstanding the foregoing, if Series D Convertible Preferred Stock represented by a certificate are converted as aforesaid, a Holder may not transfer the certificate representing the Series D Convertible Preferred Stock unless such Holder first physically surrenders the certificate representing the Series D Convertible Preferred Stock to the Corporation, whereupon the Corporation will forthwith issue and deliver upon the order of such Holder a new certificate of like tenor, registered as such Holder may request, representing in the aggregate the remaining number of shares of Series D Convertible Preferred Stock represented by such certificate. A Holder and any assignee, by acceptance of a certificate, acknowledge and agree that, by reason of the provisions of this paragraph, following conversion of any Series D Convertible Preferred Stock, the number of shares of Series D Convertible Preferred Stock represented by such certificate may be less than the number of shares of Series D Convertible Preferred Stock stated on the face thereof.</w:t>
      </w:r>
    </w:p>
    <w:p>
      <w:pPr>
        <w:spacing w:after="0" w:line="169" w:lineRule="exact"/>
        <w:rPr>
          <w:sz w:val="20"/>
          <w:szCs w:val="20"/>
          <w:color w:val="auto"/>
        </w:rPr>
      </w:pPr>
    </w:p>
    <w:p>
      <w:pPr>
        <w:jc w:val="both"/>
        <w:ind w:left="120" w:hanging="579"/>
        <w:spacing w:after="0" w:line="287" w:lineRule="auto"/>
        <w:tabs>
          <w:tab w:leader="none" w:pos="10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so long as any shares of Series D Convertible Preferred Stock are outstanding, reserve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keep available out of its authorized and unissued Common Stock, solely for the purpose of effecting the conversion of the Series D Convertible Preferred Stock according to the terms hereof, such number of shares of Common Stock as shall from time to time be sufficient to effect the conversion of all of the Series D Convertible Preferred Stock then outstanding; and if at any time the number of authorized but unissued shares of Common Stock shall not be sufficient to effect the conversion of all then outstanding shares of the Series D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Certificate of Incorporation. Before taking any action which would cause an adjustment reducing the Series D Conversion Price below the then par value of the shares of Common Stock issuable upon conversion of the Series D Convertible Preferred Stock, the Corporation will take any corporate action which may, in the opinion of its counsel, be necessary in order that the Corporation may validly and legally issue fully paid and non-assessable shares of Common Stock at such adjusted Series D Convertible Conversion Price.</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4" w:name="page175"/>
    <w:bookmarkEnd w:id="174"/>
    <w:p>
      <w:pPr>
        <w:jc w:val="both"/>
        <w:ind w:left="120" w:hanging="579"/>
        <w:spacing w:after="0" w:line="287" w:lineRule="auto"/>
        <w:tabs>
          <w:tab w:leader="none" w:pos="10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Series D Conversion Rate, the Corporation shall issue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D Conversion Rate within two (2) Business Days of such disputed determination or arithmetic calculation being transmitted to the Holder, then the Corporation shall within one (1) Business Day submit via email the disputed arithmetic calculation of the Series D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2" w:lineRule="exact"/>
        <w:rPr>
          <w:sz w:val="20"/>
          <w:szCs w:val="20"/>
          <w:color w:val="auto"/>
        </w:rPr>
      </w:pPr>
    </w:p>
    <w:p>
      <w:pPr>
        <w:jc w:val="both"/>
        <w:ind w:left="120" w:hanging="579"/>
        <w:spacing w:after="0" w:line="342" w:lineRule="auto"/>
        <w:tabs>
          <w:tab w:leader="none" w:pos="10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D Convertible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left="120" w:hanging="579"/>
        <w:spacing w:after="0" w:line="254" w:lineRule="auto"/>
        <w:tabs>
          <w:tab w:leader="none" w:pos="10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D Convertible Preferred Stock which shall have been surrendered for conversion as herein</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Section6.1.2, and payment of any accrued but unpaid dividends thereon (whether or not declared). Any shares of Series D Convertible Preferred Stock so converted shall be retired and canceled and shall not be reissued, and the Corporation may from time to time take such appropriate action as may be necessary to reduce the authorized Series D Convertible Preferred Stock accordingly.</w:t>
      </w:r>
    </w:p>
    <w:p>
      <w:pPr>
        <w:spacing w:after="0" w:line="192" w:lineRule="exact"/>
        <w:rPr>
          <w:sz w:val="20"/>
          <w:szCs w:val="20"/>
          <w:color w:val="auto"/>
        </w:rPr>
      </w:pPr>
    </w:p>
    <w:p>
      <w:pPr>
        <w:jc w:val="both"/>
        <w:ind w:left="120" w:hanging="579"/>
        <w:spacing w:after="0" w:line="272" w:lineRule="auto"/>
        <w:tabs>
          <w:tab w:leader="none" w:pos="100"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D Convertible Preferred</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D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5" w:name="page176"/>
    <w:bookmarkEnd w:id="175"/>
    <w:p>
      <w:pPr>
        <w:jc w:val="both"/>
        <w:ind w:left="900" w:hanging="579"/>
        <w:spacing w:after="0" w:line="287" w:lineRule="auto"/>
        <w:tabs>
          <w:tab w:leader="none" w:pos="88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Notice, the Corporation shall fail to credit a Holder’s balance account with DTC or issue and deliver a certificate to such Holder for the number of shares of Common Stock to which such Holder is entitled upon such Holder’s conversion of Series D Convertible Preferred</w:t>
      </w:r>
    </w:p>
    <w:p>
      <w:pPr>
        <w:spacing w:after="0" w:line="2" w:lineRule="exact"/>
        <w:rPr>
          <w:sz w:val="20"/>
          <w:szCs w:val="20"/>
          <w:color w:val="auto"/>
        </w:rPr>
      </w:pPr>
    </w:p>
    <w:p>
      <w:pPr>
        <w:jc w:val="both"/>
        <w:ind w:left="900"/>
        <w:spacing w:after="0" w:line="274" w:lineRule="auto"/>
        <w:rPr>
          <w:sz w:val="20"/>
          <w:szCs w:val="20"/>
          <w:color w:val="auto"/>
        </w:rPr>
      </w:pPr>
      <w:r>
        <w:rPr>
          <w:rFonts w:ascii="Arial" w:cs="Arial" w:eastAsia="Arial" w:hAnsi="Arial"/>
          <w:sz w:val="16"/>
          <w:szCs w:val="16"/>
          <w:color w:val="auto"/>
        </w:rPr>
        <w:t>Stock (a “</w:t>
      </w:r>
      <w:r>
        <w:rPr>
          <w:rFonts w:ascii="Arial" w:cs="Arial" w:eastAsia="Arial" w:hAnsi="Arial"/>
          <w:sz w:val="16"/>
          <w:szCs w:val="16"/>
          <w:u w:val="single" w:color="auto"/>
          <w:color w:val="auto"/>
        </w:rPr>
        <w:t>Conversion Failure</w:t>
      </w:r>
      <w:r>
        <w:rPr>
          <w:rFonts w:ascii="Arial" w:cs="Arial" w:eastAsia="Arial" w:hAnsi="Arial"/>
          <w:sz w:val="16"/>
          <w:szCs w:val="16"/>
          <w:color w:val="auto"/>
        </w:rPr>
        <w:t>”),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u w:val="single" w:color="auto"/>
          <w:color w:val="auto"/>
        </w:rPr>
        <w:t>Buy-In</w:t>
      </w:r>
      <w:r>
        <w:rPr>
          <w:rFonts w:ascii="Arial" w:cs="Arial" w:eastAsia="Arial" w:hAnsi="Arial"/>
          <w:sz w:val="16"/>
          <w:szCs w:val="16"/>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 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900" w:hanging="579"/>
        <w:spacing w:after="0" w:line="271" w:lineRule="auto"/>
        <w:tabs>
          <w:tab w:leader="none" w:pos="8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7"/>
          <w:szCs w:val="17"/>
          <w:color w:val="auto"/>
        </w:rPr>
        <w:t>At any time or from time to time after the Initial Issuance Date of the Series D Convertible Preferred Stock, if the volume weighted average price per share, as published by Bloomberg L.P, (or if Bloomberg L.P, does not then exist, a comparable publication) (“VWAP”)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the Corporation will have the right, but not the obligation, by notice given no more than ten (10) Trading Days after the occurrence of such Corporation Conversion Right Event, to convert each outstanding share of Series D Convertible Preferred Stock into a number of fully paid and nonassessable shares of Common Stock calculated based on the then applicable Series D Conversion Rate.</w:t>
      </w:r>
    </w:p>
    <w:p>
      <w:pPr>
        <w:spacing w:after="0" w:line="178" w:lineRule="exact"/>
        <w:rPr>
          <w:sz w:val="20"/>
          <w:szCs w:val="20"/>
          <w:color w:val="auto"/>
        </w:rPr>
      </w:pPr>
    </w:p>
    <w:p>
      <w:pPr>
        <w:jc w:val="both"/>
        <w:ind w:left="900" w:hanging="579"/>
        <w:spacing w:after="0" w:line="279" w:lineRule="auto"/>
        <w:tabs>
          <w:tab w:leader="none" w:pos="88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To exercise the Corporation’s right set forth in Section 6.3.1, the Corporation shall deliver to each Holder of record of Series D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76" w:name="page177"/>
    <w:bookmarkEnd w:id="176"/>
    <w:p>
      <w:pPr>
        <w:jc w:val="both"/>
        <w:ind w:left="1232" w:hanging="579"/>
        <w:spacing w:after="0" w:line="268" w:lineRule="auto"/>
        <w:tabs>
          <w:tab w:leader="none" w:pos="1212"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7"/>
          <w:szCs w:val="17"/>
          <w:color w:val="auto"/>
        </w:rPr>
        <w:t xml:space="preserve">On the Corporation Conversion Date, the outstanding shares of Series D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D Convertible Preferred shall represent only the shares of Common Stock into which the shares of Series D Convertible Preferred previously represented thereby have been converted pursuant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Corporation shall not be obligated to issue the shares of Common Stock issuable upon such conversion of any shares of Series D Convertible Preferred unless certificates evidencing such shares of Series D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D Convertible Preferred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the Holders of shares of Series D Convertible Preferred shall surrender the certificates representing such shares to the Corporation and the Corporation shall cause its Transfer Agent to deliver the shares of Common Stock issuable upon such conversion (in the same manner set forth in </w:t>
      </w:r>
      <w:r>
        <w:rPr>
          <w:rFonts w:ascii="Arial" w:cs="Arial" w:eastAsia="Arial" w:hAnsi="Arial"/>
          <w:sz w:val="17"/>
          <w:szCs w:val="17"/>
          <w:u w:val="single" w:color="auto"/>
          <w:color w:val="auto"/>
        </w:rPr>
        <w:t>Section 6.2.2</w:t>
      </w:r>
      <w:r>
        <w:rPr>
          <w:rFonts w:ascii="Arial" w:cs="Arial" w:eastAsia="Arial" w:hAnsi="Arial"/>
          <w:sz w:val="17"/>
          <w:szCs w:val="17"/>
          <w:color w:val="auto"/>
        </w:rPr>
        <w:t>) to the Holder within three (3) Business Days of the Holder’s delivery of the applicable Series D Convertible Preferred certificates,</w:t>
      </w:r>
    </w:p>
    <w:p>
      <w:pPr>
        <w:spacing w:after="0" w:line="186" w:lineRule="exact"/>
        <w:rPr>
          <w:sz w:val="20"/>
          <w:szCs w:val="20"/>
          <w:color w:val="auto"/>
        </w:rPr>
      </w:pPr>
    </w:p>
    <w:p>
      <w:pPr>
        <w:ind w:left="332" w:hanging="332"/>
        <w:spacing w:after="0"/>
        <w:tabs>
          <w:tab w:leader="none" w:pos="33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Repayment of Series D Convertible Preferred Stock</w:t>
      </w:r>
      <w:r>
        <w:rPr>
          <w:rFonts w:ascii="Arial" w:cs="Arial" w:eastAsia="Arial" w:hAnsi="Arial"/>
          <w:sz w:val="18"/>
          <w:szCs w:val="18"/>
          <w:color w:val="auto"/>
        </w:rPr>
        <w:t>.</w:t>
      </w:r>
    </w:p>
    <w:p>
      <w:pPr>
        <w:spacing w:after="0" w:line="225" w:lineRule="exact"/>
        <w:rPr>
          <w:sz w:val="20"/>
          <w:szCs w:val="20"/>
          <w:color w:val="auto"/>
        </w:rPr>
      </w:pPr>
    </w:p>
    <w:p>
      <w:pPr>
        <w:jc w:val="both"/>
        <w:ind w:left="652" w:hanging="32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D Convertible Preferred (the “</w:t>
      </w:r>
      <w:r>
        <w:rPr>
          <w:rFonts w:ascii="Arial" w:cs="Arial" w:eastAsia="Arial" w:hAnsi="Arial"/>
          <w:sz w:val="18"/>
          <w:szCs w:val="18"/>
          <w:u w:val="single" w:color="auto"/>
          <w:color w:val="auto"/>
        </w:rPr>
        <w:t>Maturity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Corporation shall, in accordance with Section 7.2 hereof, repay and cancel each share of Series D Convertible Preferred, at a price per share of the Series D Convertible Preferred equal to the Series D Liquidation Preference Amount, plus an amount equal to any accrued but unpaid dividends payable thereon until the Maturity Date.</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jc w:val="both"/>
        <w:ind w:left="1232" w:hanging="579"/>
        <w:spacing w:after="0" w:line="263" w:lineRule="auto"/>
        <w:tabs>
          <w:tab w:leader="none" w:pos="1212" w:val="left"/>
        </w:tabs>
        <w:rPr>
          <w:sz w:val="20"/>
          <w:szCs w:val="20"/>
          <w:color w:val="auto"/>
        </w:rPr>
      </w:pPr>
      <w:r>
        <w:rPr>
          <w:rFonts w:ascii="Arial" w:cs="Arial" w:eastAsia="Arial" w:hAnsi="Arial"/>
          <w:sz w:val="18"/>
          <w:szCs w:val="18"/>
          <w:color w:val="auto"/>
        </w:rPr>
        <w:t>7.2.1.</w:t>
        <w:tab/>
        <w:t xml:space="preserve">On the Maturity Date, the Corporation, at its sole option, may elect to pay to the Holders the Series D Liquidation Preference Amount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(i) in cash; (ii) by delivery of shares of Common Stock; or (iii) through any combination of cash and/or Common Stock.</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7" w:name="page178"/>
    <w:bookmarkEnd w:id="177"/>
    <w:p>
      <w:pPr>
        <w:jc w:val="both"/>
        <w:ind w:left="1232" w:hanging="579"/>
        <w:spacing w:after="0" w:line="268" w:lineRule="auto"/>
        <w:tabs>
          <w:tab w:leader="none" w:pos="1212"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 xml:space="preserve">If the Corporation elects to make a payment, or any portion thereof,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7"/>
          <w:szCs w:val="17"/>
          <w:i w:val="1"/>
          <w:iCs w:val="1"/>
          <w:color w:val="auto"/>
        </w:rPr>
        <w:t>by</w:t>
      </w:r>
      <w:r>
        <w:rPr>
          <w:rFonts w:ascii="Arial" w:cs="Arial" w:eastAsia="Arial" w:hAnsi="Arial"/>
          <w:sz w:val="17"/>
          <w:szCs w:val="17"/>
          <w:color w:val="auto"/>
        </w:rPr>
        <w:t xml:space="preserve"> (y)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(the “</w:t>
      </w:r>
      <w:r>
        <w:rPr>
          <w:rFonts w:ascii="Arial" w:cs="Arial" w:eastAsia="Arial" w:hAnsi="Arial"/>
          <w:sz w:val="17"/>
          <w:szCs w:val="17"/>
          <w:u w:val="single" w:color="auto"/>
          <w:color w:val="auto"/>
        </w:rPr>
        <w:t>Base Price</w:t>
      </w:r>
      <w:r>
        <w:rPr>
          <w:rFonts w:ascii="Arial" w:cs="Arial" w:eastAsia="Arial" w:hAnsi="Arial"/>
          <w:sz w:val="17"/>
          <w:szCs w:val="17"/>
          <w:color w:val="auto"/>
        </w:rPr>
        <w:t>”) and adding to the number of shares determined in accordance with clause (A), (B) an additional number of shares of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xml:space="preserve">”),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(iii) if the Base Price as calculated pursuant to clause (A) above is greater than $6.00 and equal to or less than $7.00, a number of shares equal to 10%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(iv) if the Base Price as calculated pursuant to clause (A) above is greater than $5.00 and equal to or less than $6.00, a number of shares equal to 20%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and (v) if the Base Price as calculated pursuant to clause (A) above is less than or equal to $5.00, a number of shares equal to 25% of the shares to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All per share prices set forth in Section 7.2.2 shall be subject to appropriate adjustment in the event of any stock dividend, stock split, combination or other similar recapitalization after the Initial Issuance Date.</w:t>
      </w:r>
    </w:p>
    <w:p>
      <w:pPr>
        <w:spacing w:after="0" w:line="182" w:lineRule="exact"/>
        <w:rPr>
          <w:sz w:val="20"/>
          <w:szCs w:val="20"/>
          <w:color w:val="auto"/>
        </w:rPr>
      </w:pPr>
    </w:p>
    <w:p>
      <w:pPr>
        <w:ind w:left="332" w:hanging="332"/>
        <w:spacing w:after="0"/>
        <w:tabs>
          <w:tab w:leader="none" w:pos="332"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Adjustment of Series D Conversion Price.</w:t>
      </w:r>
    </w:p>
    <w:p>
      <w:pPr>
        <w:spacing w:after="0" w:line="225" w:lineRule="exact"/>
        <w:rPr>
          <w:sz w:val="20"/>
          <w:szCs w:val="20"/>
          <w:color w:val="auto"/>
        </w:rPr>
      </w:pPr>
    </w:p>
    <w:p>
      <w:pPr>
        <w:jc w:val="both"/>
        <w:ind w:left="1232" w:hanging="579"/>
        <w:spacing w:after="0" w:line="254" w:lineRule="auto"/>
        <w:tabs>
          <w:tab w:leader="none" w:pos="121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Adjustment of Series D Conversion Price upon Subdivision or Combination of Common Stock</w:t>
      </w:r>
      <w:r>
        <w:rPr>
          <w:rFonts w:ascii="Arial" w:cs="Arial" w:eastAsia="Arial" w:hAnsi="Arial"/>
          <w:sz w:val="18"/>
          <w:szCs w:val="18"/>
          <w:color w:val="auto"/>
        </w:rPr>
        <w:t>. The Series D Conversion Price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subject to adjustment from time to time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after the Initial Issuance Date subdivides (by any stock split, stock dividend, recapitalization or otherwise) its outstanding shares of Common Stock into a greater number of shares, the Series D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D Conversion Price in effect immediately prior to such combination will be proportionately increased.</w:t>
      </w:r>
    </w:p>
    <w:p>
      <w:pPr>
        <w:spacing w:after="0" w:line="195" w:lineRule="exact"/>
        <w:rPr>
          <w:sz w:val="20"/>
          <w:szCs w:val="20"/>
          <w:color w:val="auto"/>
        </w:rPr>
      </w:pPr>
    </w:p>
    <w:p>
      <w:pPr>
        <w:jc w:val="both"/>
        <w:ind w:left="1232" w:hanging="579"/>
        <w:spacing w:after="0" w:line="268" w:lineRule="auto"/>
        <w:tabs>
          <w:tab w:leader="none" w:pos="1212"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Subject to the provisions of</w:t>
      </w:r>
      <w:r>
        <w:rPr>
          <w:rFonts w:ascii="Arial" w:cs="Arial" w:eastAsia="Arial" w:hAnsi="Arial"/>
          <w:sz w:val="17"/>
          <w:szCs w:val="17"/>
          <w:u w:val="single" w:color="auto"/>
          <w:color w:val="auto"/>
        </w:rPr>
        <w:t xml:space="preserve"> Section 4</w:t>
      </w:r>
      <w:r>
        <w:rPr>
          <w:rFonts w:ascii="Arial" w:cs="Arial" w:eastAsia="Arial" w:hAnsi="Arial"/>
          <w:sz w:val="17"/>
          <w:szCs w:val="17"/>
          <w:color w:val="auto"/>
        </w:rPr>
        <w:t>, if there shall occur any reorganization,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recapitalization, reclassification, consolidation or merger involving the Corporation in which the Common Stock (but not the Series D Convertible Preferred Stock) is converted into or exchanged for securities, cash or other property, then, following any such reorganization, recapitalization, reclassification, consolidation or merger, each share of Series D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D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D Convertible Preferred Stock, to the end that the provisions set forth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(and the provisions with respect to changes in and other adjustments of the Series D Conversion Price) shall thereafter be applicable, as nearly as reasonably may be, in relation to any securities or other property thereafter deliverable upon the conversion of the Series A Preferred Stock.</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8" w:name="page179"/>
    <w:bookmarkEnd w:id="178"/>
    <w:p>
      <w:pPr>
        <w:ind w:left="332"/>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232" w:hanging="579"/>
        <w:spacing w:after="0" w:line="279" w:lineRule="auto"/>
        <w:tabs>
          <w:tab w:leader="none" w:pos="121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 xml:space="preserve">Immediately upon any adjustment of the Series D Conversion Rate and Series D Conversion Price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w:t>
      </w:r>
      <w:r>
        <w:rPr>
          <w:rFonts w:ascii="Arial" w:cs="Arial" w:eastAsia="Arial" w:hAnsi="Arial"/>
          <w:sz w:val="17"/>
          <w:szCs w:val="17"/>
          <w:u w:val="single" w:color="auto"/>
          <w:color w:val="auto"/>
        </w:rPr>
        <w:t>Section 6.2.5</w:t>
      </w:r>
      <w:r>
        <w:rPr>
          <w:rFonts w:ascii="Arial" w:cs="Arial" w:eastAsia="Arial" w:hAnsi="Arial"/>
          <w:sz w:val="17"/>
          <w:szCs w:val="17"/>
          <w:color w:val="auto"/>
        </w:rPr>
        <w:t>.</w:t>
      </w:r>
    </w:p>
    <w:p>
      <w:pPr>
        <w:spacing w:after="0" w:line="171" w:lineRule="exact"/>
        <w:rPr>
          <w:sz w:val="20"/>
          <w:szCs w:val="20"/>
          <w:color w:val="auto"/>
        </w:rPr>
      </w:pPr>
    </w:p>
    <w:p>
      <w:pPr>
        <w:jc w:val="both"/>
        <w:ind w:left="1232" w:hanging="579"/>
        <w:spacing w:after="0" w:line="263" w:lineRule="auto"/>
        <w:tabs>
          <w:tab w:leader="none" w:pos="1212" w:val="left"/>
        </w:tabs>
        <w:rPr>
          <w:sz w:val="20"/>
          <w:szCs w:val="20"/>
          <w:color w:val="auto"/>
        </w:rPr>
      </w:pPr>
      <w:r>
        <w:rPr>
          <w:rFonts w:ascii="Arial" w:cs="Arial" w:eastAsia="Arial" w:hAnsi="Arial"/>
          <w:sz w:val="18"/>
          <w:szCs w:val="18"/>
          <w:color w:val="auto"/>
        </w:rPr>
        <w:t>8.2.2.</w:t>
        <w:tab/>
        <w:t>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4" w:lineRule="exact"/>
        <w:rPr>
          <w:sz w:val="20"/>
          <w:szCs w:val="20"/>
          <w:color w:val="auto"/>
        </w:rPr>
      </w:pPr>
    </w:p>
    <w:p>
      <w:pPr>
        <w:jc w:val="both"/>
        <w:ind w:left="1232" w:hanging="579"/>
        <w:spacing w:after="0" w:line="277" w:lineRule="auto"/>
        <w:tabs>
          <w:tab w:leader="none" w:pos="1212" w:val="left"/>
        </w:tabs>
        <w:rPr>
          <w:sz w:val="20"/>
          <w:szCs w:val="20"/>
          <w:color w:val="auto"/>
        </w:rPr>
      </w:pPr>
      <w:r>
        <w:rPr>
          <w:rFonts w:ascii="Arial" w:cs="Arial" w:eastAsia="Arial" w:hAnsi="Arial"/>
          <w:sz w:val="18"/>
          <w:szCs w:val="18"/>
          <w:color w:val="auto"/>
        </w:rPr>
        <w:t>8.2.3.</w:t>
        <w:tab/>
        <w:t>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32" w:hanging="332"/>
        <w:spacing w:after="0" w:line="277" w:lineRule="auto"/>
        <w:tabs>
          <w:tab w:leader="none" w:pos="3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xml:space="preserve">. In the event any shares of Series D Convertible Preferred Stock shall be converted pursuant to </w:t>
      </w:r>
      <w:r>
        <w:rPr>
          <w:rFonts w:ascii="Arial" w:cs="Arial" w:eastAsia="Arial" w:hAnsi="Arial"/>
          <w:sz w:val="18"/>
          <w:szCs w:val="18"/>
          <w:u w:val="single" w:color="auto"/>
          <w:color w:val="auto"/>
        </w:rPr>
        <w:t>Sections 6 or 7</w:t>
      </w:r>
      <w:r>
        <w:rPr>
          <w:rFonts w:ascii="Arial" w:cs="Arial" w:eastAsia="Arial" w:hAnsi="Arial"/>
          <w:sz w:val="18"/>
          <w:szCs w:val="18"/>
          <w:color w:val="auto"/>
        </w:rPr>
        <w:t xml:space="preserve">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332" w:hanging="332"/>
        <w:spacing w:after="0" w:line="254" w:lineRule="auto"/>
        <w:tabs>
          <w:tab w:leader="none" w:pos="3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D Convertible Preferred Stock Certificates representing the Series D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D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Corporation shall not be obligated to re-issue preferred stock certificates if the holder contemporaneously requests the Corporation to convert such Series D Convertible Preferred Stock into Common Stock.</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79" w:name="page180"/>
    <w:bookmarkEnd w:id="179"/>
    <w:p>
      <w:pPr>
        <w:jc w:val="both"/>
        <w:ind w:left="332" w:hanging="332"/>
        <w:spacing w:after="0" w:line="268" w:lineRule="auto"/>
        <w:tabs>
          <w:tab w:leader="none" w:pos="332"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D Convertible Preferred Stock’s right to pursue actual damages for any failure by the Corporation to comply with the terms of this Certificate of Designation. The Corporation covenants to each holder of Series D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D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D Convertible Preferred Stock and that the remedy at law for any such breach may be inadequate. The Corporation therefore agrees that, in the event of any such breach or threatened breach, the holders of Series D Convertible Preferred Stock shall be entitled, in addition to all other available remedies, to an injunction restraining any breach, without the necessity of showing economic loss and without any bond or other security being required,</w:t>
      </w:r>
    </w:p>
    <w:p>
      <w:pPr>
        <w:spacing w:after="0" w:line="186" w:lineRule="exact"/>
        <w:rPr>
          <w:rFonts w:ascii="Arial" w:cs="Arial" w:eastAsia="Arial" w:hAnsi="Arial"/>
          <w:sz w:val="17"/>
          <w:szCs w:val="17"/>
          <w:color w:val="auto"/>
        </w:rPr>
      </w:pPr>
    </w:p>
    <w:p>
      <w:pPr>
        <w:jc w:val="both"/>
        <w:ind w:left="332" w:hanging="332"/>
        <w:spacing w:after="0" w:line="263" w:lineRule="auto"/>
        <w:tabs>
          <w:tab w:leader="none" w:pos="3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Whenever notice or other communication is required to be given hereunder, unless otherwise provided herein, such notice shall be given in accordance with contact information provided by each Holder to the Corporation and set forth in the register for the Series D Convertible Preferred Stock maintained by the Corporation as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D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3"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Transfer of Series D Convertible Preferred Stock</w:t>
      </w:r>
      <w:r>
        <w:rPr>
          <w:rFonts w:ascii="Arial" w:cs="Arial" w:eastAsia="Arial" w:hAnsi="Arial"/>
          <w:sz w:val="18"/>
          <w:szCs w:val="18"/>
          <w:color w:val="auto"/>
        </w:rPr>
        <w:t xml:space="preserve">. A Holder may assign some or all of the Series D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3"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Series D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D Convertible Preferred Stock, in which the Corporation shall record the name, address and email address of the persons in whose name the Series D Convertible Preferred Stock have been issued, as well as the name, address and email address of each transferee. The Corporation may treat the person in whose name any Series D Convertible Preferred Stock is registered on the register as the owner and holder thereof for all purposes, notwithstanding any notice to the contrary, but in all events recognizing any properly made transfers.</w:t>
      </w:r>
    </w:p>
    <w:p>
      <w:pPr>
        <w:spacing w:after="0" w:line="192" w:lineRule="exact"/>
        <w:rPr>
          <w:rFonts w:ascii="Arial" w:cs="Arial" w:eastAsia="Arial" w:hAnsi="Arial"/>
          <w:sz w:val="18"/>
          <w:szCs w:val="18"/>
          <w:color w:val="auto"/>
        </w:rPr>
      </w:pPr>
    </w:p>
    <w:p>
      <w:pPr>
        <w:jc w:val="both"/>
        <w:ind w:left="332" w:hanging="332"/>
        <w:spacing w:after="0" w:line="296" w:lineRule="auto"/>
        <w:tabs>
          <w:tab w:leader="none" w:pos="332"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D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0" w:name="page181"/>
    <w:bookmarkEnd w:id="180"/>
    <w:p>
      <w:pPr>
        <w:jc w:val="both"/>
        <w:ind w:left="332" w:hanging="332"/>
        <w:spacing w:after="0" w:line="263"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D Convertible Preferred Stock, such Series D Convertible Preferred Stock shall be subject to and be entitled to the benefit of the provisions set forth in the Amended and Restated Certificate of Incorporation of the Corporation with respect to preferred stock of the Corporation generally.</w:t>
      </w:r>
    </w:p>
    <w:p>
      <w:pPr>
        <w:spacing w:after="0" w:line="183"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D Convertible Preferred Stock set forth herein may be waived or amended on behalf of all holders of Series D Convertible Preferred Stock by the affirmative written consent or vote of the holders of at least 50 % of the shares of Series D Convertible Preferred Stock then outstanding.</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1" w:name="page182"/>
    <w:bookmarkEnd w:id="181"/>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day of December,</w:t>
      </w:r>
    </w:p>
    <w:p>
      <w:pPr>
        <w:spacing w:after="0"/>
        <w:rPr>
          <w:sz w:val="20"/>
          <w:szCs w:val="20"/>
          <w:color w:val="auto"/>
        </w:rPr>
      </w:pPr>
      <w:r>
        <w:rPr>
          <w:rFonts w:ascii="Arial" w:cs="Arial" w:eastAsia="Arial" w:hAnsi="Arial"/>
          <w:sz w:val="18"/>
          <w:szCs w:val="18"/>
          <w:color w:val="auto"/>
        </w:rPr>
        <w:t>2016.</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2"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The undersigned hereby elects to convert the number of shares of Series D Convertible Preferred Stock, par value $0.01 per share (the </w:t>
      </w:r>
      <w:r>
        <w:rPr>
          <w:rFonts w:ascii="Arial" w:cs="Arial" w:eastAsia="Arial" w:hAnsi="Arial"/>
          <w:sz w:val="18"/>
          <w:szCs w:val="18"/>
          <w:b w:val="1"/>
          <w:bCs w:val="1"/>
          <w:color w:val="auto"/>
        </w:rPr>
        <w:t xml:space="preserve">“Series D Convertible Preferred Stock”), </w:t>
      </w:r>
      <w:r>
        <w:rPr>
          <w:rFonts w:ascii="Arial" w:cs="Arial" w:eastAsia="Arial" w:hAnsi="Arial"/>
          <w:sz w:val="18"/>
          <w:szCs w:val="18"/>
          <w:color w:val="auto"/>
        </w:rPr>
        <w:t>of Form Holdings Corp., a Delaware corporation (the</w:t>
      </w:r>
      <w:r>
        <w:rPr>
          <w:rFonts w:ascii="Arial" w:cs="Arial" w:eastAsia="Arial" w:hAnsi="Arial"/>
          <w:sz w:val="18"/>
          <w:szCs w:val="18"/>
          <w:b w:val="1"/>
          <w:bCs w:val="1"/>
          <w:color w:val="auto"/>
        </w:rPr>
        <w:t xml:space="preserve"> “Corporation”), </w:t>
      </w:r>
      <w:r>
        <w:rPr>
          <w:rFonts w:ascii="Arial" w:cs="Arial" w:eastAsia="Arial" w:hAnsi="Arial"/>
          <w:sz w:val="18"/>
          <w:szCs w:val="18"/>
          <w:color w:val="auto"/>
        </w:rPr>
        <w:t>indicated below into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of the Corporation, as of the date specified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54260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6485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6485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14605</wp:posOffset>
            </wp:positionV>
            <wp:extent cx="4834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4">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14605</wp:posOffset>
            </wp:positionV>
            <wp:extent cx="45605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D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9687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6">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37719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1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Please issue the Common Stock into which the Series D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160655</wp:posOffset>
            </wp:positionV>
            <wp:extent cx="37204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14605</wp:posOffset>
            </wp:positionV>
            <wp:extent cx="37204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36772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30772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14605</wp:posOffset>
            </wp:positionV>
            <wp:extent cx="31203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wp:posOffset>
            </wp:positionV>
            <wp:extent cx="33775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40201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39344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5">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6429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11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7">
                      <a:extLst>
                        <a:ext uri="{28A0092B-C50C-407E-A947-70E740481C1C}"/>
                      </a:extLst>
                    </a:blip>
                    <a:srcRect/>
                    <a:stretch>
                      <a:fillRect/>
                    </a:stretch>
                  </pic:blipFill>
                  <pic:spPr bwMode="auto">
                    <a:xfrm>
                      <a:off x="0" y="0"/>
                      <a:ext cx="311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5574665</wp:posOffset>
            </wp:positionH>
            <wp:positionV relativeFrom="page">
              <wp:posOffset>586105</wp:posOffset>
            </wp:positionV>
            <wp:extent cx="1739900" cy="8572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HOLDINGS CORP.,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FORM HOLDINGS CORP.</w:t>
      </w:r>
    </w:p>
    <w:p>
      <w:pPr>
        <w:spacing w:after="0" w:line="225" w:lineRule="exact"/>
        <w:rPr>
          <w:sz w:val="20"/>
          <w:szCs w:val="20"/>
          <w:color w:val="auto"/>
        </w:rPr>
      </w:pPr>
    </w:p>
    <w:p>
      <w:pPr>
        <w:jc w:val="both"/>
        <w:ind w:left="1300" w:hanging="1299"/>
        <w:spacing w:after="0" w:line="279" w:lineRule="auto"/>
        <w:tabs>
          <w:tab w:leader="none" w:pos="1280" w:val="left"/>
        </w:tabs>
        <w:rPr>
          <w:sz w:val="20"/>
          <w:szCs w:val="20"/>
          <w:color w:val="auto"/>
        </w:rPr>
      </w:pPr>
      <w:r>
        <w:rPr>
          <w:rFonts w:ascii="Arial" w:cs="Arial" w:eastAsia="Arial" w:hAnsi="Arial"/>
          <w:sz w:val="17"/>
          <w:szCs w:val="17"/>
          <w:b w:val="1"/>
          <w:bCs w:val="1"/>
          <w:color w:val="auto"/>
        </w:rPr>
        <w:t>SECOND:</w:t>
      </w:r>
      <w:r>
        <w:rPr>
          <w:sz w:val="20"/>
          <w:szCs w:val="20"/>
          <w:color w:val="auto"/>
        </w:rPr>
        <w:tab/>
      </w:r>
      <w:r>
        <w:rPr>
          <w:rFonts w:ascii="Arial" w:cs="Arial" w:eastAsia="Arial" w:hAnsi="Arial"/>
          <w:sz w:val="17"/>
          <w:szCs w:val="17"/>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on November 24, 2015, on November 28, 2016, and on May 5, 2016.</w:t>
      </w:r>
    </w:p>
    <w:p>
      <w:pPr>
        <w:spacing w:after="0" w:line="171" w:lineRule="exact"/>
        <w:rPr>
          <w:sz w:val="20"/>
          <w:szCs w:val="20"/>
          <w:color w:val="auto"/>
        </w:rPr>
      </w:pPr>
    </w:p>
    <w:p>
      <w:pPr>
        <w:jc w:val="both"/>
        <w:ind w:left="1300" w:hanging="1299"/>
        <w:spacing w:after="0" w:line="263"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8"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(hereinafter the “Corporation”) is XpresSpa Group, Inc.”</w:t>
      </w:r>
    </w:p>
    <w:p>
      <w:pPr>
        <w:spacing w:after="0" w:line="221" w:lineRule="exact"/>
        <w:rPr>
          <w:sz w:val="20"/>
          <w:szCs w:val="20"/>
          <w:color w:val="auto"/>
        </w:rPr>
      </w:pPr>
    </w:p>
    <w:p>
      <w:pPr>
        <w:ind w:left="1300" w:hanging="1299"/>
        <w:spacing w:after="0" w:line="277" w:lineRule="auto"/>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Thereafter, pursuant to a resolution of the Board, this Certificate of Amendment was duly adopted in accordance with the provisions of Sections 222 and 242 of the DGCL.</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This Certificate of Amendment shall be effective on January 5, 2018 at 4:01 P.M., Eastern Standard Time.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Andrew Perlman,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of the 5th day of January, 2018.</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195"/>
        </w:trPr>
        <w:tc>
          <w:tcPr>
            <w:tcW w:w="620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Andrew Perlman</w:t>
            </w:r>
          </w:p>
        </w:tc>
      </w:tr>
      <w:tr>
        <w:trPr>
          <w:trHeight w:val="230"/>
        </w:trPr>
        <w:tc>
          <w:tcPr>
            <w:tcW w:w="6200" w:type="dxa"/>
            <w:vAlign w:val="bottom"/>
          </w:tcPr>
          <w:p>
            <w:pPr>
              <w:ind w:left="56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5574665</wp:posOffset>
            </wp:positionH>
            <wp:positionV relativeFrom="page">
              <wp:posOffset>586105</wp:posOffset>
            </wp:positionV>
            <wp:extent cx="1739900" cy="8655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CONVERTIBLE PREFERRED STOCK</w:t>
      </w:r>
    </w:p>
    <w:p>
      <w:pPr>
        <w:spacing w:after="0" w:line="211" w:lineRule="exact"/>
        <w:rPr>
          <w:sz w:val="20"/>
          <w:szCs w:val="20"/>
          <w:color w:val="auto"/>
        </w:rPr>
      </w:pPr>
    </w:p>
    <w:p>
      <w:pPr>
        <w:jc w:val="both"/>
        <w:ind w:left="20" w:right="20" w:firstLine="342"/>
        <w:spacing w:after="0" w:line="263" w:lineRule="auto"/>
        <w:rPr>
          <w:sz w:val="20"/>
          <w:szCs w:val="20"/>
          <w:color w:val="auto"/>
        </w:rPr>
      </w:pPr>
      <w:r>
        <w:rPr>
          <w:rFonts w:ascii="Arial" w:cs="Arial" w:eastAsia="Arial" w:hAnsi="Arial"/>
          <w:sz w:val="18"/>
          <w:szCs w:val="18"/>
          <w:color w:val="auto"/>
        </w:rPr>
        <w:t>WHEREAS, the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of XpresSpa Group,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provides for a class of its authorized stock known as preferred stock, comprised of 5,000,000 shares, issuable from time to time in one or more series;</w:t>
      </w:r>
    </w:p>
    <w:p>
      <w:pPr>
        <w:spacing w:after="0" w:line="184" w:lineRule="exact"/>
        <w:rPr>
          <w:sz w:val="20"/>
          <w:szCs w:val="20"/>
          <w:color w:val="auto"/>
        </w:rPr>
      </w:pPr>
    </w:p>
    <w:p>
      <w:pPr>
        <w:jc w:val="both"/>
        <w:ind w:left="20" w:firstLine="342"/>
        <w:spacing w:after="0" w:line="263"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4" w:lineRule="exact"/>
        <w:rPr>
          <w:sz w:val="20"/>
          <w:szCs w:val="20"/>
          <w:color w:val="auto"/>
        </w:rPr>
      </w:pPr>
    </w:p>
    <w:p>
      <w:pPr>
        <w:jc w:val="both"/>
        <w:ind w:left="20" w:firstLine="342"/>
        <w:spacing w:after="0" w:line="263"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1,473,300 shares of the preferred stock which the Corporation has the authority to issue, classified as Series E Convertible Preferred Stock, as follows:</w:t>
      </w:r>
    </w:p>
    <w:p>
      <w:pPr>
        <w:spacing w:after="0" w:line="184" w:lineRule="exact"/>
        <w:rPr>
          <w:sz w:val="20"/>
          <w:szCs w:val="20"/>
          <w:color w:val="auto"/>
        </w:rPr>
      </w:pPr>
    </w:p>
    <w:p>
      <w:pPr>
        <w:jc w:val="both"/>
        <w:ind w:left="20" w:firstLine="702"/>
        <w:spacing w:after="0" w:line="259" w:lineRule="auto"/>
        <w:rPr>
          <w:sz w:val="20"/>
          <w:szCs w:val="20"/>
          <w:color w:val="auto"/>
        </w:rPr>
      </w:pPr>
      <w:r>
        <w:rPr>
          <w:rFonts w:ascii="Arial" w:cs="Arial" w:eastAsia="Arial" w:hAnsi="Arial"/>
          <w:sz w:val="18"/>
          <w:szCs w:val="18"/>
          <w:color w:val="auto"/>
        </w:rPr>
        <w:t xml:space="preserve">NOW, THEREFORE, BE IT RESOLVED, that the Board of Directors does hereby provide for the issuance of a series of preferred stock in exchange for other securities, rights, or property and does hereby fix and determine in this Certificate of Designation of Preferences, Rights and Limitations of the Series E Convertible Preferred Stock (this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rights, preferences, restrictions and other matters relating to such series of preferred stock as follows:</w:t>
      </w:r>
    </w:p>
    <w:p>
      <w:pPr>
        <w:spacing w:after="0" w:line="1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right="20" w:hanging="332"/>
        <w:spacing w:after="0" w:line="25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E Convertible Preferred Stock</w:t>
      </w:r>
      <w:r>
        <w:rPr>
          <w:rFonts w:ascii="Arial" w:cs="Arial" w:eastAsia="Arial" w:hAnsi="Arial"/>
          <w:sz w:val="18"/>
          <w:szCs w:val="18"/>
          <w:color w:val="auto"/>
        </w:rPr>
        <w:t>”. The initial number of authorized shares of the Series E Convertible Preferred Stock shall be 1,473,300, which, except as provided herein, shall not be subject to increase without the consent of the holders of a majority of the then outstanding shares of Series E Convertible Preferred Stock. Each share of the Series E Convertible Preferred Stock shall have a par value of $0.01.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93" w:lineRule="auto"/>
        <w:rPr>
          <w:rFonts w:ascii="Arial" w:cs="Arial" w:eastAsia="Arial" w:hAnsi="Arial"/>
          <w:sz w:val="18"/>
          <w:szCs w:val="18"/>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Dividends and Distributions to the Holders of Common Stock</w:t>
      </w:r>
      <w:r>
        <w:rPr>
          <w:rFonts w:ascii="Arial" w:cs="Arial" w:eastAsia="Arial" w:hAnsi="Arial"/>
          <w:sz w:val="16"/>
          <w:szCs w:val="16"/>
          <w:color w:val="auto"/>
        </w:rPr>
        <w:t xml:space="preserve">. From and after the first date of issuance of any shares of Series E Convertible Preferred Stock (the </w:t>
      </w:r>
      <w:r>
        <w:rPr>
          <w:rFonts w:ascii="Arial" w:cs="Arial" w:eastAsia="Arial" w:hAnsi="Arial"/>
          <w:sz w:val="16"/>
          <w:szCs w:val="16"/>
          <w:u w:val="single" w:color="auto"/>
          <w:color w:val="auto"/>
        </w:rPr>
        <w:t>“Initial Issuance Date</w:t>
      </w:r>
      <w:r>
        <w:rPr>
          <w:rFonts w:ascii="Arial" w:cs="Arial" w:eastAsia="Arial" w:hAnsi="Arial"/>
          <w:sz w:val="16"/>
          <w:szCs w:val="16"/>
          <w:color w:val="auto"/>
        </w:rPr>
        <w:t xml:space="preserve">”), the holders of Series E Convertible Preferred Stock (each, a “Holder” and collectively, the </w:t>
      </w:r>
      <w:r>
        <w:rPr>
          <w:rFonts w:ascii="Arial" w:cs="Arial" w:eastAsia="Arial" w:hAnsi="Arial"/>
          <w:sz w:val="16"/>
          <w:szCs w:val="16"/>
          <w:u w:val="single" w:color="auto"/>
          <w:color w:val="auto"/>
        </w:rPr>
        <w:t>“Holders</w:t>
      </w:r>
      <w:r>
        <w:rPr>
          <w:rFonts w:ascii="Arial" w:cs="Arial" w:eastAsia="Arial" w:hAnsi="Arial"/>
          <w:sz w:val="16"/>
          <w:szCs w:val="16"/>
          <w:color w:val="auto"/>
        </w:rPr>
        <w:t>”) shall be entitled to receive such dividends paid and distributions made to the holders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pro rata to the holders of Common Stock to the same extent as if such Holders had converted the Series E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164" w:lineRule="exact"/>
        <w:rPr>
          <w:rFonts w:ascii="Arial" w:cs="Arial" w:eastAsia="Arial" w:hAnsi="Arial"/>
          <w:sz w:val="18"/>
          <w:szCs w:val="18"/>
          <w:color w:val="auto"/>
        </w:rPr>
      </w:pPr>
    </w:p>
    <w:p>
      <w:pPr>
        <w:ind w:left="660" w:hanging="324"/>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 of Dividends</w:t>
      </w:r>
      <w:r>
        <w:rPr>
          <w:rFonts w:ascii="Arial" w:cs="Arial" w:eastAsia="Arial" w:hAnsi="Arial"/>
          <w:sz w:val="17"/>
          <w:szCs w:val="17"/>
          <w:color w:val="auto"/>
        </w:rPr>
        <w:t>. In addition to the dividends described in Section 2.1, from and after the date of the issuance of any shares of Series E Convertible Preferred Stock, dividends at the rate per annum of $0.186 per share shall accrue on such shares of Series E Convertible Preferred Stock (subject to appropriate adjustment in the event of any stock dividend, stock split, combination or other similar recapitalization with respect to the Series E Convertible Preferred Stock) (the “</w:t>
      </w:r>
      <w:r>
        <w:rPr>
          <w:rFonts w:ascii="Arial" w:cs="Arial" w:eastAsia="Arial" w:hAnsi="Arial"/>
          <w:sz w:val="17"/>
          <w:szCs w:val="17"/>
          <w:u w:val="single" w:color="auto"/>
          <w:color w:val="auto"/>
        </w:rPr>
        <w:t>Accruing Dividends</w:t>
      </w:r>
      <w:r>
        <w:rPr>
          <w:rFonts w:ascii="Arial" w:cs="Arial" w:eastAsia="Arial" w:hAnsi="Arial"/>
          <w:sz w:val="17"/>
          <w:szCs w:val="17"/>
          <w:color w:val="auto"/>
        </w:rPr>
        <w:t xml:space="preserve">”). Accruing Dividends shall accrue from day to day, whether or not declared, and shall be cumulative;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set forth in the following sentence of this Section 2.2,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(including the Series D Convertible Preferred Stock and other than dividends on shares of Common Stock payable in shares of Common Stock) unless the holders of the Series E Convertible Preferred Stock then outstanding shall first receive, or simultaneously receive, a dividend on each outstanding share of Series E Convertible Preferred Stock in an amount at least equal to (i) the amount of the aggregate Accruing Dividends then accrued on such share of Series E Convertible Preferred Stock and not previously paid and (ii) the amount required to be paid pursuant to Section 2.1. The dividends described in this Section 2.2 may be paid in shares of Series E Convertible Preferred Stock valued at $3.10 per share (provided that any accrued and unpaid dividend payable at maturity may be paid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ind w:left="332" w:hanging="332"/>
        <w:spacing w:after="0"/>
        <w:tabs>
          <w:tab w:leader="none" w:pos="33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Preferential Payments to Holders of Series E Convertible Preferred Stock</w:t>
      </w:r>
      <w:r>
        <w:rPr>
          <w:rFonts w:ascii="Arial" w:cs="Arial" w:eastAsia="Arial" w:hAnsi="Arial"/>
          <w:sz w:val="17"/>
          <w:szCs w:val="17"/>
          <w:color w:val="auto"/>
        </w:rPr>
        <w:t>. In the event of any voluntary or involuntary liquidation, dissolution or winding up of the Corporation or a Deemed Liquidation Event, subject to the rights of the holders of any other class of preferred stock, the holders of shares of Series E Convertible Preferred Stock then outstanding shall be entitled to be paid out of the assets of the Corporation available for distribution to its stockholders before any payment shall be made to the holders of Series D Convertible Preferred Stock by reason of their ownership thereof or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E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 E Liquidation Preference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4" w:lineRule="exact"/>
        <w:rPr>
          <w:rFonts w:ascii="Arial" w:cs="Arial" w:eastAsia="Arial" w:hAnsi="Arial"/>
          <w:sz w:val="18"/>
          <w:szCs w:val="18"/>
          <w:color w:val="auto"/>
        </w:rPr>
      </w:pPr>
    </w:p>
    <w:p>
      <w:pPr>
        <w:ind w:left="652" w:hanging="324"/>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Payments to Holders of Series D Convertible Preferred Stock and Common Stock</w:t>
      </w:r>
      <w:r>
        <w:rPr>
          <w:rFonts w:ascii="Arial" w:cs="Arial" w:eastAsia="Arial" w:hAnsi="Arial"/>
          <w:sz w:val="17"/>
          <w:szCs w:val="17"/>
          <w:color w:val="auto"/>
        </w:rPr>
        <w:t>. In the event of any voluntary or involuntary liquidation, dissolution or winding up of the Corporation, after the payment of all preferential amounts required to be paid to the holders of shares of Series E Convertible Preferred Stock (subject to the rights of the holders of any other class of preferred stock), the remaining assets of the Corporation available for distribution to its stockholders shall be distributed in accordance with the other provisions of the Charter, including as set forth in the Certificate of Designation of Preferences, Rights and Limitations of the Series D Convertible Preferred Stock (the “</w:t>
      </w:r>
      <w:r>
        <w:rPr>
          <w:rFonts w:ascii="Arial" w:cs="Arial" w:eastAsia="Arial" w:hAnsi="Arial"/>
          <w:sz w:val="17"/>
          <w:szCs w:val="17"/>
          <w:u w:val="single" w:color="auto"/>
          <w:color w:val="auto"/>
        </w:rPr>
        <w:t>Series D 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w:t>
      </w:r>
      <w:r>
        <w:rPr>
          <w:rFonts w:ascii="Arial" w:cs="Arial" w:eastAsia="Arial" w:hAnsi="Arial"/>
          <w:sz w:val="17"/>
          <w:szCs w:val="17"/>
          <w:color w:val="auto"/>
        </w:rPr>
        <w:t>”). For the avoidance of doubt, this Certificate of Designation shall be deemed to amend the Series D Certificate of Designation so as to effect the senior ranking of the Series E Preferred Stock and the liquidation preference set forth in this Section 3.</w:t>
      </w:r>
    </w:p>
    <w:p>
      <w:pPr>
        <w:spacing w:after="0" w:line="177" w:lineRule="exact"/>
        <w:rPr>
          <w:rFonts w:ascii="Arial" w:cs="Arial" w:eastAsia="Arial" w:hAnsi="Arial"/>
          <w:sz w:val="18"/>
          <w:szCs w:val="18"/>
          <w:color w:val="auto"/>
        </w:rPr>
      </w:pPr>
    </w:p>
    <w:p>
      <w:pPr>
        <w:ind w:left="332" w:hanging="332"/>
        <w:spacing w:after="0"/>
        <w:tabs>
          <w:tab w:leader="none" w:pos="33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ind w:left="1232" w:hanging="579"/>
        <w:spacing w:after="0" w:line="277" w:lineRule="auto"/>
        <w:tabs>
          <w:tab w:leader="none" w:pos="1212" w:val="left"/>
        </w:tabs>
        <w:rPr>
          <w:sz w:val="20"/>
          <w:szCs w:val="20"/>
          <w:color w:val="auto"/>
        </w:rPr>
      </w:pPr>
      <w:r>
        <w:rPr>
          <w:rFonts w:ascii="Arial" w:cs="Arial" w:eastAsia="Arial" w:hAnsi="Arial"/>
          <w:sz w:val="18"/>
          <w:szCs w:val="18"/>
          <w:color w:val="auto"/>
        </w:rPr>
        <w:t>4.1.1.</w:t>
        <w:tab/>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6" w:name="page187"/>
    <w:bookmarkEnd w:id="186"/>
    <w:p>
      <w:pPr>
        <w:jc w:val="both"/>
        <w:ind w:left="580" w:hanging="579"/>
        <w:spacing w:after="0" w:line="285" w:lineRule="auto"/>
        <w:tabs>
          <w:tab w:leader="none" w:pos="5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1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jc w:val="both"/>
        <w:ind w:left="580" w:hanging="579"/>
        <w:spacing w:after="0" w:line="277" w:lineRule="auto"/>
        <w:tabs>
          <w:tab w:leader="none" w:pos="560" w:val="left"/>
        </w:tabs>
        <w:rPr>
          <w:sz w:val="20"/>
          <w:szCs w:val="20"/>
          <w:color w:val="auto"/>
        </w:rPr>
      </w:pPr>
      <w:r>
        <w:rPr>
          <w:rFonts w:ascii="Arial" w:cs="Arial" w:eastAsia="Arial" w:hAnsi="Arial"/>
          <w:sz w:val="18"/>
          <w:szCs w:val="18"/>
          <w:color w:val="auto"/>
        </w:rPr>
        <w:t>4.1.4.</w:t>
        <w:tab/>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580" w:hanging="579"/>
        <w:spacing w:after="0" w:line="277" w:lineRule="auto"/>
        <w:tabs>
          <w:tab w:leader="none" w:pos="560" w:val="left"/>
        </w:tabs>
        <w:rPr>
          <w:sz w:val="20"/>
          <w:szCs w:val="20"/>
          <w:color w:val="auto"/>
        </w:rPr>
      </w:pPr>
      <w:r>
        <w:rPr>
          <w:rFonts w:ascii="Arial" w:cs="Arial" w:eastAsia="Arial" w:hAnsi="Arial"/>
          <w:sz w:val="18"/>
          <w:szCs w:val="18"/>
          <w:color w:val="auto"/>
        </w:rPr>
        <w:t>4.1.5.</w:t>
        <w:tab/>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E Convertible Preferred Stock.</w:t>
      </w:r>
    </w:p>
    <w:p>
      <w:pPr>
        <w:spacing w:after="0" w:line="225" w:lineRule="exact"/>
        <w:rPr>
          <w:sz w:val="20"/>
          <w:szCs w:val="20"/>
          <w:color w:val="auto"/>
        </w:rPr>
      </w:pPr>
    </w:p>
    <w:p>
      <w:pPr>
        <w:jc w:val="both"/>
        <w:ind w:left="580" w:right="20" w:hanging="579"/>
        <w:spacing w:after="0" w:line="263" w:lineRule="auto"/>
        <w:tabs>
          <w:tab w:leader="none" w:pos="560" w:val="left"/>
        </w:tabs>
        <w:rPr>
          <w:sz w:val="20"/>
          <w:szCs w:val="20"/>
          <w:color w:val="auto"/>
        </w:rPr>
      </w:pPr>
      <w:r>
        <w:rPr>
          <w:rFonts w:ascii="Arial" w:cs="Arial" w:eastAsia="Arial" w:hAnsi="Arial"/>
          <w:sz w:val="18"/>
          <w:szCs w:val="18"/>
          <w:color w:val="auto"/>
        </w:rPr>
        <w:t>4.1.7.</w:t>
        <w:tab/>
        <w:t>“</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$3.10 per share, subject to adjustment for stock splits, stock dividends, recapitalizations, reorganizations, reclassifications, combinations, reverse stock splits or other similar events relating to the Series E Convertible Preferred Stock after the Initial Issuance Date.</w:t>
      </w:r>
    </w:p>
    <w:p>
      <w:pPr>
        <w:spacing w:after="0" w:line="184" w:lineRule="exact"/>
        <w:rPr>
          <w:sz w:val="20"/>
          <w:szCs w:val="20"/>
          <w:color w:val="auto"/>
        </w:rPr>
      </w:pPr>
    </w:p>
    <w:p>
      <w:pPr>
        <w:jc w:val="both"/>
        <w:ind w:left="580" w:hanging="579"/>
        <w:spacing w:after="0" w:line="273" w:lineRule="auto"/>
        <w:tabs>
          <w:tab w:leader="none" w:pos="56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580" w:hanging="579"/>
        <w:spacing w:after="0" w:line="259" w:lineRule="auto"/>
        <w:tabs>
          <w:tab w:leader="none" w:pos="560" w:val="left"/>
        </w:tabs>
        <w:rPr>
          <w:sz w:val="20"/>
          <w:szCs w:val="20"/>
          <w:color w:val="auto"/>
        </w:rPr>
      </w:pPr>
      <w:r>
        <w:rPr>
          <w:rFonts w:ascii="Arial" w:cs="Arial" w:eastAsia="Arial" w:hAnsi="Arial"/>
          <w:sz w:val="18"/>
          <w:szCs w:val="18"/>
          <w:color w:val="auto"/>
        </w:rPr>
        <w:t>4.1.9.</w:t>
        <w:tab/>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401955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900" w:hanging="579"/>
        <w:spacing w:after="0" w:line="259" w:lineRule="auto"/>
        <w:tabs>
          <w:tab w:leader="none" w:pos="880" w:val="left"/>
        </w:tabs>
        <w:rPr>
          <w:sz w:val="20"/>
          <w:szCs w:val="20"/>
          <w:color w:val="auto"/>
        </w:rPr>
      </w:pPr>
      <w:r>
        <w:rPr>
          <w:rFonts w:ascii="Arial" w:cs="Arial" w:eastAsia="Arial" w:hAnsi="Arial"/>
          <w:sz w:val="18"/>
          <w:szCs w:val="18"/>
          <w:color w:val="auto"/>
        </w:rPr>
        <w:t>4.2.1.</w:t>
        <w:tab/>
        <w:t>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187" w:lineRule="exact"/>
        <w:rPr>
          <w:sz w:val="20"/>
          <w:szCs w:val="20"/>
          <w:color w:val="auto"/>
        </w:rPr>
      </w:pPr>
    </w:p>
    <w:p>
      <w:pPr>
        <w:jc w:val="both"/>
        <w:ind w:left="900" w:hanging="579"/>
        <w:spacing w:after="0" w:line="267" w:lineRule="auto"/>
        <w:tabs>
          <w:tab w:leader="none" w:pos="8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7"/>
          <w:szCs w:val="17"/>
          <w:color w:val="auto"/>
        </w:rPr>
        <w:t>In the event of a Deemed Liquidation Event, if the Corporation does not effect a dissolution of the Corporation under the Delaware General Corporation Law (“DGCL”) within ninety (90) days after such Deemed Liquidation Event, then (i) the Corporation shall send a written notice to each holder of Series E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E Convertible Preferred Stock, and (iii) if the holders of at least 50% of the then outstanding shares of Series E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7"/>
          <w:szCs w:val="17"/>
          <w:u w:val="single" w:color="auto"/>
          <w:color w:val="auto"/>
        </w:rPr>
        <w:t>Available Proceeds</w:t>
      </w:r>
      <w:r>
        <w:rPr>
          <w:rFonts w:ascii="Arial" w:cs="Arial" w:eastAsia="Arial" w:hAnsi="Arial"/>
          <w:sz w:val="17"/>
          <w:szCs w:val="17"/>
          <w:color w:val="auto"/>
        </w:rPr>
        <w:t>”), on the one hundred fiftieth (150th) day after such Deemed Liquidation Event, to repay and cancel all outstanding shares of Series E Convertible Preferred Stock at a price per share equal to the Series E Liquidation Preference Amount. Notwithstanding the foregoing, in the event of a repayment pursuant to the preceding sentence, if the Available Proceeds are not sufficient to repay all outstanding shares of Series E Convertible Preferred Stock, the Corporation shall ratably repay each Holder’s shares of Series E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88" w:lineRule="exact"/>
        <w:rPr>
          <w:sz w:val="20"/>
          <w:szCs w:val="20"/>
          <w:color w:val="auto"/>
        </w:rPr>
      </w:pPr>
    </w:p>
    <w:p>
      <w:pPr>
        <w:jc w:val="both"/>
        <w:ind w:left="320" w:hanging="32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jc w:val="both"/>
        <w:ind w:left="320" w:hanging="323"/>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7"/>
          <w:szCs w:val="17"/>
          <w:u w:val="single" w:color="auto"/>
          <w:color w:val="auto"/>
        </w:rPr>
        <w:t>Additional Consideration</w:t>
      </w:r>
      <w:r>
        <w:rPr>
          <w:rFonts w:ascii="Arial" w:cs="Arial" w:eastAsia="Arial" w:hAnsi="Arial"/>
          <w:sz w:val="17"/>
          <w:szCs w:val="17"/>
          <w:color w:val="auto"/>
        </w:rPr>
        <w:t>”), the transaction agreement shall provide that (a) the portion of such consideration that is not Additional Consideration (such portion,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400685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88" w:name="page189"/>
    <w:bookmarkEnd w:id="188"/>
    <w:p>
      <w:pPr>
        <w:jc w:val="both"/>
        <w:ind w:left="332" w:hanging="332"/>
        <w:spacing w:after="0" w:line="275" w:lineRule="auto"/>
        <w:tabs>
          <w:tab w:leader="none" w:pos="332"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E Convertible Preferred Stock held by such holder are convertible as of the record date for determining stockholders entitled to vote on such matter. Except as provided by law or by the other provisions of the Charter, the holders of Series E Convertible Preferred Stock shall vote together with the holders of Common Stock as a single class.</w:t>
      </w:r>
    </w:p>
    <w:p>
      <w:pPr>
        <w:spacing w:after="0" w:line="176" w:lineRule="exact"/>
        <w:rPr>
          <w:rFonts w:ascii="Arial" w:cs="Arial" w:eastAsia="Arial" w:hAnsi="Arial"/>
          <w:sz w:val="17"/>
          <w:szCs w:val="17"/>
          <w:color w:val="auto"/>
        </w:rPr>
      </w:pPr>
    </w:p>
    <w:p>
      <w:pPr>
        <w:ind w:left="332" w:hanging="332"/>
        <w:spacing w:after="0"/>
        <w:tabs>
          <w:tab w:leader="none" w:pos="332"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left="652" w:hanging="323"/>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color w:val="auto"/>
        </w:rPr>
        <w:t>. The holders of the Series E Convertible Preferred Stock shall have conversion rights as follows (the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170" w:lineRule="exact"/>
        <w:rPr>
          <w:sz w:val="20"/>
          <w:szCs w:val="20"/>
          <w:color w:val="auto"/>
        </w:rPr>
      </w:pPr>
    </w:p>
    <w:p>
      <w:pPr>
        <w:ind w:left="652"/>
        <w:spacing w:after="0"/>
        <w:tabs>
          <w:tab w:leader="none" w:pos="121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jc w:val="both"/>
        <w:ind w:left="1552" w:hanging="579"/>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E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E Conversion Price (as defined below) in effect at the time of conversion (the result of such fraction, the “</w:t>
      </w:r>
      <w:r>
        <w:rPr>
          <w:rFonts w:ascii="Arial" w:cs="Arial" w:eastAsia="Arial" w:hAnsi="Arial"/>
          <w:sz w:val="17"/>
          <w:szCs w:val="17"/>
          <w:u w:val="single" w:color="auto"/>
          <w:color w:val="auto"/>
        </w:rPr>
        <w:t>Series 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E Conversion Price</w:t>
      </w:r>
      <w:r>
        <w:rPr>
          <w:rFonts w:ascii="Arial" w:cs="Arial" w:eastAsia="Arial" w:hAnsi="Arial"/>
          <w:sz w:val="17"/>
          <w:szCs w:val="17"/>
          <w:color w:val="auto"/>
        </w:rPr>
        <w:t>” shall initially be equal to $0.62. Such initial Series E Conversion Price, and the rate at which shares of Series E Convertible Preferred Stock may be converted into shares of Common Stock, shall be subject to adjustment as provided below. On the Initial Issuance Date, the Series E Conversion Rate shall be equal to 5 shares of Common Stock for each share of Series E Convertible Preferred Stock.</w:t>
      </w:r>
    </w:p>
    <w:p>
      <w:pPr>
        <w:spacing w:after="0" w:line="178" w:lineRule="exact"/>
        <w:rPr>
          <w:sz w:val="20"/>
          <w:szCs w:val="20"/>
          <w:color w:val="auto"/>
        </w:rPr>
      </w:pPr>
    </w:p>
    <w:p>
      <w:pPr>
        <w:jc w:val="both"/>
        <w:ind w:left="1552" w:hanging="579"/>
        <w:spacing w:after="0" w:line="263"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E Convertible Preferred Stock.</w:t>
      </w:r>
    </w:p>
    <w:p>
      <w:pPr>
        <w:spacing w:after="0" w:line="184" w:lineRule="exact"/>
        <w:rPr>
          <w:sz w:val="20"/>
          <w:szCs w:val="20"/>
          <w:color w:val="auto"/>
        </w:rPr>
      </w:pPr>
    </w:p>
    <w:p>
      <w:pPr>
        <w:jc w:val="both"/>
        <w:ind w:left="1232" w:hanging="579"/>
        <w:spacing w:after="0" w:line="255" w:lineRule="auto"/>
        <w:tabs>
          <w:tab w:leader="none" w:pos="121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E Convertible Preferred Stock.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E Convertible Preferred Stock the Holder is at the time converting into Common Stock and the aggregate number of shares of Common Stock issuable upon such conversion.</w:t>
      </w:r>
    </w:p>
    <w:p>
      <w:pPr>
        <w:spacing w:after="0" w:line="19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E Convertible Preferred Stock shall be conducted in the following manner:</w:t>
      </w:r>
    </w:p>
    <w:p>
      <w:pPr>
        <w:spacing w:after="0" w:line="225" w:lineRule="exact"/>
        <w:rPr>
          <w:sz w:val="20"/>
          <w:szCs w:val="20"/>
          <w:color w:val="auto"/>
        </w:rPr>
      </w:pPr>
    </w:p>
    <w:p>
      <w:pPr>
        <w:jc w:val="both"/>
        <w:ind w:left="1232" w:hanging="579"/>
        <w:spacing w:after="0" w:line="271" w:lineRule="auto"/>
        <w:tabs>
          <w:tab w:leader="none" w:pos="1212"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u w:val="single" w:color="auto"/>
          <w:color w:val="auto"/>
        </w:rPr>
        <w:t>Conversion Notice</w:t>
      </w:r>
      <w:r>
        <w:rPr>
          <w:rFonts w:ascii="Arial" w:cs="Arial" w:eastAsia="Arial" w:hAnsi="Arial"/>
          <w:sz w:val="17"/>
          <w:szCs w:val="17"/>
          <w:color w:val="auto"/>
        </w:rPr>
        <w:t>. The Holder of record of shares of Series E Convertible Preferred Stock being converted shall (A) transmit by email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otherwise deliver) a copy of a properly completed notice of conversion executed by the registered Holder of the Series E Convertible Preferred Stock subject to such conversion in the form attached hereto as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A (the “</w:t>
      </w:r>
      <w:r>
        <w:rPr>
          <w:rFonts w:ascii="Arial" w:cs="Arial" w:eastAsia="Arial" w:hAnsi="Arial"/>
          <w:sz w:val="17"/>
          <w:szCs w:val="17"/>
          <w:u w:val="single" w:color="auto"/>
          <w:color w:val="auto"/>
        </w:rPr>
        <w:t>Conversion Notice</w:t>
      </w:r>
      <w:r>
        <w:rPr>
          <w:rFonts w:ascii="Arial" w:cs="Arial" w:eastAsia="Arial" w:hAnsi="Arial"/>
          <w:sz w:val="17"/>
          <w:szCs w:val="17"/>
          <w:color w:val="auto"/>
        </w:rPr>
        <w:t>”) to the Corporation and if the Corporation has appointed a registered transfer agent, the Corporation’s registered transfer agent (the "</w:t>
      </w:r>
      <w:r>
        <w:rPr>
          <w:rFonts w:ascii="Arial" w:cs="Arial" w:eastAsia="Arial" w:hAnsi="Arial"/>
          <w:sz w:val="17"/>
          <w:szCs w:val="17"/>
          <w:u w:val="single" w:color="auto"/>
          <w:color w:val="auto"/>
        </w:rPr>
        <w:t>Transfer Agent</w:t>
      </w:r>
      <w:r>
        <w:rPr>
          <w:rFonts w:ascii="Arial" w:cs="Arial" w:eastAsia="Arial" w:hAnsi="Arial"/>
          <w:sz w:val="17"/>
          <w:szCs w:val="17"/>
          <w:color w:val="auto"/>
        </w:rPr>
        <w:t>”) (if the Corporation does not have a registered transfer agent, references hereto to the "Transfer Agent” shall be deemed to be references to the Corporation) and (B) if required by Section 6.2.3, surrender to a common carrier for delivery to the Corporation as soon as practicable following such date the original certificates, if any, representing the Series E Convertible Preferred Stock being converted (or compliance with the procedures set forth in Section 11) (the “</w:t>
      </w:r>
      <w:r>
        <w:rPr>
          <w:rFonts w:ascii="Arial" w:cs="Arial" w:eastAsia="Arial" w:hAnsi="Arial"/>
          <w:sz w:val="17"/>
          <w:szCs w:val="17"/>
          <w:u w:val="single" w:color="auto"/>
          <w:color w:val="auto"/>
        </w:rPr>
        <w:t>Preferred Stock Certificates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89" w:name="page190"/>
    <w:bookmarkEnd w:id="189"/>
    <w:p>
      <w:pPr>
        <w:jc w:val="both"/>
        <w:ind w:left="120" w:hanging="579"/>
        <w:spacing w:after="0" w:line="287" w:lineRule="auto"/>
        <w:tabs>
          <w:tab w:leader="none" w:pos="10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w:t>
      </w:r>
      <w:r>
        <w:rPr>
          <w:rFonts w:ascii="Arial" w:cs="Arial" w:eastAsia="Arial" w:hAnsi="Arial"/>
          <w:sz w:val="16"/>
          <w:szCs w:val="16"/>
          <w:u w:val="single" w:color="auto"/>
          <w:color w:val="auto"/>
        </w:rPr>
        <w:t xml:space="preserve"> </w:t>
      </w:r>
      <w:r>
        <w:rPr>
          <w:rFonts w:ascii="Arial" w:cs="Arial" w:eastAsia="Arial" w:hAnsi="Arial"/>
          <w:sz w:val="16"/>
          <w:szCs w:val="16"/>
          <w:color w:val="auto"/>
        </w:rPr>
        <w:t>practicable, but in any event within three (3) Trading Days, send, via email, a confirmation of receipt of such Conversion Notice to such Holder and the Transfer Agent, if applicable, which confirmation shall constitute an instruction to the Transfer Agent to process such</w:t>
      </w:r>
    </w:p>
    <w:p>
      <w:pPr>
        <w:spacing w:after="0" w:line="2" w:lineRule="exact"/>
        <w:rPr>
          <w:sz w:val="20"/>
          <w:szCs w:val="20"/>
          <w:color w:val="auto"/>
        </w:rPr>
      </w:pPr>
    </w:p>
    <w:p>
      <w:pPr>
        <w:jc w:val="both"/>
        <w:ind w:left="120"/>
        <w:spacing w:after="0" w:line="274" w:lineRule="auto"/>
        <w:rPr>
          <w:sz w:val="20"/>
          <w:szCs w:val="20"/>
          <w:color w:val="auto"/>
        </w:rPr>
      </w:pPr>
      <w:r>
        <w:rPr>
          <w:rFonts w:ascii="Arial" w:cs="Arial" w:eastAsia="Arial" w:hAnsi="Arial"/>
          <w:sz w:val="16"/>
          <w:szCs w:val="16"/>
          <w:color w:val="auto"/>
        </w:rPr>
        <w:t>Conversion Notice in 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E Convertible Preferred Stock represented by the Preferred Stock Certificate(s) submitted for conversion is greater than the number of shares of Series E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E Convertible Preferred Stock not converted or it shall direct the Transfer Agent to update the Holder’s account to reflect the number of shares of Series E Convertible Preferred Stock not converted.</w:t>
      </w:r>
    </w:p>
    <w:p>
      <w:pPr>
        <w:spacing w:after="0" w:line="182" w:lineRule="exact"/>
        <w:rPr>
          <w:sz w:val="20"/>
          <w:szCs w:val="20"/>
          <w:color w:val="auto"/>
        </w:rPr>
      </w:pPr>
    </w:p>
    <w:p>
      <w:pPr>
        <w:jc w:val="both"/>
        <w:ind w:left="120" w:hanging="579"/>
        <w:spacing w:after="0" w:line="285" w:lineRule="auto"/>
        <w:tabs>
          <w:tab w:leader="none" w:pos="10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E Convertible Preferred Stock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the terms hereof, the Holder thereof shall not be required to physically surrender the Preferred Stock Certificate, if any, unless (A) the full or remaining number of shares of Series E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E Convertible Preferred Stock upon physical surrender of any Series E Convertible Preferred Stock. The Holder and the Corporation shall maintain records showing the number of shares of Series E Convertible Preferred Stock so converted and the dates of such conversions or shall use such other method, reasonably satisfactory to the Holder and the Corporation, so as not to require physical surrender of the certificate representing the Series E Convertible Preferred Stock upon each such conversion. In the event of any dispute or discrepancy, such records of the Corporation establishing the number of shares of Series E Convertible Preferred Stock to which the record holder is entitled shall be controlling and determinative in the absence of manifest error. Notwithstanding the foregoing, if Series E Convertible Preferred Stock represented by a certificate are converted as aforesaid, a Holder may not transfer the certificate representing the Series E Convertible Preferred Stock unless such Holder first physically surrenders the certificate representing the Series E Convertible Preferred Stock to the Corporation, whereupon the Corporation will forthwith issue and deliver upon the order of such Holder a new certificate of like tenor, registered as such Holder may request, representing in the aggregate the remaining number of shares of Series E Convertible Preferred Stock represented by such certificate. A Holder and any assignee, by acceptance of a certificate, acknowledge and agree that, by reason of the provisions of this paragraph, following conversion of any Series E Convertible Preferred Stock, the number of shares of Series E Convertible Preferred Stock represented by such certificate may be less than the number of shares of Series E Convertible Preferred Stock stated on the face thereof.</w:t>
      </w:r>
    </w:p>
    <w:p>
      <w:pPr>
        <w:spacing w:after="0" w:line="169" w:lineRule="exact"/>
        <w:rPr>
          <w:sz w:val="20"/>
          <w:szCs w:val="20"/>
          <w:color w:val="auto"/>
        </w:rPr>
      </w:pPr>
    </w:p>
    <w:p>
      <w:pPr>
        <w:jc w:val="both"/>
        <w:ind w:left="120" w:hanging="579"/>
        <w:spacing w:after="0" w:line="287" w:lineRule="auto"/>
        <w:tabs>
          <w:tab w:leader="none" w:pos="10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so long as any shares of Series E Convertible Preferred Stock are outstanding, reserve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keep available out of its authorized and unissued Common Stock, solely for the purpose of effecting the conversion of the Series E Convertible Preferred Stock according to the terms hereof, such number of shares of Common Stock as shall from time to time be sufficient to effect the conversion of all of the Series E Convertible Preferred Stock then outstanding; and if at any time the number of authorized but unissued shares of Common Stock shall not be sufficient to effect the conversion of all then outstanding shares of the Series E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Charter. Before taking any action which would cause an adjustment reducing the Series E Conversion Price below the then par value of the shares of Common Stock issuable upon conversion of the Series E Convertible Preferred Stock, the Corporation will take any corporate action which may, in the opinion of its counsel, be necessary in order that the Corporation may validly and legally issue fully paid and non-assessable shares of Common Stock at such adjusted Series E Convertible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389890</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0" w:name="page191"/>
    <w:bookmarkEnd w:id="190"/>
    <w:p>
      <w:pPr>
        <w:jc w:val="both"/>
        <w:ind w:left="120" w:hanging="579"/>
        <w:spacing w:after="0" w:line="287" w:lineRule="auto"/>
        <w:tabs>
          <w:tab w:leader="none" w:pos="10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Series E Conversion Rate, the Corporation shall issue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E Conversion Rate within two (2) Business Days of such disputed determination or arithmetic calculation being transmitted to the Holder, then the Corporation shall within one (1) Business Day submit via email the disputed arithmetic calculation of the Series E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2" w:lineRule="exact"/>
        <w:rPr>
          <w:sz w:val="20"/>
          <w:szCs w:val="20"/>
          <w:color w:val="auto"/>
        </w:rPr>
      </w:pPr>
    </w:p>
    <w:p>
      <w:pPr>
        <w:jc w:val="both"/>
        <w:ind w:left="120" w:hanging="579"/>
        <w:spacing w:after="0" w:line="342" w:lineRule="auto"/>
        <w:tabs>
          <w:tab w:leader="none" w:pos="10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E Convertible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left="120" w:hanging="579"/>
        <w:spacing w:after="0" w:line="291" w:lineRule="auto"/>
        <w:tabs>
          <w:tab w:leader="none" w:pos="10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E Convertible Preferred Stock which shall have been surrendered for conversion as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E Convertible Preferred Stock so converted shall be retired and canceled and shall not be reissued, and the Corporation may from time to time take such appropriate action as may be necessary to reduce the authorized Series E Convertible Preferred Stock accordingly.</w:t>
      </w:r>
    </w:p>
    <w:p>
      <w:pPr>
        <w:spacing w:after="0" w:line="166" w:lineRule="exact"/>
        <w:rPr>
          <w:sz w:val="20"/>
          <w:szCs w:val="20"/>
          <w:color w:val="auto"/>
        </w:rPr>
      </w:pPr>
    </w:p>
    <w:p>
      <w:pPr>
        <w:jc w:val="both"/>
        <w:ind w:left="120" w:hanging="579"/>
        <w:spacing w:after="0" w:line="272" w:lineRule="auto"/>
        <w:tabs>
          <w:tab w:leader="none" w:pos="100"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E Convertible Preferred</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E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1" w:name="page192"/>
    <w:bookmarkEnd w:id="191"/>
    <w:p>
      <w:pPr>
        <w:jc w:val="both"/>
        <w:ind w:left="900" w:hanging="579"/>
        <w:spacing w:after="0" w:line="287" w:lineRule="auto"/>
        <w:tabs>
          <w:tab w:leader="none" w:pos="88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Notice, the Corporation shall fail to credit a Holder’s balance account with DTC or issue and deliver a certificate to such Holder for the number of shares of Common Stock to which such Holder is entitled upon such Holder's conversion of Series E Convertible Preferred</w:t>
      </w:r>
    </w:p>
    <w:p>
      <w:pPr>
        <w:spacing w:after="0" w:line="2" w:lineRule="exact"/>
        <w:rPr>
          <w:sz w:val="20"/>
          <w:szCs w:val="20"/>
          <w:color w:val="auto"/>
        </w:rPr>
      </w:pPr>
    </w:p>
    <w:p>
      <w:pPr>
        <w:jc w:val="both"/>
        <w:ind w:left="900"/>
        <w:spacing w:after="0" w:line="274" w:lineRule="auto"/>
        <w:rPr>
          <w:sz w:val="20"/>
          <w:szCs w:val="20"/>
          <w:color w:val="auto"/>
        </w:rPr>
      </w:pPr>
      <w:r>
        <w:rPr>
          <w:rFonts w:ascii="Arial" w:cs="Arial" w:eastAsia="Arial" w:hAnsi="Arial"/>
          <w:sz w:val="16"/>
          <w:szCs w:val="16"/>
          <w:color w:val="auto"/>
        </w:rPr>
        <w:t>Stock (a “</w:t>
      </w:r>
      <w:r>
        <w:rPr>
          <w:rFonts w:ascii="Arial" w:cs="Arial" w:eastAsia="Arial" w:hAnsi="Arial"/>
          <w:sz w:val="16"/>
          <w:szCs w:val="16"/>
          <w:u w:val="single" w:color="auto"/>
          <w:color w:val="auto"/>
        </w:rPr>
        <w:t>Conversion Failure"),</w:t>
      </w:r>
      <w:r>
        <w:rPr>
          <w:rFonts w:ascii="Arial" w:cs="Arial" w:eastAsia="Arial" w:hAnsi="Arial"/>
          <w:sz w:val="16"/>
          <w:szCs w:val="16"/>
          <w:color w:val="auto"/>
        </w:rPr>
        <w:t xml:space="preserve">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u w:val="single" w:color="auto"/>
          <w:color w:val="auto"/>
        </w:rPr>
        <w:t>Buy-In</w:t>
      </w:r>
      <w:r>
        <w:rPr>
          <w:rFonts w:ascii="Arial" w:cs="Arial" w:eastAsia="Arial" w:hAnsi="Arial"/>
          <w:sz w:val="16"/>
          <w:szCs w:val="16"/>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 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900" w:hanging="579"/>
        <w:spacing w:after="0" w:line="271" w:lineRule="auto"/>
        <w:tabs>
          <w:tab w:leader="none" w:pos="8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7"/>
          <w:szCs w:val="17"/>
          <w:color w:val="auto"/>
        </w:rPr>
        <w:t xml:space="preserve">At any time or from time to time after the Initial Issuance Date of the Series E Convertible Preferred Stock, if the volume weighted average price per share, as published by Bloomberg L.P. (or if Bloomberg L.P. does not then exist, a comparable publication) (“VWAP”)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xml:space="preserve">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xml:space="preserve"> the Corporation will have the right, but not the obligation, by notice given no more than ten (10) Trading Days after the occurrence of such Corporation Conversion Right Event, to convert each outstanding share of Series E Convertible Preferred Stock into a number of fully paid and nonassessable shares of Common Stock calculated based on the then applicable Series E Conversion Rate.</w:t>
      </w:r>
    </w:p>
    <w:p>
      <w:pPr>
        <w:spacing w:after="0" w:line="178" w:lineRule="exact"/>
        <w:rPr>
          <w:sz w:val="20"/>
          <w:szCs w:val="20"/>
          <w:color w:val="auto"/>
        </w:rPr>
      </w:pPr>
    </w:p>
    <w:p>
      <w:pPr>
        <w:jc w:val="both"/>
        <w:ind w:left="900" w:hanging="579"/>
        <w:spacing w:after="0" w:line="279" w:lineRule="auto"/>
        <w:tabs>
          <w:tab w:leader="none" w:pos="88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To exercise the Corporation’s right set forth in Section 6.3.1, the Corporation shall deliver to each Holder of record of Series E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xml:space="preserve">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171" w:lineRule="exact"/>
        <w:rPr>
          <w:sz w:val="20"/>
          <w:szCs w:val="20"/>
          <w:color w:val="auto"/>
        </w:rPr>
      </w:pPr>
    </w:p>
    <w:p>
      <w:pPr>
        <w:jc w:val="both"/>
        <w:ind w:left="900" w:hanging="579"/>
        <w:spacing w:after="0" w:line="268" w:lineRule="auto"/>
        <w:tabs>
          <w:tab w:leader="none" w:pos="88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7"/>
          <w:szCs w:val="17"/>
          <w:color w:val="auto"/>
        </w:rPr>
        <w:t xml:space="preserve">On the Corporation Conversion Date, the outstanding shares of Series E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E Convertible Preferred shall represent only the shares of Common Stock into which the shares of Series E Convertible Preferred previously represented thereby have been converted pursuant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shall not be obligated to issue the shares of Common Stock issuable upon such conversion of any shares of Series E Convertible Preferred unless certificates evidencing such shares of Series E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E Convertible Preferred pursuant to this Section 6.3, the Holders of shares of Series E Convertible Preferred shall surrender the certificates representing such shares to the Corporation and the Corporation shall cause its Transfer Agent to deliver the shares of Common Stock issuable upon such conversion (in the same manner set forth in Section 6.2.2) to the Holder within three (3) Business Days of the Holder’s delivery of the applicable Series E Convertible Preferred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401955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92" w:name="page193"/>
    <w:bookmarkEnd w:id="192"/>
    <w:p>
      <w:pPr>
        <w:ind w:left="332" w:hanging="332"/>
        <w:spacing w:after="0"/>
        <w:tabs>
          <w:tab w:leader="none" w:pos="3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Repayment of Series E Convertible Preferred Stock</w:t>
      </w:r>
      <w:r>
        <w:rPr>
          <w:rFonts w:ascii="Arial" w:cs="Arial" w:eastAsia="Arial" w:hAnsi="Arial"/>
          <w:sz w:val="18"/>
          <w:szCs w:val="18"/>
          <w:color w:val="auto"/>
        </w:rPr>
        <w:t>.</w:t>
      </w:r>
    </w:p>
    <w:p>
      <w:pPr>
        <w:spacing w:after="0" w:line="225" w:lineRule="exact"/>
        <w:rPr>
          <w:sz w:val="20"/>
          <w:szCs w:val="20"/>
          <w:color w:val="auto"/>
        </w:rPr>
      </w:pPr>
    </w:p>
    <w:p>
      <w:pPr>
        <w:jc w:val="both"/>
        <w:ind w:left="652" w:hanging="32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E Convertible Preferred (the “</w:t>
      </w:r>
      <w:r>
        <w:rPr>
          <w:rFonts w:ascii="Arial" w:cs="Arial" w:eastAsia="Arial" w:hAnsi="Arial"/>
          <w:sz w:val="18"/>
          <w:szCs w:val="18"/>
          <w:u w:val="single" w:color="auto"/>
          <w:color w:val="auto"/>
        </w:rPr>
        <w:t>Maturity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the Corporation shall, in accordance with Section 7.2 hereof, repay and cancel each share of Series E Convertible Preferred, at a price per share of the Series E Convertible Preferred equal to the Series E Liquidation Preference Amount, plus an amount equal to any accrued but unpaid dividends payable thereon until the Maturity Date.</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jc w:val="both"/>
        <w:ind w:left="1232" w:hanging="579"/>
        <w:spacing w:after="0" w:line="263" w:lineRule="auto"/>
        <w:tabs>
          <w:tab w:leader="none" w:pos="1212" w:val="left"/>
        </w:tabs>
        <w:rPr>
          <w:sz w:val="20"/>
          <w:szCs w:val="20"/>
          <w:color w:val="auto"/>
        </w:rPr>
      </w:pPr>
      <w:r>
        <w:rPr>
          <w:rFonts w:ascii="Arial" w:cs="Arial" w:eastAsia="Arial" w:hAnsi="Arial"/>
          <w:sz w:val="18"/>
          <w:szCs w:val="18"/>
          <w:color w:val="auto"/>
        </w:rPr>
        <w:t>7.2.1.</w:t>
        <w:tab/>
        <w:t>On the Maturity Date, the Corporation, at its sole option, may elect to pay to the Holders the Series E Liquidation Preference Amount pursuant to Section 7.1: (i) in cash; (ii) by delivery of shares of Common Stock; or (iii) through any combination of cash and/or Common Stock.</w:t>
      </w:r>
    </w:p>
    <w:p>
      <w:pPr>
        <w:spacing w:after="0" w:line="184" w:lineRule="exact"/>
        <w:rPr>
          <w:sz w:val="20"/>
          <w:szCs w:val="20"/>
          <w:color w:val="auto"/>
        </w:rPr>
      </w:pPr>
    </w:p>
    <w:p>
      <w:pPr>
        <w:jc w:val="both"/>
        <w:ind w:left="1232" w:hanging="579"/>
        <w:spacing w:after="0" w:line="267" w:lineRule="auto"/>
        <w:tabs>
          <w:tab w:leader="none" w:pos="1212"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 xml:space="preserve">If the Corporation elects to make a payment, or any portion thereof, pursuant to this Section 7,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7"/>
          <w:szCs w:val="17"/>
          <w:i w:val="1"/>
          <w:iCs w:val="1"/>
          <w:color w:val="auto"/>
        </w:rPr>
        <w:t>by</w:t>
      </w:r>
      <w:r>
        <w:rPr>
          <w:rFonts w:ascii="Arial" w:cs="Arial" w:eastAsia="Arial" w:hAnsi="Arial"/>
          <w:sz w:val="17"/>
          <w:szCs w:val="17"/>
          <w:color w:val="auto"/>
        </w:rPr>
        <w:t xml:space="preserve"> (y)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provided, however that such VWAP of the Common Stock shall not be less than $0.62 (subject to appropriate adjustment in the event of any stock dividend, stock split, combination or other similar recapitalization during such period) (the “</w:t>
      </w:r>
      <w:r>
        <w:rPr>
          <w:rFonts w:ascii="Arial" w:cs="Arial" w:eastAsia="Arial" w:hAnsi="Arial"/>
          <w:sz w:val="17"/>
          <w:szCs w:val="17"/>
          <w:u w:val="single" w:color="auto"/>
          <w:color w:val="auto"/>
        </w:rPr>
        <w:t>Base Price</w:t>
      </w:r>
      <w:r>
        <w:rPr>
          <w:rFonts w:ascii="Arial" w:cs="Arial" w:eastAsia="Arial" w:hAnsi="Arial"/>
          <w:sz w:val="17"/>
          <w:szCs w:val="17"/>
          <w:color w:val="auto"/>
        </w:rPr>
        <w:t>”) and adding to the number of shares determined in accordance with clause (A), (B) an additional number of shares of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Section 7.2.2(A), (iii) if the Base Price as calculated pursuant to clause (A) above is greater than $6.00 and equal to or less than $7.00, a number of shares equal to 10% of the shares to be issued pursuant to Section 7.2.2(A), (iv) if the Base Price as calculated pursuant to clause (A) above is greater than $5.00 and equal to or less than $6.00, a number of shares equal to 20% of the shares to be issued pursuant to Section 7.2.2(A) and (v) if the Base Price as calculated pursuant to clause (A) above is less than or equal to $5.00, a number of shares equal to 25% of the shares to issued pursuant to Section 7.2.2(A). All per share prices set forth in Section 7.2.2 shall be subject to appropriate adjustment in the event of any stock dividend, stock split, combination or other similar recapitalization after the Initial Issuance Date.</w:t>
      </w:r>
    </w:p>
    <w:p>
      <w:pPr>
        <w:spacing w:after="0" w:line="191" w:lineRule="exact"/>
        <w:rPr>
          <w:sz w:val="20"/>
          <w:szCs w:val="20"/>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Adjustment of Series E Conversion Price.</w:t>
      </w:r>
    </w:p>
    <w:p>
      <w:pPr>
        <w:spacing w:after="0" w:line="225" w:lineRule="exact"/>
        <w:rPr>
          <w:sz w:val="20"/>
          <w:szCs w:val="20"/>
          <w:color w:val="auto"/>
        </w:rPr>
      </w:pPr>
    </w:p>
    <w:p>
      <w:pPr>
        <w:jc w:val="both"/>
        <w:ind w:left="1232" w:hanging="579"/>
        <w:spacing w:after="0" w:line="254" w:lineRule="auto"/>
        <w:tabs>
          <w:tab w:leader="none" w:pos="121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Adjustment of Series E Conversion Price upon Subdivision or Combination of Common Stock</w:t>
      </w:r>
      <w:r>
        <w:rPr>
          <w:rFonts w:ascii="Arial" w:cs="Arial" w:eastAsia="Arial" w:hAnsi="Arial"/>
          <w:sz w:val="18"/>
          <w:szCs w:val="18"/>
          <w:color w:val="auto"/>
        </w:rPr>
        <w:t>. The Series E Conversion Price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subject to adjustment from time to time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after the Initial Issuance Date subdivides (by any stock split, stock dividend, recapitalization or otherwise) its outstanding shares of Common Stock into a greater number of shares, the Series 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E Conversion Price in effect immediately prior to such combination will be proportionately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3" w:name="page194"/>
    <w:bookmarkEnd w:id="193"/>
    <w:p>
      <w:pPr>
        <w:jc w:val="both"/>
        <w:ind w:left="1232" w:hanging="579"/>
        <w:spacing w:after="0" w:line="268" w:lineRule="auto"/>
        <w:tabs>
          <w:tab w:leader="none" w:pos="1212"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Subject to the provisions of Section 4, if there shall occur any reorganization,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recapitalization, reclassification, consolidation or merger involving the Corporation in which the Common Stock (but not the Series E Convertible Preferred Stock) is converted into or exchanged for securities, cash or other property, then, following any such reorganization, recapitalization, reclassification, consolidation or merger, each share of Series E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E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E Convertible Preferred Stock, to the end that the provisions set forth in this Section 8 (and the provisions with respect to changes in and other adjustments of the Series E Conversion Price) shall thereafter be applicable, as nearly as reasonably may be, in relation to any securities or other property thereafter deliverable upon the conversion of the Series E Preferred Stock.</w:t>
      </w:r>
    </w:p>
    <w:p>
      <w:pPr>
        <w:spacing w:after="0" w:line="18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232" w:hanging="579"/>
        <w:spacing w:after="0" w:line="279" w:lineRule="auto"/>
        <w:tabs>
          <w:tab w:leader="none" w:pos="121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Immediately upon any adjustment of the Series E Conversion Rate and Series E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6.2.5.</w:t>
      </w:r>
    </w:p>
    <w:p>
      <w:pPr>
        <w:spacing w:after="0" w:line="171" w:lineRule="exact"/>
        <w:rPr>
          <w:sz w:val="20"/>
          <w:szCs w:val="20"/>
          <w:color w:val="auto"/>
        </w:rPr>
      </w:pPr>
    </w:p>
    <w:p>
      <w:pPr>
        <w:jc w:val="both"/>
        <w:ind w:left="1232" w:hanging="579"/>
        <w:spacing w:after="0" w:line="263" w:lineRule="auto"/>
        <w:tabs>
          <w:tab w:leader="none" w:pos="1212" w:val="left"/>
        </w:tabs>
        <w:rPr>
          <w:sz w:val="20"/>
          <w:szCs w:val="20"/>
          <w:color w:val="auto"/>
        </w:rPr>
      </w:pPr>
      <w:r>
        <w:rPr>
          <w:rFonts w:ascii="Arial" w:cs="Arial" w:eastAsia="Arial" w:hAnsi="Arial"/>
          <w:sz w:val="18"/>
          <w:szCs w:val="18"/>
          <w:color w:val="auto"/>
        </w:rPr>
        <w:t>8.2.2.</w:t>
        <w:tab/>
        <w:t>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4" w:lineRule="exact"/>
        <w:rPr>
          <w:sz w:val="20"/>
          <w:szCs w:val="20"/>
          <w:color w:val="auto"/>
        </w:rPr>
      </w:pPr>
    </w:p>
    <w:p>
      <w:pPr>
        <w:jc w:val="both"/>
        <w:ind w:left="1232" w:hanging="579"/>
        <w:spacing w:after="0" w:line="277" w:lineRule="auto"/>
        <w:tabs>
          <w:tab w:leader="none" w:pos="1212" w:val="left"/>
        </w:tabs>
        <w:rPr>
          <w:sz w:val="20"/>
          <w:szCs w:val="20"/>
          <w:color w:val="auto"/>
        </w:rPr>
      </w:pPr>
      <w:r>
        <w:rPr>
          <w:rFonts w:ascii="Arial" w:cs="Arial" w:eastAsia="Arial" w:hAnsi="Arial"/>
          <w:sz w:val="18"/>
          <w:szCs w:val="18"/>
          <w:color w:val="auto"/>
        </w:rPr>
        <w:t>8.2.3.</w:t>
        <w:tab/>
        <w:t>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32" w:hanging="332"/>
        <w:spacing w:after="0" w:line="277" w:lineRule="auto"/>
        <w:tabs>
          <w:tab w:leader="none" w:pos="3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E Convertible Preferred Stock shall be converted pursuant to Sections 6 or 7 hereof, the shares so converted shall be canceled and shall not be issuable by the Corporation.</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Series E Convertible Preferred Stock Protective Provisions.</w:t>
      </w:r>
    </w:p>
    <w:p>
      <w:pPr>
        <w:spacing w:after="0" w:line="225" w:lineRule="exact"/>
        <w:rPr>
          <w:rFonts w:ascii="Arial" w:cs="Arial" w:eastAsia="Arial" w:hAnsi="Arial"/>
          <w:sz w:val="18"/>
          <w:szCs w:val="18"/>
          <w:color w:val="auto"/>
        </w:rPr>
      </w:pPr>
    </w:p>
    <w:p>
      <w:pPr>
        <w:ind w:left="712" w:hanging="378"/>
        <w:spacing w:after="0" w:line="263" w:lineRule="auto"/>
        <w:rPr>
          <w:rFonts w:ascii="Arial" w:cs="Arial" w:eastAsia="Arial" w:hAnsi="Arial"/>
          <w:sz w:val="18"/>
          <w:szCs w:val="18"/>
          <w:color w:val="auto"/>
        </w:rPr>
      </w:pPr>
      <w:r>
        <w:rPr>
          <w:rFonts w:ascii="Arial" w:cs="Arial" w:eastAsia="Arial" w:hAnsi="Arial"/>
          <w:sz w:val="18"/>
          <w:szCs w:val="18"/>
          <w:color w:val="auto"/>
        </w:rPr>
        <w:t>10.1.At any time when shares of Series E Convertible Preferred Stock are outstanding, the Corporation shall not make payments in connection with any of the following without (in addition to any other vote required by law or the Charter) the written consent of the holders of a majority of the outstanding shares of Series E Convertible Preferred Stock:</w:t>
      </w:r>
    </w:p>
    <w:p>
      <w:pPr>
        <w:spacing w:after="0" w:line="184" w:lineRule="exact"/>
        <w:rPr>
          <w:sz w:val="20"/>
          <w:szCs w:val="20"/>
          <w:color w:val="auto"/>
        </w:rPr>
      </w:pPr>
    </w:p>
    <w:p>
      <w:pPr>
        <w:jc w:val="both"/>
        <w:ind w:left="1232" w:hanging="579"/>
        <w:spacing w:after="0" w:line="286" w:lineRule="auto"/>
        <w:rPr>
          <w:sz w:val="20"/>
          <w:szCs w:val="20"/>
          <w:color w:val="auto"/>
        </w:rPr>
      </w:pPr>
      <w:r>
        <w:rPr>
          <w:rFonts w:ascii="Arial" w:cs="Arial" w:eastAsia="Arial" w:hAnsi="Arial"/>
          <w:sz w:val="16"/>
          <w:szCs w:val="16"/>
          <w:color w:val="auto"/>
        </w:rPr>
        <w:t>10.1.1. any cash dividend or payment of any Indebtedness prior to the time such payment is due and payable or payment in cash of any due and payable Indebtedness where the Corporation may elect to make such payment in shares of capital stock or other equity securities of the Corporation, other than (i) prepayments made out of the proceeds of the sale of capital stock or other equity securities of the Corporation (other than sales of Series E Convertible Preferred Stock) or the incurrence of Indebtedness, so long as the aggregate amount of Indebtedness of the Corporation outstanding following such sale or incurrence is equal to or lesser than the aggregate amount of Indebtedness outstanding immediately prior to such sale or incurrence, (ii) prepayments made in shares of capital stock or other equity securities of the Corporation ranking junior to the Series E Convertible Preferred Stock, (iii) the election to pay dividends, pay any Indebtedness prior to the time such payment is due and payable or pay due and payable Indebtedness in cash if, at the time of such payment, the Corporation has an aggregate cash balance greater than the then aggregate Stated Value of all shares of Series E Convertible Preferred Stock issued prior to such payment (whether or not such shares are then outstanding) (such amount, the “</w:t>
      </w:r>
      <w:r>
        <w:rPr>
          <w:rFonts w:ascii="Arial" w:cs="Arial" w:eastAsia="Arial" w:hAnsi="Arial"/>
          <w:sz w:val="16"/>
          <w:szCs w:val="16"/>
          <w:u w:val="single" w:color="auto"/>
          <w:color w:val="auto"/>
        </w:rPr>
        <w:t>Cash Balance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Threshold</w:t>
      </w:r>
      <w:r>
        <w:rPr>
          <w:rFonts w:ascii="Arial" w:cs="Arial" w:eastAsia="Arial" w:hAnsi="Arial"/>
          <w:sz w:val="16"/>
          <w:szCs w:val="16"/>
          <w:color w:val="auto"/>
        </w:rPr>
        <w:t>”) and has delivered to the holders of Series E Convertible Preferred Stock the Cash Balance Certificate (defined below), (iv) prepayments or elections to pay in cash with respect to up to an aggregate of $100,000 of Indebtedness that is not Indebtedness for borrowed money evidenced by bonds, notes, debentures or similar instruments or (v) prepayments made out of the proceeds of any Indebtedness incurred by the Corporation with American Express or any of its affiliates, so long as the Indebtedness to be prepaid has a higher interest rate than the Indebtedness incurred by the Corporation with American Express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389890</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4" w:name="page195"/>
    <w:bookmarkEnd w:id="194"/>
    <w:p>
      <w:pPr>
        <w:jc w:val="both"/>
        <w:ind w:left="1232" w:hanging="579"/>
        <w:spacing w:after="0" w:line="273" w:lineRule="auto"/>
        <w:rPr>
          <w:sz w:val="20"/>
          <w:szCs w:val="20"/>
          <w:color w:val="auto"/>
        </w:rPr>
      </w:pPr>
      <w:r>
        <w:rPr>
          <w:rFonts w:ascii="Arial" w:cs="Arial" w:eastAsia="Arial" w:hAnsi="Arial"/>
          <w:sz w:val="17"/>
          <w:szCs w:val="17"/>
          <w:color w:val="auto"/>
        </w:rPr>
        <w:t>10.1.2. any repurchase of any outstanding securities of the Corporation, other than (i) repurchases made out of the proceeds of the sale of capital stock or other equity securities of the Corporation (other than sales of Series E Convertible Preferred Stock) or the incurrence of Indebtedness, so long as the aggregate amount of Indebtedness of the Corporation outstanding following such sale or incurrence is equal to or lesser than the aggregate amount of Indebtedness outstanding immediately prior to such sale or incurrence or (ii) repurchases, if, at the time of such repurchase, the Corporation has an aggregate cash balance greater than the then-applicable Cash Balance Threshold and has delivered to the holders of Series E Convertible Preferred Stock the Cash Balance Certificate.</w:t>
      </w:r>
    </w:p>
    <w:p>
      <w:pPr>
        <w:spacing w:after="0" w:line="178" w:lineRule="exact"/>
        <w:rPr>
          <w:sz w:val="20"/>
          <w:szCs w:val="20"/>
          <w:color w:val="auto"/>
        </w:rPr>
      </w:pPr>
    </w:p>
    <w:p>
      <w:pPr>
        <w:jc w:val="both"/>
        <w:ind w:left="1232" w:hanging="579"/>
        <w:spacing w:after="0" w:line="296" w:lineRule="auto"/>
        <w:rPr>
          <w:sz w:val="20"/>
          <w:szCs w:val="20"/>
          <w:color w:val="auto"/>
        </w:rPr>
      </w:pPr>
      <w:r>
        <w:rPr>
          <w:rFonts w:ascii="Arial" w:cs="Arial" w:eastAsia="Arial" w:hAnsi="Arial"/>
          <w:sz w:val="16"/>
          <w:szCs w:val="16"/>
          <w:color w:val="auto"/>
        </w:rPr>
        <w:t>10.1.3. Prior to taking any action pursuant to Sections 10.1.1 (iii) or 10.1.2(ii) (each action a “</w:t>
      </w:r>
      <w:r>
        <w:rPr>
          <w:rFonts w:ascii="Arial" w:cs="Arial" w:eastAsia="Arial" w:hAnsi="Arial"/>
          <w:sz w:val="16"/>
          <w:szCs w:val="16"/>
          <w:u w:val="single" w:color="auto"/>
          <w:color w:val="auto"/>
        </w:rPr>
        <w:t>Proposed Transaction"),</w:t>
      </w:r>
      <w:r>
        <w:rPr>
          <w:rFonts w:ascii="Arial" w:cs="Arial" w:eastAsia="Arial" w:hAnsi="Arial"/>
          <w:sz w:val="16"/>
          <w:szCs w:val="16"/>
          <w:color w:val="auto"/>
        </w:rPr>
        <w:t xml:space="preserve"> the Company shall deliver to the holders of Series E Convertible Preferred Stock a certificate signed by an officer of the Company certifying that: (i) the Company’s aggregate cash balance is greater than the Cash Balance Threshold on the date of the Proposed Transaction and at the close of each of the five Business Days immediately prior to the Proposed Transaction and (ii) after giving effect to the Proposed Transaction, the Company’s aggregate cash balance will be greater than the Cash Balance Threshold (the “</w:t>
      </w:r>
      <w:r>
        <w:rPr>
          <w:rFonts w:ascii="Arial" w:cs="Arial" w:eastAsia="Arial" w:hAnsi="Arial"/>
          <w:sz w:val="16"/>
          <w:szCs w:val="16"/>
          <w:u w:val="single" w:color="auto"/>
          <w:color w:val="auto"/>
        </w:rPr>
        <w:t>Cash Balance Certificate</w:t>
      </w:r>
      <w:r>
        <w:rPr>
          <w:rFonts w:ascii="Arial" w:cs="Arial" w:eastAsia="Arial" w:hAnsi="Arial"/>
          <w:sz w:val="16"/>
          <w:szCs w:val="16"/>
          <w:color w:val="auto"/>
        </w:rPr>
        <w:t>”).</w:t>
      </w:r>
    </w:p>
    <w:p>
      <w:pPr>
        <w:spacing w:after="0" w:line="161" w:lineRule="exact"/>
        <w:rPr>
          <w:sz w:val="20"/>
          <w:szCs w:val="20"/>
          <w:color w:val="auto"/>
        </w:rPr>
      </w:pPr>
    </w:p>
    <w:p>
      <w:pPr>
        <w:jc w:val="both"/>
        <w:ind w:left="652"/>
        <w:spacing w:after="0" w:line="301" w:lineRule="auto"/>
        <w:rPr>
          <w:sz w:val="20"/>
          <w:szCs w:val="20"/>
          <w:color w:val="auto"/>
        </w:rPr>
      </w:pPr>
      <w:r>
        <w:rPr>
          <w:rFonts w:ascii="Arial" w:cs="Arial" w:eastAsia="Arial" w:hAnsi="Arial"/>
          <w:sz w:val="16"/>
          <w:szCs w:val="16"/>
          <w:color w:val="auto"/>
        </w:rPr>
        <w:t>For purposes of this Certificate of Designation,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(other than trade accounts payable incurred in the ordinary course of business), and (y)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w:t>
      </w:r>
    </w:p>
    <w:p>
      <w:pPr>
        <w:spacing w:after="0" w:line="157" w:lineRule="exact"/>
        <w:rPr>
          <w:sz w:val="20"/>
          <w:szCs w:val="20"/>
          <w:color w:val="auto"/>
        </w:rPr>
      </w:pPr>
    </w:p>
    <w:p>
      <w:pPr>
        <w:jc w:val="both"/>
        <w:ind w:left="332" w:hanging="332"/>
        <w:spacing w:after="0" w:line="254" w:lineRule="auto"/>
        <w:tabs>
          <w:tab w:leader="none" w:pos="3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E Convertible Preferred Stock Certificates representing the Series E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E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the Corporation shall not be obligated to re-issue preferred stock certificates if the holder contemporaneously requests the Corporation to convert such Series E Convertible Preferred Stock into Common Stock.</w:t>
      </w:r>
    </w:p>
    <w:p>
      <w:pPr>
        <w:spacing w:after="0" w:line="194" w:lineRule="exact"/>
        <w:rPr>
          <w:rFonts w:ascii="Arial" w:cs="Arial" w:eastAsia="Arial" w:hAnsi="Arial"/>
          <w:sz w:val="18"/>
          <w:szCs w:val="18"/>
          <w:color w:val="auto"/>
        </w:rPr>
      </w:pPr>
    </w:p>
    <w:p>
      <w:pPr>
        <w:jc w:val="both"/>
        <w:ind w:left="332" w:hanging="332"/>
        <w:spacing w:after="0" w:line="268" w:lineRule="auto"/>
        <w:tabs>
          <w:tab w:leader="none" w:pos="332"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E Convertible Preferred Stock’s right to pursue actual damages for any failure by the Corporation to comply with the terms of this Certificate of Designation. The Corporation covenants to each holder of Series E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E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E Convertible Preferred Stock and that the remedy at law for any such breach may be inadequate. The Corporation therefore agrees that, in the event of any such breach or threatened breach, the holders of Series E Convertible Preferred Stock shall be entitled, in addition to all other available remedies, to an injunction restraining any breach, without the necessity of showing economic loss and without any bond or other security being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401955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95" w:name="page196"/>
    <w:bookmarkEnd w:id="195"/>
    <w:p>
      <w:pPr>
        <w:jc w:val="both"/>
        <w:ind w:left="3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E Convertible Preferred Stock maintained by the Corporation as set forth in Section 16.</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E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Transfer of Series E Convertible Preferred Stock</w:t>
      </w:r>
      <w:r>
        <w:rPr>
          <w:rFonts w:ascii="Arial" w:cs="Arial" w:eastAsia="Arial" w:hAnsi="Arial"/>
          <w:sz w:val="18"/>
          <w:szCs w:val="18"/>
          <w:color w:val="auto"/>
        </w:rPr>
        <w:t xml:space="preserve">. A Holder may assign some or all of the Series E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Series E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E Convertible Preferred Stock, in which the Corporation shall record the name, address and email address of the persons in whose name the Series E Convertible Preferred Stock have been issued, as well as the name, address and email address of each transferee. The Corporation may treat the person in whose name any Series E Convertible Preferred Stock is registered on the register as the owner and holder thereof for all purposes, notwithstanding any notice to the contrary, but in all events recognizing any properly made transfers.</w:t>
      </w:r>
    </w:p>
    <w:p>
      <w:pPr>
        <w:spacing w:after="0" w:line="192"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E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61" w:lineRule="exact"/>
        <w:rPr>
          <w:rFonts w:ascii="Arial" w:cs="Arial" w:eastAsia="Arial" w:hAnsi="Arial"/>
          <w:sz w:val="16"/>
          <w:szCs w:val="16"/>
          <w:color w:val="auto"/>
        </w:rPr>
      </w:pPr>
    </w:p>
    <w:p>
      <w:pPr>
        <w:ind w:left="300" w:hanging="292"/>
        <w:spacing w:after="0" w:line="342" w:lineRule="auto"/>
        <w:tabs>
          <w:tab w:leader="none" w:pos="30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In addition to the above provisions with respect to Series E Convertible Preferred Stock, such Series E Convertible Preferred Stock shall be subject to and be entitled to the benefit of the provisions set forth in the Charter with respect to preferred stock of the Corporation generally.</w:t>
      </w:r>
    </w:p>
    <w:p>
      <w:pPr>
        <w:spacing w:after="0" w:line="123"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E Convertible Preferred Stock set forth herein may be waived or amended on behalf of all holders of Series E Convertible Preferred Stock by the affirmative written consent or vote of the holders of at least 50 % of the shares of Series E Convertible Preferred Stock then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12th day of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Edward Jankowski</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7" w:name="page198"/>
    <w:bookmarkEnd w:id="197"/>
    <w:p>
      <w:pPr>
        <w:ind w:lef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jc w:val="both"/>
        <w:ind w:left="20" w:firstLine="1296"/>
        <w:spacing w:after="0" w:line="263" w:lineRule="auto"/>
        <w:rPr>
          <w:sz w:val="20"/>
          <w:szCs w:val="20"/>
          <w:color w:val="auto"/>
        </w:rPr>
      </w:pPr>
      <w:r>
        <w:rPr>
          <w:rFonts w:ascii="Arial" w:cs="Arial" w:eastAsia="Arial" w:hAnsi="Arial"/>
          <w:sz w:val="18"/>
          <w:szCs w:val="18"/>
          <w:color w:val="auto"/>
        </w:rPr>
        <w:t xml:space="preserve">The undersigned hereby elects to convert the number of shares of Series E Convertible Preferred Stock, par value $0.01 per share (the </w:t>
      </w:r>
      <w:r>
        <w:rPr>
          <w:rFonts w:ascii="Arial" w:cs="Arial" w:eastAsia="Arial" w:hAnsi="Arial"/>
          <w:sz w:val="18"/>
          <w:szCs w:val="18"/>
          <w:b w:val="1"/>
          <w:bCs w:val="1"/>
          <w:color w:val="auto"/>
        </w:rPr>
        <w:t xml:space="preserve">“Series E Convertible Preferred Stock”), </w:t>
      </w:r>
      <w:r>
        <w:rPr>
          <w:rFonts w:ascii="Arial" w:cs="Arial" w:eastAsia="Arial" w:hAnsi="Arial"/>
          <w:sz w:val="18"/>
          <w:szCs w:val="18"/>
          <w:color w:val="auto"/>
        </w:rPr>
        <w:t>of XpresSpa Group, Inc., a Delaware corporation (the</w:t>
      </w:r>
      <w:r>
        <w:rPr>
          <w:rFonts w:ascii="Arial" w:cs="Arial" w:eastAsia="Arial" w:hAnsi="Arial"/>
          <w:sz w:val="18"/>
          <w:szCs w:val="18"/>
          <w:b w:val="1"/>
          <w:bCs w:val="1"/>
          <w:color w:val="auto"/>
        </w:rPr>
        <w:t xml:space="preserve"> “Corporation”), </w:t>
      </w:r>
      <w:r>
        <w:rPr>
          <w:rFonts w:ascii="Arial" w:cs="Arial" w:eastAsia="Arial" w:hAnsi="Arial"/>
          <w:sz w:val="18"/>
          <w:szCs w:val="18"/>
          <w:color w:val="auto"/>
        </w:rPr>
        <w:t>indicated below into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of the Corporation, as of the date specified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54260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5">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E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6485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E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6485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14605</wp:posOffset>
            </wp:positionV>
            <wp:extent cx="4834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8">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14605</wp:posOffset>
            </wp:positionV>
            <wp:extent cx="45605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9">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9687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37719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1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Please issue the Common Stock into which the Series E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160655</wp:posOffset>
            </wp:positionV>
            <wp:extent cx="37204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14605</wp:posOffset>
            </wp:positionV>
            <wp:extent cx="37204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3">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14605</wp:posOffset>
            </wp:positionV>
            <wp:extent cx="36772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4">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14605</wp:posOffset>
            </wp:positionV>
            <wp:extent cx="307721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14605</wp:posOffset>
            </wp:positionV>
            <wp:extent cx="31203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wp:posOffset>
            </wp:positionV>
            <wp:extent cx="33775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40201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8">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14605</wp:posOffset>
            </wp:positionV>
            <wp:extent cx="39344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9">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6429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11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1">
                      <a:extLst>
                        <a:ext uri="{28A0092B-C50C-407E-A947-70E740481C1C}"/>
                      </a:extLst>
                    </a:blip>
                    <a:srcRect/>
                    <a:stretch>
                      <a:fillRect/>
                    </a:stretch>
                  </pic:blipFill>
                  <pic:spPr bwMode="auto">
                    <a:xfrm>
                      <a:off x="0" y="0"/>
                      <a:ext cx="3111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1739900" cy="8915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XPRESSPA GROUP, INC.</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332"/>
        <w:spacing w:after="0" w:line="257" w:lineRule="auto"/>
        <w:tabs>
          <w:tab w:leader="none" w:pos="5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7" w:lineRule="exact"/>
        <w:rPr>
          <w:rFonts w:ascii="Arial" w:cs="Arial" w:eastAsia="Arial" w:hAnsi="Arial"/>
          <w:sz w:val="18"/>
          <w:szCs w:val="18"/>
          <w:color w:val="auto"/>
        </w:rPr>
      </w:pPr>
    </w:p>
    <w:p>
      <w:pPr>
        <w:jc w:val="both"/>
        <w:ind w:firstLine="332"/>
        <w:spacing w:after="0" w:line="301" w:lineRule="auto"/>
        <w:tabs>
          <w:tab w:leader="none" w:pos="57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332"/>
        <w:spacing w:after="0" w:line="287" w:lineRule="auto"/>
        <w:tabs>
          <w:tab w:leader="none" w:pos="6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twenty (20)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jc w:val="both"/>
        <w:ind w:firstLine="332"/>
        <w:spacing w:after="0" w:line="271" w:lineRule="auto"/>
        <w:tabs>
          <w:tab w:leader="none" w:pos="68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of Amendment shall be effective on February 22, 2019 at 5:00 p.m., Eastern Time.</w:t>
      </w:r>
    </w:p>
    <w:p>
      <w:pPr>
        <w:spacing w:after="0" w:line="221"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its Chief Executive Officer on this 22nd day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2019.</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22"/>
          <w:szCs w:val="22"/>
          <w:b w:val="1"/>
          <w:bCs w:val="1"/>
          <w:color w:val="auto"/>
        </w:rPr>
        <w:t>XPRESSPA GROUP,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w:t>
      </w:r>
    </w:p>
    <w:p>
      <w:pPr>
        <w:jc w:val="center"/>
        <w:spacing w:after="0" w:line="235" w:lineRule="auto"/>
        <w:rPr>
          <w:sz w:val="20"/>
          <w:szCs w:val="20"/>
          <w:color w:val="auto"/>
        </w:rPr>
      </w:pPr>
      <w:r>
        <w:rPr>
          <w:rFonts w:ascii="Arial" w:cs="Arial" w:eastAsia="Arial" w:hAnsi="Arial"/>
          <w:sz w:val="22"/>
          <w:szCs w:val="22"/>
          <w:b w:val="1"/>
          <w:bCs w:val="1"/>
          <w:color w:val="auto"/>
        </w:rPr>
        <w:t>CERTIFICATE OF DESIGNATION OF PREFERENCES, RIGHTS AND LIMITATIONS</w:t>
      </w:r>
    </w:p>
    <w:p>
      <w:pPr>
        <w:jc w:val="center"/>
        <w:spacing w:after="0"/>
        <w:rPr>
          <w:sz w:val="20"/>
          <w:szCs w:val="20"/>
          <w:color w:val="auto"/>
        </w:rPr>
      </w:pPr>
      <w:r>
        <w:rPr>
          <w:rFonts w:ascii="Arial" w:cs="Arial" w:eastAsia="Arial" w:hAnsi="Arial"/>
          <w:sz w:val="18"/>
          <w:szCs w:val="18"/>
          <w:b w:val="1"/>
          <w:bCs w:val="1"/>
          <w:color w:val="auto"/>
        </w:rPr>
        <w:t>OF SERIES D CONVERTIBLE PREFERRED STOCK</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to the Certificate of Designation of Preferences, Rights and Limitations of the Series D Convertible Preferred Stock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July 8, 2019.</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the board of directors (“</w:t>
      </w:r>
      <w:r>
        <w:rPr>
          <w:rFonts w:ascii="Arial" w:cs="Arial" w:eastAsia="Arial" w:hAnsi="Arial"/>
          <w:sz w:val="16"/>
          <w:szCs w:val="16"/>
          <w:b w:val="1"/>
          <w:bCs w:val="1"/>
          <w:color w:val="auto"/>
        </w:rPr>
        <w:t>Board of Directors</w:t>
      </w:r>
      <w:r>
        <w:rPr>
          <w:rFonts w:ascii="Arial" w:cs="Arial" w:eastAsia="Arial" w:hAnsi="Arial"/>
          <w:sz w:val="16"/>
          <w:szCs w:val="16"/>
          <w:color w:val="auto"/>
        </w:rPr>
        <w:t>”) of 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authority granted to it by the certificate of incorporation of the Company, has previously fixed the rights, preferences, restrictions and other matters relating to a series of the Company’s preferred stock, consisting of 500,000 authorized shares of preferred stock, classified as Series D Convertible Preferred Stock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and the Certificate of Designation of Preferences, Rights and Limitations of the Series D Convertible Preferred Stock (the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was filed with the Secretary of State of the State of Delaware on December 23, 2016 evidencing such terms;</w:t>
      </w:r>
    </w:p>
    <w:p>
      <w:pPr>
        <w:spacing w:after="0" w:line="15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WHEREAS, the Holders identified on the signature pages hereto (the “</w:t>
      </w:r>
      <w:r>
        <w:rPr>
          <w:rFonts w:ascii="Arial" w:cs="Arial" w:eastAsia="Arial" w:hAnsi="Arial"/>
          <w:sz w:val="16"/>
          <w:szCs w:val="16"/>
          <w:b w:val="1"/>
          <w:bCs w:val="1"/>
          <w:color w:val="auto"/>
        </w:rPr>
        <w:t>Holders</w:t>
      </w:r>
      <w:r>
        <w:rPr>
          <w:rFonts w:ascii="Arial" w:cs="Arial" w:eastAsia="Arial" w:hAnsi="Arial"/>
          <w:sz w:val="16"/>
          <w:szCs w:val="16"/>
          <w:color w:val="auto"/>
        </w:rPr>
        <w:t>”) are the record and beneficial owners of certain shares of Series D Preferred Stock, issued pursuant to that certain (a) Agreement and Plan of Merger, dated as of August 8, 2016, as subsequently amended, by and among the Company (formerly known as FORM Holdings Corp.), FHXMS, LLC, XpresSpa Holdings LLC, the unitholders of XpresSpa Holdings LLC who were parties thereto (the “</w:t>
      </w:r>
      <w:r>
        <w:rPr>
          <w:rFonts w:ascii="Arial" w:cs="Arial" w:eastAsia="Arial" w:hAnsi="Arial"/>
          <w:sz w:val="16"/>
          <w:szCs w:val="16"/>
          <w:b w:val="1"/>
          <w:bCs w:val="1"/>
          <w:color w:val="auto"/>
        </w:rPr>
        <w:t>Unitholders</w:t>
      </w:r>
      <w:r>
        <w:rPr>
          <w:rFonts w:ascii="Arial" w:cs="Arial" w:eastAsia="Arial" w:hAnsi="Arial"/>
          <w:sz w:val="16"/>
          <w:szCs w:val="16"/>
          <w:color w:val="auto"/>
        </w:rPr>
        <w:t>”) and Mistral XH Representative, LLC, as representative of the Unitholders and (b) the Certificate of Designation;</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pursuant to Section 18 of the Certificate of Designation, any of the rights, powers, preferences and other terms of the Series D Preferred Stock may be waived or amended on behalf of all holders of Series D Preferred Stock by the affirmative written consent or vote of the holders of at least 50% of the shares of Series D Preferred Stock then outstanding (the “</w:t>
      </w:r>
      <w:r>
        <w:rPr>
          <w:rFonts w:ascii="Arial" w:cs="Arial" w:eastAsia="Arial" w:hAnsi="Arial"/>
          <w:sz w:val="18"/>
          <w:szCs w:val="18"/>
          <w:b w:val="1"/>
          <w:bCs w:val="1"/>
          <w:color w:val="auto"/>
        </w:rPr>
        <w:t>Required Holders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Holders constitute the Required Holders pursuant to the Certificate of Designation and have consented in writing, in accordance with Section 228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on July 8, 2019, to this Amendment on the terms set forth herein;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Board of Directors has duly adopted resolutions proposing to adopt this Amendment and declaring this Amendment to be advisable and in the best interest of the Company and its stockholders; and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Holders have agreed to convert their shares of Series D Preferred Stock into shares of common stock, par value $0.01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Section 6.1.1 of the Certificate of Designation, as amended by this Amendment, upon receipt of Shareholder Approval (as defined below).</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this Amendment has been duly adopted in accordance with Section 242 of the DGCL and has been executed by a duly authorized officer of the Company as of the date first set forth above to amend the terms of the Certificate of Designation as follows:</w:t>
      </w:r>
    </w:p>
    <w:p>
      <w:pPr>
        <w:spacing w:after="0" w:line="146" w:lineRule="exact"/>
        <w:rPr>
          <w:sz w:val="20"/>
          <w:szCs w:val="20"/>
          <w:color w:val="auto"/>
        </w:rPr>
      </w:pPr>
    </w:p>
    <w:p>
      <w:pPr>
        <w:ind w:firstLine="656"/>
        <w:spacing w:after="0" w:line="277" w:lineRule="auto"/>
        <w:tabs>
          <w:tab w:leader="none" w:pos="855" w:val="left"/>
        </w:tabs>
        <w:numPr>
          <w:ilvl w:val="0"/>
          <w:numId w:val="1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1" w:name="page202"/>
    <w:bookmarkEnd w:id="201"/>
    <w:p>
      <w:pPr>
        <w:ind w:left="840" w:hanging="184"/>
        <w:spacing w:after="0"/>
        <w:tabs>
          <w:tab w:leader="none" w:pos="840" w:val="left"/>
        </w:tabs>
        <w:numPr>
          <w:ilvl w:val="0"/>
          <w:numId w:val="11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Amendment to Section 6.1.1.1</w:t>
      </w:r>
      <w:r>
        <w:rPr>
          <w:rFonts w:ascii="Arial" w:cs="Arial" w:eastAsia="Arial" w:hAnsi="Arial"/>
          <w:sz w:val="17"/>
          <w:szCs w:val="17"/>
          <w:color w:val="auto"/>
        </w:rPr>
        <w:t>. Section 6.1.1.1 of the Certificate of Designation is hereby amended and restated in its entirety as follows:</w:t>
      </w:r>
    </w:p>
    <w:p>
      <w:pPr>
        <w:spacing w:after="0" w:line="23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 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shall initially be equal to $6.00 (before giving effect to the reverse stock split of the Common Stock that was effective on February 22, 2019 (the “</w:t>
      </w:r>
      <w:r>
        <w:rPr>
          <w:rFonts w:ascii="Arial" w:cs="Arial" w:eastAsia="Arial" w:hAnsi="Arial"/>
          <w:sz w:val="17"/>
          <w:szCs w:val="17"/>
          <w:u w:val="single" w:color="auto"/>
          <w:color w:val="auto"/>
        </w:rPr>
        <w:t>Reverse Stock Split</w:t>
      </w:r>
      <w:r>
        <w:rPr>
          <w:rFonts w:ascii="Arial" w:cs="Arial" w:eastAsia="Arial" w:hAnsi="Arial"/>
          <w:sz w:val="17"/>
          <w:szCs w:val="17"/>
          <w:color w:val="auto"/>
        </w:rPr>
        <w:t>”)), but shall be amended to be equal to $2.00, as may be adjusted as provided below, upon receipt of shareholder approval pursuant to Nasdaq Listing Rule 5635(a)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Such Series D Conversion Price, and the rate at which shares of Series D Convertible Preferred Stock may be converted into shares of Common Stock, shall be subject to adjustment as provided below. For the avoidance of doubt, any adjustments made to the Series D Conversion Price after July 8, 2019 but prior to receipt of Shareholder Approval shall be made equitably and proportionately to the Series D Conversion Price following Shareholder Approval. For further avoidance of doubt, other than the Reverse Stock Split, no other event has occurred after the Initial Issuance Date but prior to July 8, 2019 that would result in the adjustment of the Series D Conversion Price.”</w:t>
      </w:r>
    </w:p>
    <w:p>
      <w:pPr>
        <w:spacing w:after="0" w:line="179" w:lineRule="exact"/>
        <w:rPr>
          <w:sz w:val="20"/>
          <w:szCs w:val="20"/>
          <w:color w:val="auto"/>
        </w:rPr>
      </w:pPr>
    </w:p>
    <w:p>
      <w:pPr>
        <w:ind w:left="840" w:hanging="184"/>
        <w:spacing w:after="0"/>
        <w:tabs>
          <w:tab w:leader="none" w:pos="840" w:val="left"/>
        </w:tabs>
        <w:numPr>
          <w:ilvl w:val="0"/>
          <w:numId w:val="11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Amendment to Section 6.3.4</w:t>
      </w:r>
      <w:r>
        <w:rPr>
          <w:rFonts w:ascii="Arial" w:cs="Arial" w:eastAsia="Arial" w:hAnsi="Arial"/>
          <w:sz w:val="16"/>
          <w:szCs w:val="16"/>
          <w:color w:val="auto"/>
        </w:rPr>
        <w:t>. Section 6.3.4 of the Certificate of Designation is hereby amended and restated in its entirety to add a new Section</w:t>
      </w:r>
    </w:p>
    <w:p>
      <w:pPr>
        <w:spacing w:after="0" w:line="46"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color w:val="auto"/>
        </w:rPr>
        <w:t>6.3.4 as follows:</w:t>
      </w:r>
    </w:p>
    <w:p>
      <w:pPr>
        <w:spacing w:after="0" w:line="211" w:lineRule="exact"/>
        <w:rPr>
          <w:sz w:val="20"/>
          <w:szCs w:val="20"/>
          <w:color w:val="auto"/>
        </w:rPr>
      </w:pPr>
    </w:p>
    <w:p>
      <w:pPr>
        <w:jc w:val="both"/>
        <w:ind w:firstLine="842"/>
        <w:spacing w:after="0" w:line="269" w:lineRule="auto"/>
        <w:rPr>
          <w:sz w:val="20"/>
          <w:szCs w:val="20"/>
          <w:color w:val="auto"/>
        </w:rPr>
      </w:pPr>
      <w:r>
        <w:rPr>
          <w:rFonts w:ascii="Arial" w:cs="Arial" w:eastAsia="Arial" w:hAnsi="Arial"/>
          <w:sz w:val="17"/>
          <w:szCs w:val="17"/>
          <w:color w:val="auto"/>
        </w:rPr>
        <w:t>“6.3.4 Each share of Series D Convertible Preferred Stock shall, automatically and without further action on the part of any holder thereof, be converted effective upon, subject to, and concurrently with, the receipt of the Shareholder Approval, into a number of fully paid and nonassessable shares of Common Stock calculated based on the then-applicable Series D Conversion Rate (after giving effect to the amendment thereto occurring upon receipt of the Shareholder Approval as provided in Section 6.1.1). Each holder of any shares of Series D Convertible Preferred Stock converted pursuant to this Section 6.3.4 shall deliver to this corporation during regular business hours at the office of any transfer agent of this corporation for the Series D Convertible Preferred Stock, or at such other place as may be designated by the Corporation, the certificate or certificates for the shares so converted, duly endorsed or assigned in blank or to the Corporation. As promptly as practicable thereafter, the Corporation shall issue and deliver to such holder, at the place designated by such holder, a certificate or certificates for the number of full shares of the Common Stock to be issued and such holder shall be deemed to have become a stockholder of record of Common Stock on the date of receipt of the Shareholder Approval unless the transfer books of the Corporation are closed on that date, in which event he, she or it shall be deemed to have become a stockholder of record of Common Stock on the next succeeding date on which the transfer books are open.”</w:t>
      </w:r>
    </w:p>
    <w:p>
      <w:pPr>
        <w:spacing w:after="0" w:line="182" w:lineRule="exact"/>
        <w:rPr>
          <w:sz w:val="20"/>
          <w:szCs w:val="20"/>
          <w:color w:val="auto"/>
        </w:rPr>
      </w:pPr>
    </w:p>
    <w:p>
      <w:pPr>
        <w:ind w:firstLine="656"/>
        <w:spacing w:after="0" w:line="277" w:lineRule="auto"/>
        <w:tabs>
          <w:tab w:leader="none" w:pos="828" w:val="left"/>
        </w:tabs>
        <w:numPr>
          <w:ilvl w:val="0"/>
          <w:numId w:val="1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for the matters set forth in this Amendment, all other terms of the Certificate of Designation and the Series D Preferred Stock shall remain unchanged and in full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ind w:left="860"/>
        <w:spacing w:after="0"/>
        <w:rPr>
          <w:sz w:val="20"/>
          <w:szCs w:val="20"/>
          <w:color w:val="auto"/>
        </w:rPr>
      </w:pPr>
      <w:r>
        <w:rPr>
          <w:rFonts w:ascii="Arial" w:cs="Arial" w:eastAsia="Arial" w:hAnsi="Arial"/>
          <w:sz w:val="16"/>
          <w:szCs w:val="16"/>
          <w:color w:val="auto"/>
        </w:rPr>
        <w:t>IN WITNESS WHEREOF, each of the parties has caused this Amendment to be executed by its duly authorized representatives.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CONVERTIBLE PREFERRED STOCK</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Amendment to the Certificate of Designation of Preferences, Rights and Limitations of Series E Convertible Preferred Stock (this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July 8, 2019.</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the board of directors (“</w:t>
      </w:r>
      <w:r>
        <w:rPr>
          <w:rFonts w:ascii="Arial" w:cs="Arial" w:eastAsia="Arial" w:hAnsi="Arial"/>
          <w:sz w:val="16"/>
          <w:szCs w:val="16"/>
          <w:b w:val="1"/>
          <w:bCs w:val="1"/>
          <w:color w:val="auto"/>
        </w:rPr>
        <w:t>Board of Directors</w:t>
      </w:r>
      <w:r>
        <w:rPr>
          <w:rFonts w:ascii="Arial" w:cs="Arial" w:eastAsia="Arial" w:hAnsi="Arial"/>
          <w:sz w:val="16"/>
          <w:szCs w:val="16"/>
          <w:color w:val="auto"/>
        </w:rPr>
        <w:t>”) of 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pursuant to authority granted to it by the certificate of incorporation of the Company, has previously fixed the rights, preferences, restrictions and other matters relating to a series of the Company’s preferred stock, consisting of 1,473,300 authorized shares of preferred stock, classified as Series E Convertible Preferred Stock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and the Certificate of Designation of Preferences, Rights and Limitations of Series E Convertible Preferred Stock (the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was filed with the Secretary of State of the State of Delaware on November 13, 2018 evidencing such terms;</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WHEREAS, Calm.com, Inc., a Delaware corporation (the “</w:t>
      </w:r>
      <w:r>
        <w:rPr>
          <w:rFonts w:ascii="Arial" w:cs="Arial" w:eastAsia="Arial" w:hAnsi="Arial"/>
          <w:sz w:val="18"/>
          <w:szCs w:val="18"/>
          <w:b w:val="1"/>
          <w:bCs w:val="1"/>
          <w:color w:val="auto"/>
        </w:rPr>
        <w:t>Holder</w:t>
      </w:r>
      <w:r>
        <w:rPr>
          <w:rFonts w:ascii="Arial" w:cs="Arial" w:eastAsia="Arial" w:hAnsi="Arial"/>
          <w:sz w:val="18"/>
          <w:szCs w:val="18"/>
          <w:color w:val="auto"/>
        </w:rPr>
        <w:t>”) is the record and beneficial owner of certain shares of the Series E Preferred Stock, issued pursuant to that certain (a) Series E Preferred Stock Purchase Agreement, dated as of November 12, 2018, by and between the Company and Calm.com, Inc. and (b) the Certificate of Designation;</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pursuant to Section 19 of the Certificate of Designation, any of the rights, powers, preferences and other terms of the Series E Preferred Stock may be waived or amended on behalf of all holders of Series E Preferred Stock by the affirmative written consent or vote of the holders of at least 50% of the shares of Series E Preferred Stock then outstanding (the “</w:t>
      </w:r>
      <w:r>
        <w:rPr>
          <w:rFonts w:ascii="Arial" w:cs="Arial" w:eastAsia="Arial" w:hAnsi="Arial"/>
          <w:sz w:val="18"/>
          <w:szCs w:val="18"/>
          <w:b w:val="1"/>
          <w:bCs w:val="1"/>
          <w:color w:val="auto"/>
        </w:rPr>
        <w:t>Required Holders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Holder constitutes the Required Holders pursuant to the Certificate of Designation and has consented in writing, in accordance with Section 228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on July 8, 2019, to this Amendment on the terms set forth herein; and</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Board of Directors has duly adopted resolutions proposing to adopt this Amendment and declaring this Amendment to be advisable and in the best interest of the Company and its stockholders.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this Amendment has been duly adopted in accordance with Section 242 of the DGCL and has been executed by a duly authorized officer of the Company as of the date first set forth above to amend the terms of the Certificate of Designation as follows:</w:t>
      </w:r>
    </w:p>
    <w:p>
      <w:pPr>
        <w:spacing w:after="0" w:line="146" w:lineRule="exact"/>
        <w:rPr>
          <w:sz w:val="20"/>
          <w:szCs w:val="20"/>
          <w:color w:val="auto"/>
        </w:rPr>
      </w:pPr>
    </w:p>
    <w:p>
      <w:pPr>
        <w:ind w:firstLine="656"/>
        <w:spacing w:after="0" w:line="277" w:lineRule="auto"/>
        <w:tabs>
          <w:tab w:leader="none" w:pos="855"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Unless otherwise specified in this Amendment, all terms herein shall have the same meanings ascribed to them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840" w:hanging="184"/>
        <w:spacing w:after="0"/>
        <w:tabs>
          <w:tab w:leader="none" w:pos="840" w:val="left"/>
        </w:tabs>
        <w:numPr>
          <w:ilvl w:val="0"/>
          <w:numId w:val="1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1</w:t>
      </w:r>
      <w:r>
        <w:rPr>
          <w:rFonts w:ascii="Arial" w:cs="Arial" w:eastAsia="Arial" w:hAnsi="Arial"/>
          <w:sz w:val="18"/>
          <w:szCs w:val="18"/>
          <w:color w:val="auto"/>
        </w:rPr>
        <w:t>. Section 1 of the Certificate of Designation is hereby amended and restated in its entirety as follows: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E Convertible Preferred Stock</w:t>
      </w:r>
      <w:r>
        <w:rPr>
          <w:rFonts w:ascii="Arial" w:cs="Arial" w:eastAsia="Arial" w:hAnsi="Arial"/>
          <w:sz w:val="18"/>
          <w:szCs w:val="18"/>
          <w:color w:val="auto"/>
        </w:rPr>
        <w:t>”. The number of authorized shares of the Series E Convertible Preferred Stock shall be 2,397,060, which, except as provided herein, shall not be subject to increase without the consent of the holders of a majority of the then outstanding shares of Series E Convertible Preferred Stock. Each share of the Series E Convertible Preferred Stock shall have a par value of $0.01.”</w:t>
      </w:r>
    </w:p>
    <w:p>
      <w:pPr>
        <w:spacing w:after="0" w:line="187" w:lineRule="exact"/>
        <w:rPr>
          <w:sz w:val="20"/>
          <w:szCs w:val="20"/>
          <w:color w:val="auto"/>
        </w:rPr>
      </w:pPr>
    </w:p>
    <w:p>
      <w:pPr>
        <w:ind w:left="840" w:hanging="184"/>
        <w:spacing w:after="0"/>
        <w:tabs>
          <w:tab w:leader="none" w:pos="840"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 to Section 5</w:t>
      </w:r>
      <w:r>
        <w:rPr>
          <w:rFonts w:ascii="Arial" w:cs="Arial" w:eastAsia="Arial" w:hAnsi="Arial"/>
          <w:sz w:val="18"/>
          <w:szCs w:val="18"/>
          <w:color w:val="auto"/>
        </w:rPr>
        <w:t>. Section 5 of the Certificate of Designation is hereby amended and restated in its entirety as follows:</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Rights</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E Convertible Preferred Stock held by such holder are convertible as of the record date for determining stockholders entitled to vote on such matter. Notwithstanding the foregoing, in no event shall the holders of shares of Series E Convertible Preferred Stock issued pursuant to that certain Unsecured Convertible Note due May 31, 2022 (the “</w:t>
      </w:r>
      <w:r>
        <w:rPr>
          <w:rFonts w:ascii="Arial" w:cs="Arial" w:eastAsia="Arial" w:hAnsi="Arial"/>
          <w:sz w:val="16"/>
          <w:szCs w:val="16"/>
          <w:u w:val="single" w:color="auto"/>
          <w:color w:val="auto"/>
        </w:rPr>
        <w:t>Note</w:t>
      </w:r>
      <w:r>
        <w:rPr>
          <w:rFonts w:ascii="Arial" w:cs="Arial" w:eastAsia="Arial" w:hAnsi="Arial"/>
          <w:sz w:val="16"/>
          <w:szCs w:val="16"/>
          <w:color w:val="auto"/>
        </w:rPr>
        <w:t>”) be permitted to exercise a greater number of votes than such holders would have been entitled to cast if the Note had immediately been converted into shares of Common Stock at a conversion price equal to $1.73 (subject to adjustment for stock splits, stock dividends, recapitalizations, reorganizations, reclassifications, combinations, reverse stock splits or other similar events). Except as provided by law or by the other provisions of the Charter, the holders of Series E Convertible Preferred Stock shall vote together with the holders of Common Stock as a single class.”</w:t>
      </w:r>
    </w:p>
    <w:p>
      <w:pPr>
        <w:spacing w:after="0" w:line="166" w:lineRule="exact"/>
        <w:rPr>
          <w:sz w:val="20"/>
          <w:szCs w:val="20"/>
          <w:color w:val="auto"/>
        </w:rPr>
      </w:pPr>
    </w:p>
    <w:p>
      <w:pPr>
        <w:ind w:left="840" w:hanging="184"/>
        <w:spacing w:after="0"/>
        <w:tabs>
          <w:tab w:leader="none" w:pos="840" w:val="left"/>
        </w:tabs>
        <w:numPr>
          <w:ilvl w:val="0"/>
          <w:numId w:val="11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Amendment to Section 6.1.1.1</w:t>
      </w:r>
      <w:r>
        <w:rPr>
          <w:rFonts w:ascii="Arial" w:cs="Arial" w:eastAsia="Arial" w:hAnsi="Arial"/>
          <w:sz w:val="17"/>
          <w:szCs w:val="17"/>
          <w:color w:val="auto"/>
        </w:rPr>
        <w:t>. Section 6.1.1.1 of the Certificate of Designation is hereby amended and restated in its entirety as follows:</w:t>
      </w:r>
    </w:p>
    <w:p>
      <w:pPr>
        <w:spacing w:after="0" w:line="23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E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E Conversion Price (as defined below) in effect at the time of conversion (the result of such fraction, the “</w:t>
      </w:r>
      <w:r>
        <w:rPr>
          <w:rFonts w:ascii="Arial" w:cs="Arial" w:eastAsia="Arial" w:hAnsi="Arial"/>
          <w:sz w:val="17"/>
          <w:szCs w:val="17"/>
          <w:u w:val="single" w:color="auto"/>
          <w:color w:val="auto"/>
        </w:rPr>
        <w:t>Series E 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E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shall initially be equal to $0.62 (before giving effect to the reverse stock split of the Common Stock that was effective on February 22, 2019 (the “</w:t>
      </w:r>
      <w:r>
        <w:rPr>
          <w:rFonts w:ascii="Arial" w:cs="Arial" w:eastAsia="Arial" w:hAnsi="Arial"/>
          <w:sz w:val="17"/>
          <w:szCs w:val="17"/>
          <w:u w:val="single" w:color="auto"/>
          <w:color w:val="auto"/>
        </w:rPr>
        <w:t>Reverse Stock Split</w:t>
      </w:r>
      <w:r>
        <w:rPr>
          <w:rFonts w:ascii="Arial" w:cs="Arial" w:eastAsia="Arial" w:hAnsi="Arial"/>
          <w:sz w:val="17"/>
          <w:szCs w:val="17"/>
          <w:color w:val="auto"/>
        </w:rPr>
        <w:t>”)), but shall be amended to be equal to $2.00, as may be adjusted as provided below, upon receipt of shareholder approval pursuant to Nasdaq Listing Rule 5635(d) (“</w:t>
      </w:r>
      <w:r>
        <w:rPr>
          <w:rFonts w:ascii="Arial" w:cs="Arial" w:eastAsia="Arial" w:hAnsi="Arial"/>
          <w:sz w:val="17"/>
          <w:szCs w:val="17"/>
          <w:u w:val="single" w:color="auto"/>
          <w:color w:val="auto"/>
        </w:rPr>
        <w:t>Shareholder Approval</w:t>
      </w:r>
      <w:r>
        <w:rPr>
          <w:rFonts w:ascii="Arial" w:cs="Arial" w:eastAsia="Arial" w:hAnsi="Arial"/>
          <w:sz w:val="17"/>
          <w:szCs w:val="17"/>
          <w:color w:val="auto"/>
        </w:rPr>
        <w:t>”). Such Series E Conversion Price, and the rate at which shares of Series E Convertible Preferred Stock may be converted into shares of Common Stock, shall be subject to adjustment as provided below. For the avoidance of doubt, any adjustments made to the Series E Conversion Price after July 8, 2019 but prior to receipt of Shareholder Approval shall be made equitably and proportionately to the Series E Conversion Price following Shareholder Approval. For the further avoidance of doubt, other than the Reverse Stock Split, no other event has occurred after the Initial Issuance Date but prior to July 8, 2019 that would result in the adjustment of the Series E Conversion Price.”</w:t>
      </w:r>
    </w:p>
    <w:p>
      <w:pPr>
        <w:spacing w:after="0" w:line="179" w:lineRule="exact"/>
        <w:rPr>
          <w:sz w:val="20"/>
          <w:szCs w:val="20"/>
          <w:color w:val="auto"/>
        </w:rPr>
      </w:pPr>
    </w:p>
    <w:p>
      <w:pPr>
        <w:ind w:right="20" w:firstLine="656"/>
        <w:spacing w:after="0" w:line="277" w:lineRule="auto"/>
        <w:tabs>
          <w:tab w:leader="none" w:pos="841" w:val="left"/>
        </w:tabs>
        <w:numPr>
          <w:ilvl w:val="0"/>
          <w:numId w:val="1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Other Amendment</w:t>
      </w:r>
      <w:r>
        <w:rPr>
          <w:rFonts w:ascii="Arial" w:cs="Arial" w:eastAsia="Arial" w:hAnsi="Arial"/>
          <w:sz w:val="18"/>
          <w:szCs w:val="18"/>
          <w:color w:val="auto"/>
        </w:rPr>
        <w:t>. Except for the matters set forth in this Amendment, all other terms of the Certificate of Designation and the Series E Preferred Stock shall remain unchanged and in full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ind w:left="660"/>
        <w:spacing w:after="0"/>
        <w:rPr>
          <w:sz w:val="20"/>
          <w:szCs w:val="20"/>
          <w:color w:val="auto"/>
        </w:rPr>
      </w:pPr>
      <w:r>
        <w:rPr>
          <w:rFonts w:ascii="Arial" w:cs="Arial" w:eastAsia="Arial" w:hAnsi="Arial"/>
          <w:sz w:val="16"/>
          <w:szCs w:val="16"/>
          <w:color w:val="auto"/>
        </w:rPr>
        <w:t>IN WITNESS WHEREOF, the Company has caused this Amendment to be signed by the undersigned as of July 8,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F CONVERTIBLE PREFERRED STOCK</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WHEREAS, the Amended and Restated Certificate of Incorporation (the “</w:t>
      </w:r>
      <w:r>
        <w:rPr>
          <w:rFonts w:ascii="Arial" w:cs="Arial" w:eastAsia="Arial" w:hAnsi="Arial"/>
          <w:sz w:val="17"/>
          <w:szCs w:val="17"/>
          <w:u w:val="single" w:color="auto"/>
          <w:color w:val="auto"/>
        </w:rPr>
        <w:t>Charter</w:t>
      </w:r>
      <w:r>
        <w:rPr>
          <w:rFonts w:ascii="Arial" w:cs="Arial" w:eastAsia="Arial" w:hAnsi="Arial"/>
          <w:sz w:val="17"/>
          <w:szCs w:val="17"/>
          <w:color w:val="auto"/>
        </w:rPr>
        <w:t>”) of XpresSpa Group, Inc., a Delaware corporation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provides for a class of its authorized stock known as preferred stock, comprised of 5,000,000 shares, issuable from time to time in one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more series;</w:t>
      </w:r>
    </w:p>
    <w:p>
      <w:pPr>
        <w:spacing w:after="0" w:line="211" w:lineRule="exact"/>
        <w:rPr>
          <w:sz w:val="20"/>
          <w:szCs w:val="20"/>
          <w:color w:val="auto"/>
        </w:rPr>
      </w:pPr>
    </w:p>
    <w:p>
      <w:pPr>
        <w:ind w:right="140" w:firstLine="389"/>
        <w:spacing w:after="0" w:line="263"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4" w:lineRule="exact"/>
        <w:rPr>
          <w:sz w:val="20"/>
          <w:szCs w:val="20"/>
          <w:color w:val="auto"/>
        </w:rPr>
      </w:pPr>
    </w:p>
    <w:p>
      <w:pPr>
        <w:ind w:right="20" w:firstLine="389"/>
        <w:spacing w:after="0" w:line="263"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9,000 shares of the preferred stock which the Corporation has the authority to issue, classified as Series F Convertible Preferred Stock, as follows:</w:t>
      </w:r>
    </w:p>
    <w:p>
      <w:pPr>
        <w:spacing w:after="0" w:line="184" w:lineRule="exact"/>
        <w:rPr>
          <w:sz w:val="20"/>
          <w:szCs w:val="20"/>
          <w:color w:val="auto"/>
        </w:rPr>
      </w:pPr>
    </w:p>
    <w:p>
      <w:pPr>
        <w:ind w:right="40" w:firstLine="434"/>
        <w:spacing w:after="0" w:line="259"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in this Certificate of Designation of Preferences, Rights and Limitations of the Series F Convertible Preferred Stock (this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rights, preferences, restrictions and other matters relating to such series of preferred stock as follows: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ind w:right="80" w:firstLine="332"/>
        <w:spacing w:after="0" w:line="259" w:lineRule="auto"/>
        <w:tabs>
          <w:tab w:leader="none" w:pos="639"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F Convertible Preferred Stock</w:t>
      </w:r>
      <w:r>
        <w:rPr>
          <w:rFonts w:ascii="Arial" w:cs="Arial" w:eastAsia="Arial" w:hAnsi="Arial"/>
          <w:sz w:val="18"/>
          <w:szCs w:val="18"/>
          <w:color w:val="auto"/>
        </w:rPr>
        <w:t>”. The initial number of authorized shares of the Series F Convertible Preferred Stock shall be 9,000, which, except as provided herein, shall not be subject to increase without the consent of the holders of a majority of the then outstanding shares of Series F Convertible Preferred Stock. Each share of the Series F Convertible Preferred Stock shall have a par value of $0.01.</w:t>
      </w:r>
    </w:p>
    <w:p>
      <w:pPr>
        <w:spacing w:after="0" w:line="186" w:lineRule="exact"/>
        <w:rPr>
          <w:rFonts w:ascii="Arial" w:cs="Arial" w:eastAsia="Arial" w:hAnsi="Arial"/>
          <w:sz w:val="18"/>
          <w:szCs w:val="18"/>
          <w:color w:val="auto"/>
        </w:rPr>
      </w:pPr>
    </w:p>
    <w:p>
      <w:pPr>
        <w:ind w:left="640" w:hanging="308"/>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Dividends and Distributions to the Holders of Common Stock</w:t>
      </w:r>
      <w:r>
        <w:rPr>
          <w:rFonts w:ascii="Arial" w:cs="Arial" w:eastAsia="Arial" w:hAnsi="Arial"/>
          <w:sz w:val="16"/>
          <w:szCs w:val="16"/>
          <w:color w:val="auto"/>
        </w:rPr>
        <w:t>. From and after the first date of issuance of any shares of Series 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Convertible Preferred Stock (the “</w:t>
      </w:r>
      <w:r>
        <w:rPr>
          <w:rFonts w:ascii="Arial" w:cs="Arial" w:eastAsia="Arial" w:hAnsi="Arial"/>
          <w:sz w:val="17"/>
          <w:szCs w:val="17"/>
          <w:u w:val="single" w:color="auto"/>
          <w:color w:val="auto"/>
        </w:rPr>
        <w:t>Initial Issuance Date</w:t>
      </w:r>
      <w:r>
        <w:rPr>
          <w:rFonts w:ascii="Arial" w:cs="Arial" w:eastAsia="Arial" w:hAnsi="Arial"/>
          <w:sz w:val="17"/>
          <w:szCs w:val="17"/>
          <w:color w:val="auto"/>
        </w:rPr>
        <w:t>”), the holders of Series F Convertible Preferred Stock (each, a “</w:t>
      </w:r>
      <w:r>
        <w:rPr>
          <w:rFonts w:ascii="Arial" w:cs="Arial" w:eastAsia="Arial" w:hAnsi="Arial"/>
          <w:sz w:val="17"/>
          <w:szCs w:val="17"/>
          <w:u w:val="single" w:color="auto"/>
          <w:color w:val="auto"/>
        </w:rPr>
        <w:t>Holder</w:t>
      </w:r>
      <w:r>
        <w:rPr>
          <w:rFonts w:ascii="Arial" w:cs="Arial" w:eastAsia="Arial" w:hAnsi="Arial"/>
          <w:sz w:val="17"/>
          <w:szCs w:val="17"/>
          <w:color w:val="auto"/>
        </w:rPr>
        <w:t>” and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Holders</w:t>
      </w:r>
      <w:r>
        <w:rPr>
          <w:rFonts w:ascii="Arial" w:cs="Arial" w:eastAsia="Arial" w:hAnsi="Arial"/>
          <w:sz w:val="16"/>
          <w:szCs w:val="16"/>
          <w:color w:val="auto"/>
        </w:rPr>
        <w:t>”) shall be entitled to receive such dividends paid and distributions made to the holders of common stock, par value $0.01 per share (the “</w:t>
      </w:r>
      <w:r>
        <w:rPr>
          <w:rFonts w:ascii="Arial" w:cs="Arial" w:eastAsia="Arial" w:hAnsi="Arial"/>
          <w:sz w:val="16"/>
          <w:szCs w:val="16"/>
          <w:u w:val="single" w:color="auto"/>
          <w:color w:val="auto"/>
        </w:rPr>
        <w:t>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w:t>
      </w:r>
      <w:r>
        <w:rPr>
          <w:rFonts w:ascii="Arial" w:cs="Arial" w:eastAsia="Arial" w:hAnsi="Arial"/>
          <w:sz w:val="17"/>
          <w:szCs w:val="17"/>
          <w:color w:val="auto"/>
        </w:rPr>
        <w:t>”), pro rata to the holders of Common Stock to the same extent as if such Holders had converted the Series F Convertible Preferred Stock into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had held such shares of Common Stock on the record date for such dividends and distributions. Payments under the preceding sentence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be made concurrently with the dividend or distribution to the holders of Common Stock.</w:t>
      </w:r>
    </w:p>
    <w:p>
      <w:pPr>
        <w:spacing w:after="0" w:line="211"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Ranking.</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3.1 Except with respect to any current series of preferred stock of senior rank to the Series F Preferred Stock (including the Series D Preferred Stock and Series E Preferred Stock) in respect of the preferences as to dividends, distributions and payments upon the liquidation, dissolution and winding up of the Corporation (collectively, the “</w:t>
      </w:r>
      <w:r>
        <w:rPr>
          <w:rFonts w:ascii="Arial" w:cs="Arial" w:eastAsia="Arial" w:hAnsi="Arial"/>
          <w:sz w:val="18"/>
          <w:szCs w:val="18"/>
          <w:u w:val="single" w:color="auto"/>
          <w:color w:val="auto"/>
        </w:rPr>
        <w:t>Senior Preferred Stock</w:t>
      </w:r>
      <w:r>
        <w:rPr>
          <w:rFonts w:ascii="Arial" w:cs="Arial" w:eastAsia="Arial" w:hAnsi="Arial"/>
          <w:sz w:val="18"/>
          <w:szCs w:val="18"/>
          <w:color w:val="auto"/>
        </w:rPr>
        <w:t>”) and any current or future series of preferred stock of pari passu rank to the shares of Series F Preferred Stock in respect of the preferences as to dividends, distributions and payments upon the liquidation, dissolution and winding up of the Corporation (collectively, the “</w:t>
      </w:r>
      <w:r>
        <w:rPr>
          <w:rFonts w:ascii="Arial" w:cs="Arial" w:eastAsia="Arial" w:hAnsi="Arial"/>
          <w:sz w:val="18"/>
          <w:szCs w:val="18"/>
          <w:u w:val="single" w:color="auto"/>
          <w:color w:val="auto"/>
        </w:rPr>
        <w:t>Parity Stock</w:t>
      </w:r>
      <w:r>
        <w:rPr>
          <w:rFonts w:ascii="Arial" w:cs="Arial" w:eastAsia="Arial" w:hAnsi="Arial"/>
          <w:sz w:val="18"/>
          <w:szCs w:val="18"/>
          <w:color w:val="auto"/>
        </w:rPr>
        <w:t>”), all shares of capital stock of the Corporation shall be junior in rank to all shares of Series F Preferred Stock with respect to the preferences as to dividends, distributions and payments upon the liquidation, dissolution and winding up of the Corporation (collectively, the “</w:t>
      </w:r>
      <w:r>
        <w:rPr>
          <w:rFonts w:ascii="Arial" w:cs="Arial" w:eastAsia="Arial" w:hAnsi="Arial"/>
          <w:sz w:val="18"/>
          <w:szCs w:val="18"/>
          <w:u w:val="single" w:color="auto"/>
          <w:color w:val="auto"/>
        </w:rPr>
        <w:t>Junior Stock</w:t>
      </w:r>
      <w:r>
        <w:rPr>
          <w:rFonts w:ascii="Arial" w:cs="Arial" w:eastAsia="Arial" w:hAnsi="Arial"/>
          <w:sz w:val="18"/>
          <w:szCs w:val="18"/>
          <w:color w:val="auto"/>
        </w:rPr>
        <w:t>”). In the event of the merger or consolidation of the Corporation with or into another corporation, the shares of Series F Preferred Stock shall maintain their relative rights, powers, designations, privileges and preferences provided for herein and no such merger or consolidation shall result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ind w:left="34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Certificate of Designation, the following definitions shall apply:</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4.1.1.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4.1.2. “</w:t>
      </w:r>
      <w:r>
        <w:rPr>
          <w:rFonts w:ascii="Arial" w:cs="Arial" w:eastAsia="Arial" w:hAnsi="Arial"/>
          <w:sz w:val="17"/>
          <w:szCs w:val="17"/>
          <w:u w:val="single" w:color="auto"/>
          <w:color w:val="auto"/>
        </w:rPr>
        <w:t>Deemed Liquidation Event</w:t>
      </w:r>
      <w:r>
        <w:rPr>
          <w:rFonts w:ascii="Arial" w:cs="Arial" w:eastAsia="Arial" w:hAnsi="Arial"/>
          <w:sz w:val="17"/>
          <w:szCs w:val="17"/>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180"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4.1.3. “</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ind w:right="60" w:firstLine="1296"/>
        <w:spacing w:after="0" w:line="271" w:lineRule="auto"/>
        <w:rPr>
          <w:sz w:val="20"/>
          <w:szCs w:val="20"/>
          <w:color w:val="auto"/>
        </w:rPr>
      </w:pPr>
      <w:r>
        <w:rPr>
          <w:rFonts w:ascii="Arial" w:cs="Arial" w:eastAsia="Arial" w:hAnsi="Arial"/>
          <w:sz w:val="17"/>
          <w:szCs w:val="17"/>
          <w:color w:val="auto"/>
        </w:rPr>
        <w:t>4.1.4. “</w:t>
      </w:r>
      <w:r>
        <w:rPr>
          <w:rFonts w:ascii="Arial" w:cs="Arial" w:eastAsia="Arial" w:hAnsi="Arial"/>
          <w:sz w:val="17"/>
          <w:szCs w:val="17"/>
          <w:u w:val="single" w:color="auto"/>
          <w:color w:val="auto"/>
        </w:rPr>
        <w:t>Equity Conditions</w:t>
      </w:r>
      <w:r>
        <w:rPr>
          <w:rFonts w:ascii="Arial" w:cs="Arial" w:eastAsia="Arial" w:hAnsi="Arial"/>
          <w:sz w:val="17"/>
          <w:szCs w:val="17"/>
          <w:color w:val="auto"/>
        </w:rPr>
        <w:t>” means each of the following conditions: (i) a registration statement shall be effective and available for the issuance or resale of all shares of Common Stock issuable upon conversion of the Series F Preferred Stock; (ii) the Corporation shall have delivered all shares of Common Stock upon conversion of all shares of Series F Preferred Stock previously exercised by the Holder;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Corporation or any of its agents or affiliates; and (v) 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8" w:name="page209"/>
    <w:bookmarkEnd w:id="208"/>
    <w:p>
      <w:pPr>
        <w:ind w:right="80" w:firstLine="1296"/>
        <w:spacing w:after="0" w:line="283" w:lineRule="auto"/>
        <w:rPr>
          <w:sz w:val="20"/>
          <w:szCs w:val="20"/>
          <w:color w:val="auto"/>
        </w:rPr>
      </w:pPr>
      <w:r>
        <w:rPr>
          <w:rFonts w:ascii="Arial" w:cs="Arial" w:eastAsia="Arial" w:hAnsi="Arial"/>
          <w:sz w:val="16"/>
          <w:szCs w:val="16"/>
          <w:color w:val="auto"/>
        </w:rPr>
        <w:t>4.1.6. “</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Corporation after the Initial Issuance Date pursuant to plans approved by the shareholders of the Corporation and which issuances are approved by a majority of the independent members of a committee of the board of directors, (b) securities exercisable or exchangeable for or convertible into shares of Common Stock issued and outstanding on the date of this Certificate of Designation, provided that such securities and any term thereof have not been amended since the date of this Certificate of Designation to increase the number of such securities or to decrease the issue price, exercise price, exchange price or conversion price of such securities, (c)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be intended to provide to the Corporation substantial additional benefits in addition to the investment of funds, but shall not include a transaction in which the Corporation is issuing securities primarily for the purpose of raising capital or to an entity whose primary business is investing in securities, (d) up to 25,000 shares of Common Stock, (e) securities as payment for investment banking services provided to the Corporation, (f) securities issued to third party vendors as payment for goods or services, (g) securities issued to the Corporation’s Airport Concession Disadvantaged Business Enterprise partners, and</w:t>
      </w:r>
    </w:p>
    <w:p>
      <w:pPr>
        <w:spacing w:after="0" w:line="3" w:lineRule="exact"/>
        <w:rPr>
          <w:sz w:val="20"/>
          <w:szCs w:val="20"/>
          <w:color w:val="auto"/>
        </w:rPr>
      </w:pPr>
    </w:p>
    <w:p>
      <w:pPr>
        <w:ind w:right="420" w:firstLine="8"/>
        <w:spacing w:after="0" w:line="255" w:lineRule="auto"/>
        <w:tabs>
          <w:tab w:leader="none" w:pos="2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securities issued as payment of interest pursuant to the Credit Agreement dated as of April 22, 2015, as subsequently amended through the date hereof by and between XpresSpa Holdings, LLC and Rockmore Investment Master Fund Ltd. (including, without limitation, that certain Fourth Amendment to Credit Agreement, dated as of July 8, 2019, by and between the Company and B3D, LLC).</w:t>
      </w:r>
    </w:p>
    <w:p>
      <w:pPr>
        <w:spacing w:after="0" w:line="190" w:lineRule="exact"/>
        <w:rPr>
          <w:sz w:val="20"/>
          <w:szCs w:val="20"/>
          <w:color w:val="auto"/>
        </w:rPr>
      </w:pPr>
    </w:p>
    <w:p>
      <w:pPr>
        <w:ind w:right="1040" w:firstLine="1296"/>
        <w:spacing w:after="0" w:line="277" w:lineRule="auto"/>
        <w:rPr>
          <w:sz w:val="20"/>
          <w:szCs w:val="20"/>
          <w:color w:val="auto"/>
        </w:rPr>
      </w:pPr>
      <w:r>
        <w:rPr>
          <w:rFonts w:ascii="Arial" w:cs="Arial" w:eastAsia="Arial" w:hAnsi="Arial"/>
          <w:sz w:val="18"/>
          <w:szCs w:val="18"/>
          <w:color w:val="auto"/>
        </w:rPr>
        <w:t>4.1.7.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Principal Market</w:t>
      </w:r>
      <w:r>
        <w:rPr>
          <w:rFonts w:ascii="Arial" w:cs="Arial" w:eastAsia="Arial" w:hAnsi="Arial"/>
          <w:sz w:val="16"/>
          <w:szCs w:val="16"/>
          <w:color w:val="auto"/>
        </w:rPr>
        <w:t>” means the Nasdaq Capital Market.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F Convertible Preferred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both"/>
        <w:ind w:right="180" w:firstLine="1296"/>
        <w:spacing w:after="0" w:line="263" w:lineRule="auto"/>
        <w:rPr>
          <w:sz w:val="20"/>
          <w:szCs w:val="20"/>
          <w:color w:val="auto"/>
        </w:rPr>
      </w:pPr>
      <w:r>
        <w:rPr>
          <w:rFonts w:ascii="Arial" w:cs="Arial" w:eastAsia="Arial" w:hAnsi="Arial"/>
          <w:sz w:val="18"/>
          <w:szCs w:val="18"/>
          <w:color w:val="auto"/>
        </w:rPr>
        <w:t>4.1.10. “</w:t>
      </w:r>
      <w:r>
        <w:rPr>
          <w:rFonts w:ascii="Arial" w:cs="Arial" w:eastAsia="Arial" w:hAnsi="Arial"/>
          <w:sz w:val="18"/>
          <w:szCs w:val="18"/>
          <w:u w:val="single" w:color="auto"/>
          <w:color w:val="auto"/>
        </w:rPr>
        <w:t>Shareholder Approval</w:t>
      </w:r>
      <w:r>
        <w:rPr>
          <w:rFonts w:ascii="Arial" w:cs="Arial" w:eastAsia="Arial" w:hAnsi="Arial"/>
          <w:sz w:val="18"/>
          <w:szCs w:val="18"/>
          <w:color w:val="auto"/>
        </w:rPr>
        <w:t>” means such approval as may be required by the applicable rules and regulations of the Nasdaq Stock Market (or any successor entity) from the shareholders of the Corporation with respect to the transactions contemplated by the SPA Amendment and this Certificate of Designation (including, without limitation, Sections 6 and Section 7.1.3 hereof).</w:t>
      </w:r>
    </w:p>
    <w:p>
      <w:pPr>
        <w:spacing w:after="0" w:line="184"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4.1.11. “</w:t>
      </w:r>
      <w:r>
        <w:rPr>
          <w:rFonts w:ascii="Arial" w:cs="Arial" w:eastAsia="Arial" w:hAnsi="Arial"/>
          <w:sz w:val="18"/>
          <w:szCs w:val="18"/>
          <w:u w:val="single" w:color="auto"/>
          <w:color w:val="auto"/>
        </w:rPr>
        <w:t>SPA Amendment</w:t>
      </w:r>
      <w:r>
        <w:rPr>
          <w:rFonts w:ascii="Arial" w:cs="Arial" w:eastAsia="Arial" w:hAnsi="Arial"/>
          <w:sz w:val="18"/>
          <w:szCs w:val="18"/>
          <w:color w:val="auto"/>
        </w:rPr>
        <w:t>” means that certain Amendment to Securities Purchase Agreement by and between the Corporation and the signatories identified therein dated as of July 8, 2019.</w:t>
      </w:r>
    </w:p>
    <w:p>
      <w:pPr>
        <w:spacing w:after="0" w:line="170" w:lineRule="exact"/>
        <w:rPr>
          <w:sz w:val="20"/>
          <w:szCs w:val="20"/>
          <w:color w:val="auto"/>
        </w:rPr>
      </w:pPr>
    </w:p>
    <w:p>
      <w:pPr>
        <w:ind w:right="300" w:firstLine="1296"/>
        <w:spacing w:after="0" w:line="263" w:lineRule="auto"/>
        <w:rPr>
          <w:sz w:val="20"/>
          <w:szCs w:val="20"/>
          <w:color w:val="auto"/>
        </w:rPr>
      </w:pPr>
      <w:r>
        <w:rPr>
          <w:rFonts w:ascii="Arial" w:cs="Arial" w:eastAsia="Arial" w:hAnsi="Arial"/>
          <w:sz w:val="18"/>
          <w:szCs w:val="18"/>
          <w:color w:val="auto"/>
        </w:rPr>
        <w:t>4.1.12. “</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$100.00 per share, subject to adjustment for stock splits, stock dividends, recapitalizations, reorganizations, reclassifications, combinations, reverse stock splits or other similar events relating to the Series F Convertible Preferred Stock after the Initial Issuance Date.</w:t>
      </w:r>
    </w:p>
    <w:p>
      <w:pPr>
        <w:spacing w:after="0" w:line="184"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4.1.13.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2"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4.1.14. “</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9" w:name="page210"/>
    <w:bookmarkEnd w:id="209"/>
    <w:p>
      <w:pPr>
        <w:ind w:right="60"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6"/>
          <w:szCs w:val="16"/>
          <w:u w:val="single" w:color="auto"/>
          <w:color w:val="auto"/>
        </w:rPr>
        <w:t>Additional Consideration</w:t>
      </w:r>
      <w:r>
        <w:rPr>
          <w:rFonts w:ascii="Arial" w:cs="Arial" w:eastAsia="Arial" w:hAnsi="Arial"/>
          <w:sz w:val="16"/>
          <w:szCs w:val="16"/>
          <w:color w:val="auto"/>
        </w:rPr>
        <w:t>”), the transaction agreement shall provide that (a) the portion of such consideration that is not Additional Consideration (such portion, the “</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 accordance with Section 3.1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 3.1 after taking into account the previous payment of the Initial Consideration as part of the same transaction. For the purposes of this Subsection 4.3, consideration placed into escrow or retained as holdback to be available for satisfaction of indemnification or similar obligations in connection with such Deemed Liquidation Event shall be deemed to be Additional Consideration.</w:t>
      </w:r>
    </w:p>
    <w:p>
      <w:pPr>
        <w:spacing w:after="0" w:line="166" w:lineRule="exact"/>
        <w:rPr>
          <w:sz w:val="20"/>
          <w:szCs w:val="20"/>
          <w:color w:val="auto"/>
        </w:rPr>
      </w:pPr>
    </w:p>
    <w:p>
      <w:pPr>
        <w:ind w:right="120" w:firstLine="251"/>
        <w:spacing w:after="0" w:line="290" w:lineRule="auto"/>
        <w:tabs>
          <w:tab w:leader="none" w:pos="423"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Holders of Series F Preferred Stock shall have no voting rights, except as required by law (including without limitation, the DGCL) and as expressly provided in this Certificate of Designation. Subject to Section 6.2.10, to the extent that under the DGCL holders of the Series F Preferred Stock are required to vote on a matter with holders of shares of Common Stock, voting together as one class, each share of Series F Preferred Stock shall entitle the holder thereof to cast that number of votes per share as is equal to the number of shares of Common Stock into which it is then convertible (subject to the ownership limitations specified in Section 6.2.10 hereof) using the record date for determining the stockholders of the Corporation eligible to vote on such matters as the date as of which the Series F Conversion Price is calculated. Holders of the shares of Series F Preferred Stock shall be entitled to written notice of all stockholder meetings or written consents (and copies of proxy materials and other information sent to stockholders) with respect to which they would be entitled by vote, which notice would be provided pursuant to the Corporation’s bylaws and the DGCL.</w:t>
      </w:r>
    </w:p>
    <w:p>
      <w:pPr>
        <w:spacing w:after="0" w:line="165" w:lineRule="exact"/>
        <w:rPr>
          <w:rFonts w:ascii="Arial" w:cs="Arial" w:eastAsia="Arial" w:hAnsi="Arial"/>
          <w:sz w:val="16"/>
          <w:szCs w:val="16"/>
          <w:color w:val="auto"/>
        </w:rPr>
      </w:pPr>
    </w:p>
    <w:p>
      <w:pPr>
        <w:ind w:left="640" w:hanging="308"/>
        <w:spacing w:after="0"/>
        <w:tabs>
          <w:tab w:leader="none" w:pos="64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i w:val="1"/>
          <w:iCs w:val="1"/>
          <w:color w:val="auto"/>
        </w:rPr>
        <w:t>.</w:t>
      </w:r>
      <w:r>
        <w:rPr>
          <w:rFonts w:ascii="Arial" w:cs="Arial" w:eastAsia="Arial" w:hAnsi="Arial"/>
          <w:sz w:val="18"/>
          <w:szCs w:val="18"/>
          <w:color w:val="auto"/>
        </w:rPr>
        <w:t xml:space="preserve"> Upon receipt of Shareholder Approval, the holders of the Series F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firstLine="972"/>
        <w:spacing w:after="0" w:line="272"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F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F Conversion Price (as defined below) in effect at the time of conversion (the result of such fraction, the “</w:t>
      </w:r>
      <w:r>
        <w:rPr>
          <w:rFonts w:ascii="Arial" w:cs="Arial" w:eastAsia="Arial" w:hAnsi="Arial"/>
          <w:sz w:val="17"/>
          <w:szCs w:val="17"/>
          <w:u w:val="single" w:color="auto"/>
          <w:color w:val="auto"/>
        </w:rPr>
        <w:t>Series F 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F Conversion Price</w:t>
      </w:r>
      <w:r>
        <w:rPr>
          <w:rFonts w:ascii="Arial" w:cs="Arial" w:eastAsia="Arial" w:hAnsi="Arial"/>
          <w:sz w:val="17"/>
          <w:szCs w:val="17"/>
          <w:color w:val="auto"/>
        </w:rPr>
        <w:t>” shall initially be equal to $2.00. Such initial Series F Conversion Price, and the rate at which shares of Series F Convertible Preferred Stock may be converted into shares of Common Stock, shall be subject to adjustment as provided below. On the Initial Issuance Date, the Series F Conversion Rate shall be equal to 50 shares of Common Stock for each share of Series F Convertible Preferred Stock.</w:t>
      </w:r>
    </w:p>
    <w:p>
      <w:pPr>
        <w:spacing w:after="0" w:line="177" w:lineRule="exact"/>
        <w:rPr>
          <w:sz w:val="20"/>
          <w:szCs w:val="20"/>
          <w:color w:val="auto"/>
        </w:rPr>
      </w:pPr>
    </w:p>
    <w:p>
      <w:pPr>
        <w:jc w:val="both"/>
        <w:ind w:right="60" w:firstLine="972"/>
        <w:spacing w:after="0" w:line="263"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F Convertible Preferred Stock.</w:t>
      </w:r>
    </w:p>
    <w:p>
      <w:pPr>
        <w:spacing w:after="0" w:line="184"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Series F Convertible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F Convertible Preferred Stock the Holder is at the time converting into Common Stock and the aggregate number of shares of Common Stock issuable upon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0" w:name="page211"/>
    <w:bookmarkEnd w:id="210"/>
    <w:p>
      <w:pPr>
        <w:ind w:left="3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F Convertible Preferred Stock shall be conducted in the following manner:</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Conversion Notice</w:t>
      </w:r>
      <w:r>
        <w:rPr>
          <w:rFonts w:ascii="Arial" w:cs="Arial" w:eastAsia="Arial" w:hAnsi="Arial"/>
          <w:sz w:val="16"/>
          <w:szCs w:val="16"/>
          <w:color w:val="auto"/>
        </w:rPr>
        <w:t xml:space="preserve">. The Holder of record of shares of Series F Convertible Preferred Stock being converted shall (A) transmit by email (or otherwise deliver) a copy of a properly completed notice of conversion executed by the registered Holder of the Series F Convertible Preferred Stock subject to such conversion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 (B) if required by Section 6.2.3, surrender to a common carrier for delivery to the Corporation as soon as practicable following such date the original certificates, if any, representing the Series F Convertible Preferred Stock being converted (or compliance with the procedures set forth in Section 10) (the “</w:t>
      </w:r>
      <w:r>
        <w:rPr>
          <w:rFonts w:ascii="Arial" w:cs="Arial" w:eastAsia="Arial" w:hAnsi="Arial"/>
          <w:sz w:val="16"/>
          <w:szCs w:val="16"/>
          <w:u w:val="single" w:color="auto"/>
          <w:color w:val="auto"/>
        </w:rPr>
        <w:t>Preferred Stock Certificates</w:t>
      </w:r>
      <w:r>
        <w:rPr>
          <w:rFonts w:ascii="Arial" w:cs="Arial" w:eastAsia="Arial" w:hAnsi="Arial"/>
          <w:sz w:val="16"/>
          <w:szCs w:val="16"/>
          <w:color w:val="auto"/>
        </w:rPr>
        <w:t>”).</w:t>
      </w:r>
    </w:p>
    <w:p>
      <w:pPr>
        <w:spacing w:after="0" w:line="166" w:lineRule="exact"/>
        <w:rPr>
          <w:sz w:val="20"/>
          <w:szCs w:val="20"/>
          <w:color w:val="auto"/>
        </w:rPr>
      </w:pPr>
    </w:p>
    <w:p>
      <w:pPr>
        <w:ind w:right="320" w:firstLine="648"/>
        <w:spacing w:after="0" w:line="287"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email, a confirmation of receipt of such Conversion Notice to such Holder and the Transfer Agent, if applicable, which confirmation shall constitute an instruction to the Transfer Agent to process such Conversion Notice in accordance</w:t>
      </w:r>
    </w:p>
    <w:p>
      <w:pPr>
        <w:spacing w:after="0" w:line="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with the terms herein and (B) on or before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F Convertible Preferred Stock represented by the Preferred Stock Certificate(s) submitted for conversion is greater than the number of shares of Series F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F Convertible Preferred Stock not converted or it shall direct the Transfer Agent to update the Holder’s account to reflect the number of shares of Series F Convertible Preferred Stock not converted.</w:t>
      </w:r>
    </w:p>
    <w:p>
      <w:pPr>
        <w:spacing w:after="0" w:line="1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F Convertible Preferred Stock in accordance with the terms hereof, the Holder thereof shall not be required to physically surrender the Preferred Stock Certificate, if any, unless (A) the full or remaining number of shares of Series F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F Convertible Preferred Stock upon physical surrender of any Series F Convertible Preferred Stock. The Holder and the Corporation shall maintain records showing the number of shares of Series F Convertible Preferred Stock so converted and the dates of such conversions or shall use such other method, reasonably satisfactory to the Holder and the Corporation, so as not to require physical surrender of the certificate representing the Series F Convertible Preferred Stock upon each such conversion. In the event of any dispute or discrepancy, such records of the Corporation establishing the number of shares of Series F Convertible Preferred Stock to which the record holder is entitled shall be controlling and determinative in the absence of manifest error. Notwithstanding the foregoing, if Series F Convertible Preferred Stock represented by a certificate are converted as aforesaid, a Holder may not transfer the certificate representing the Series F Convertible Preferred Stock unless such Holder first physically surrenders the certificate representing the Series F Convertible Preferred Stock to the Corporation, whereupon the Corporation will forthwith issue and deliver upon the order of such Holder a new certificate of like tenor, registered as such Holder may request, representing in the aggregate the remaining number of shares of Series F Convertible Preferred Stock represented by such certificate. A Holder and any assignee, by acceptance of a certificate, acknowledge and agree that, by reason of the provisions of this paragraph, following conversion of any Series F Convertible Preferred Stock, the number of shares of Series F Convertible Preferred Stock represented by such certificate may be less than the number of shares of Series F Convertible Preferred Stock stated on the face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right="140" w:firstLine="648"/>
        <w:spacing w:after="0" w:line="269"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F Convertible Preferred Stock are outstanding, reserve and keep available out of its authorized and unissued Common Stock, solely for the purpose of effecting the conversion of the Series F Convertible Preferred Stock according to the terms hereof, such number of shares of Common Stock as shall from time to time be sufficient to effect the conversion of all of the Series F Convertible Preferred Stock then outstanding; and if at any time the number of authorized but unissued shares of Common Stock shall not be sufficient to effect the conversion of all then outstanding shares of the Series F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Charter. Before taking any action which would cause an adjustment reducing the Series F Conversion Price below the then par value of the shares of Common Stock issuable upon conversion of the Series F Convertible Preferred Stock, the Corporation will take any corporate action which may, in the opinion of its counsel, be necessary in order that the Corporation may validly and legally issue fully paid and non-assessable shares of Common Stock at such adjusted Series F Convertible Conversion Price.</w:t>
      </w:r>
    </w:p>
    <w:p>
      <w:pPr>
        <w:spacing w:after="0" w:line="18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6.2.5.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Series F Conversion Rate, the Corporation shall issue to 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F Conversion Rate within two (2) Business Days of such disputed determination or arithmetic calculation being transmitted to the Holder, then the Corporation shall within one (1) Business Day submit via email the disputed arithmetic calculation of the Series F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6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F Convertible Preferred Stock shall be treated for all purposes as the record holder or holders of such shares of Common Stock on the date of conversion.</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6.2.7.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F Convertible Preferred Stock which shall have been surrendered for conversion as herein 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F Convertible Preferred Stock so converted shall be retired and canceled and shall not be reissued, and the Corporation may from time to time take such appropriate action as may be necessary to reduce the authorized Series F Convertible Preferred Stock accordingly.</w:t>
      </w:r>
    </w:p>
    <w:p>
      <w:pPr>
        <w:spacing w:after="0" w:line="19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6.2.8. </w:t>
      </w: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if any, for shares of the Common Stock on conversion of this Series F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F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2" w:name="page213"/>
    <w:bookmarkEnd w:id="212"/>
    <w:p>
      <w:pPr>
        <w:ind w:left="660"/>
        <w:spacing w:after="0"/>
        <w:rPr>
          <w:sz w:val="20"/>
          <w:szCs w:val="20"/>
          <w:color w:val="auto"/>
        </w:rPr>
      </w:pPr>
      <w:r>
        <w:rPr>
          <w:rFonts w:ascii="Arial" w:cs="Arial" w:eastAsia="Arial" w:hAnsi="Arial"/>
          <w:sz w:val="16"/>
          <w:szCs w:val="16"/>
          <w:color w:val="auto"/>
        </w:rPr>
        <w:t xml:space="preserve">6.2.9. </w:t>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two (2) Trading Days after the Corporation’s receipt of the copy of a Conversion Notice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Share Delivery Date</w:t>
      </w:r>
      <w:r>
        <w:rPr>
          <w:rFonts w:ascii="Arial" w:cs="Arial" w:eastAsia="Arial" w:hAnsi="Arial"/>
          <w:sz w:val="16"/>
          <w:szCs w:val="16"/>
          <w:color w:val="auto"/>
        </w:rPr>
        <w:t>”), the Corporation shall fail to credit a Holder's balance account with DTC or issue and deliver a certificate to such Holder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to which such Holder is entitled upon such Holder's conversion of Series F Convertible Preferred Stock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Failure</w:t>
      </w:r>
      <w:r>
        <w:rPr>
          <w:rFonts w:ascii="Arial" w:cs="Arial" w:eastAsia="Arial" w:hAnsi="Arial"/>
          <w:sz w:val="16"/>
          <w:szCs w:val="16"/>
          <w:color w:val="auto"/>
        </w:rPr>
        <w:t>"), then (X) the Company shall pay in cash to the Holder on each day after the Share Delivery Date and during such Conversion Failure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amount equal to 1.0% of the product of (A) the number of shares of Common Stock not issued to the Holder on or prior to the Share Delivery Date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which the Holder is entitled, and (B) the higher of (i) the then in effect Series F Conversion Price or (ii) the closing price of the Common Stock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applicable Conversion Notice, and (Y) the Holder, upon written notice to the Company, may void its Conversion Notice with respect 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 or have returned, as the case may be, any portion of the shares of Series F Preferred Stock that have not been converted pursuant to such Conversion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that the voiding of a Conversion Notice shall not affect the Company’s obligations to make any payments which have accrued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such notice pursuant to this Section 6.2.9 or otherwise. In addition, if on or after the Share Delivery Date the Holder purchases (in an open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 or otherwise) shares of Common Stock to deliver in satisfaction of a sale by the Holder of the shares of Common Stock issuable upon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that the Holder anticipated receiving from the Corporation (a "</w:t>
      </w:r>
      <w:r>
        <w:rPr>
          <w:rFonts w:ascii="Arial" w:cs="Arial" w:eastAsia="Arial" w:hAnsi="Arial"/>
          <w:sz w:val="17"/>
          <w:szCs w:val="17"/>
          <w:u w:val="single" w:color="auto"/>
          <w:color w:val="auto"/>
        </w:rPr>
        <w:t>Buy-In</w:t>
      </w:r>
      <w:r>
        <w:rPr>
          <w:rFonts w:ascii="Arial" w:cs="Arial" w:eastAsia="Arial" w:hAnsi="Arial"/>
          <w:sz w:val="17"/>
          <w:szCs w:val="17"/>
          <w:color w:val="auto"/>
        </w:rPr>
        <w:t>"), then, in addition to all other remedies available to the Holder,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shall, within two (2) Trading Days after the Holder's request pay cash to the Holder in an amount equal to the Holder's total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of any date, the last closing price for such security on the principal market on which such security is traded, as reported by Bloomberg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L.P., or if the foregoing does not apply, the last closing price of such security in the over-the-counter market on the electronic bulletin board for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security as reported by Bloomberg L.P., or, if no closing price is reported for such security by Bloomberg L.P., the average of the bid prices, or the ask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prices, respectively, of any market makers for such security as reported in the “pink sheets” by OTC Markets Group Inc. (formerly Pink Sheets LLC).</w:t>
      </w:r>
    </w:p>
    <w:p>
      <w:pPr>
        <w:spacing w:after="0" w:line="22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6.2.10. Notwithstanding anything to the contrary contained in this Certificate of Designation, the shares of Series F Preferred Stock held by a Holder shall not be convertible by such Holder, and the Corporation shall not effect any conversion of any shares of Series F Preferred Stock held by such Holder, to the extent (but only to the extent) that such Holder or any of its affiliates would beneficially own in excess of 4.99%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Percentage</w:t>
      </w:r>
      <w:r>
        <w:rPr>
          <w:rFonts w:ascii="Arial" w:cs="Arial" w:eastAsia="Arial" w:hAnsi="Arial"/>
          <w:sz w:val="16"/>
          <w:szCs w:val="16"/>
          <w:color w:val="auto"/>
        </w:rPr>
        <w:t>”) of the Common Stock. To the extent the above limitation applies, the determination of whether the shares of Series F Preferred Stock held by such Holder shall be convertible (vis-à-vis other convertible, exercisable or exchangeable securities owned by such Holder or any of its affiliates) and of which such securities shall be convertible, exercisable or exchangeable (as among all such securities owned by such Holder and its affiliates) shall, subject to such Maximum Percentage limitation, be determined on the basis of the first submission to the Corporation for conversion, exercise or exchange (as the case may be). No prior inability of a Holder to convert shares of Series F Preferred Stock, or of the Corporation to issue shares of Common Stock to such Holder, pursuant to this Section 6.2.10. shall have any effect on the applicability of the provisions of this Section 6.2.10. with respect to any subsequent determination of convertibility or issuance (as the case may be). For purposes of this Section 6.2.10., beneficial ownership and all determinations and calculations (including, without limitation, with respect to calculations of percentage ownership) shall be determined in accordance with Section 13(d) of the Exchange Act and the rules and regulations promulgated thereunder. The provisions of this Section 6.2.10. shall be implemented in a manner otherwise than in strict conformity with the terms of this Section 6.2.10. to correct this Section 6.2.10.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Section 6.2.10. shall apply to a successor holder of shares of Series F Preferred Stock. The Corporation may not waive this Section 6.2.10. without the consent of holders of a majority of its Common Stock. For any reason at any time, upon the written or oral request of a Holder, the Corporation shall within one (1) Business Day confirm orally and in writing to such Holder the number of shares of Common Stock then outstanding, including by virtue of any prior conversion or exercise of convertible or exercisable securities into Common Stock, including, without limitation, pursuant to this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3" w:name="page214"/>
    <w:bookmarkEnd w:id="213"/>
    <w:p>
      <w:pPr>
        <w:ind w:left="3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i w:val="1"/>
          <w:iCs w:val="1"/>
          <w:color w:val="auto"/>
        </w:rPr>
        <w:t>.</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6.3.1. At any time or from time to time after the Initial Issuance Date of the Series F Convertible Preferred Stock, if (i) the closing price of the Common Stock listed on the Principal Market equals or exceeds $2.75 (subject to appropriate adjustments for stock splits, stock dividends, recapitalizations, reorganizations, reclassifications, combinations, reverse stock splits or other similar transactions after the Issuance Date) for not less than fifteen (15) consecutive Trading Days (the “</w:t>
      </w:r>
      <w:r>
        <w:rPr>
          <w:rFonts w:ascii="Arial" w:cs="Arial" w:eastAsia="Arial" w:hAnsi="Arial"/>
          <w:sz w:val="16"/>
          <w:szCs w:val="16"/>
          <w:u w:val="single" w:color="auto"/>
          <w:color w:val="auto"/>
        </w:rPr>
        <w:t>Corporation Conversion Right Measuring Period</w:t>
      </w:r>
      <w:r>
        <w:rPr>
          <w:rFonts w:ascii="Arial" w:cs="Arial" w:eastAsia="Arial" w:hAnsi="Arial"/>
          <w:sz w:val="16"/>
          <w:szCs w:val="16"/>
          <w:color w:val="auto"/>
        </w:rPr>
        <w:t>”); (ii) the daily average number of shares of Common Stock listed on the Principal Market traded during the Corporation Conversion Right Measuring Period equals or exceeds 100,000 (subject to appropriate adjustments for stock splits, stock dividends, recapitalizations, reorganizations, reclassifications, combinations, reverse stock splits or other similar transactions after the Issuance Date); and (iii) no Equity Conditions Failure (as defined below) has occurred (unless such Equity Conditions Failure has been waived) as of such date (clauses (i), (ii) and (iii), the “</w:t>
      </w:r>
      <w:r>
        <w:rPr>
          <w:rFonts w:ascii="Arial" w:cs="Arial" w:eastAsia="Arial" w:hAnsi="Arial"/>
          <w:sz w:val="16"/>
          <w:szCs w:val="16"/>
          <w:u w:val="single" w:color="auto"/>
          <w:color w:val="auto"/>
        </w:rPr>
        <w:t>Corporation Conversion Right Event</w:t>
      </w:r>
      <w:r>
        <w:rPr>
          <w:rFonts w:ascii="Arial" w:cs="Arial" w:eastAsia="Arial" w:hAnsi="Arial"/>
          <w:sz w:val="16"/>
          <w:szCs w:val="16"/>
          <w:color w:val="auto"/>
        </w:rPr>
        <w:t>”), the Corporation will have the right, but not the obligation, to convert each outstanding share of Series F Convertible Preferred Stock into a number of fully paid and nonassessable shares of Common Stock calculated based on the Series F Conversion Rate as of the Mandatory Conversion Date (as defined below) (a “</w:t>
      </w:r>
      <w:r>
        <w:rPr>
          <w:rFonts w:ascii="Arial" w:cs="Arial" w:eastAsia="Arial" w:hAnsi="Arial"/>
          <w:sz w:val="16"/>
          <w:szCs w:val="16"/>
          <w:u w:val="single" w:color="auto"/>
          <w:color w:val="auto"/>
        </w:rPr>
        <w:t>Mandatory Conversion</w:t>
      </w:r>
      <w:r>
        <w:rPr>
          <w:rFonts w:ascii="Arial" w:cs="Arial" w:eastAsia="Arial" w:hAnsi="Arial"/>
          <w:sz w:val="16"/>
          <w:szCs w:val="16"/>
          <w:color w:val="auto"/>
        </w:rPr>
        <w:t>”).</w:t>
      </w:r>
    </w:p>
    <w:p>
      <w:pPr>
        <w:spacing w:after="0" w:line="16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6.3.2. The Corporation may exercise its right to require conversion under Section 6.3.1 by delivering within not more than two (2) Trading Days following the end of such Corporation Conversion Right Measuring Period a written notice thereof by facsimile or electronic mail to the Holder (the “</w:t>
      </w:r>
      <w:r>
        <w:rPr>
          <w:rFonts w:ascii="Arial" w:cs="Arial" w:eastAsia="Arial" w:hAnsi="Arial"/>
          <w:sz w:val="18"/>
          <w:szCs w:val="18"/>
          <w:u w:val="single" w:color="auto"/>
          <w:color w:val="auto"/>
        </w:rPr>
        <w:t>Mandatory Conversion Notice</w:t>
      </w:r>
      <w:r>
        <w:rPr>
          <w:rFonts w:ascii="Arial" w:cs="Arial" w:eastAsia="Arial" w:hAnsi="Arial"/>
          <w:sz w:val="18"/>
          <w:szCs w:val="18"/>
          <w:color w:val="auto"/>
        </w:rPr>
        <w:t>” and the date that the Holder received such notice is referred to as the “</w:t>
      </w:r>
      <w:r>
        <w:rPr>
          <w:rFonts w:ascii="Arial" w:cs="Arial" w:eastAsia="Arial" w:hAnsi="Arial"/>
          <w:sz w:val="18"/>
          <w:szCs w:val="18"/>
          <w:u w:val="single" w:color="auto"/>
          <w:color w:val="auto"/>
        </w:rPr>
        <w:t>Mandatory Conversion Notice Date</w:t>
      </w:r>
      <w:r>
        <w:rPr>
          <w:rFonts w:ascii="Arial" w:cs="Arial" w:eastAsia="Arial" w:hAnsi="Arial"/>
          <w:sz w:val="18"/>
          <w:szCs w:val="18"/>
          <w:color w:val="auto"/>
        </w:rPr>
        <w:t>”), which conversion date shall be thirty (30) days following delivery of the Mandatory Conversion Notice (the “</w:t>
      </w:r>
      <w:r>
        <w:rPr>
          <w:rFonts w:ascii="Arial" w:cs="Arial" w:eastAsia="Arial" w:hAnsi="Arial"/>
          <w:sz w:val="18"/>
          <w:szCs w:val="18"/>
          <w:u w:val="single" w:color="auto"/>
          <w:color w:val="auto"/>
        </w:rPr>
        <w:t>Mandatory Conversion Date</w:t>
      </w:r>
      <w:r>
        <w:rPr>
          <w:rFonts w:ascii="Arial" w:cs="Arial" w:eastAsia="Arial" w:hAnsi="Arial"/>
          <w:sz w:val="18"/>
          <w:szCs w:val="18"/>
          <w:color w:val="auto"/>
        </w:rPr>
        <w:t>”). The Company covenants and agrees that it will honor all Conversion Notices tendered from the time of delivery of the Mandatory Conversion Notice until the Corporation Conversation Date has occurred. Unless otherwise indicated by the Holder, all shares of Series F Preferred Stock converted by the Holder after the Mandatory Conversion Notice Date shall reduce the number of shares of Series F Preferred Stock required to be converted on the Mandatory Conversion Date.</w:t>
      </w:r>
    </w:p>
    <w:p>
      <w:pPr>
        <w:spacing w:after="0" w:line="19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6.3.3. On the Mandatory Conversion Date, the outstanding shares of Series F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F Convertible Preferred Stock shall represent only the shares of Common Stock into which the shares of Series F Convertible Preferred Stock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Corporation shall not be obligated to issue the shares of Common Stock issuable upon such conversion of any shares of Series F</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Preferred Stock unless certificates evidencing such shares of Series F Convertible Preferred Stock,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F Convertible Preferred pursuant to this Section 6.3, the Holders of shares of Series F Convertible Preferred shall surrender the certificates representing such shares to the Corporation and the Corporation shall cause its Transfer Agent to deliver the shares of Common Stock issuable upon such conversion (in the same manner set forth in Section 6.2.2) to the Holder within two (2) Business Days of the Holder’s delivery of the applicable Series F Convertible Preferred certificates. Notwithstanding anything to the contrary contained herein, if the conversion of a holder’s shares of Series F Preferred Stock would result in the Holder exceeding the Maximum Percentage, the Holder shall not be entitled to receive any such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Further, notwithstanding anything to the contrary set forth in this Section 6.3.3, upon conversion of any shares of Series F Preferred Stock in accordance with the terms hereof, no holder thereof shall be required to physically surrender the certificate representing the shares of Series F Preferred Stock to the Company following conversion thereof unless (A) the full or remaining number of shares of Series F Preferred Stock represented by the certificate are being converted or (B) such Holder has provided the Company with prior written notice (which notice may be included in a Conversion Notice) requesting reissuance of shares of Series F Preferred Stock upon physical surrender of any shares of Series F Preferred Stock.</w:t>
      </w:r>
    </w:p>
    <w:p>
      <w:pPr>
        <w:spacing w:after="0" w:line="182" w:lineRule="exact"/>
        <w:rPr>
          <w:sz w:val="20"/>
          <w:szCs w:val="20"/>
          <w:color w:val="auto"/>
        </w:rPr>
      </w:pPr>
    </w:p>
    <w:p>
      <w:pPr>
        <w:ind w:left="640" w:hanging="308"/>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Adjustment of Series F Conversion Price.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Adjustment of Series F Conversion Price upon Subdivision or Combination of Common Stock</w:t>
      </w:r>
      <w:r>
        <w:rPr>
          <w:rFonts w:ascii="Arial" w:cs="Arial" w:eastAsia="Arial" w:hAnsi="Arial"/>
          <w:sz w:val="17"/>
          <w:szCs w:val="17"/>
          <w:color w:val="auto"/>
        </w:rPr>
        <w:t xml:space="preserve">. The Series F Conversion Price shall be subject to adjustment from time to time in accordance with this </w:t>
      </w:r>
      <w:r>
        <w:rPr>
          <w:rFonts w:ascii="Arial" w:cs="Arial" w:eastAsia="Arial" w:hAnsi="Arial"/>
          <w:sz w:val="17"/>
          <w:szCs w:val="17"/>
          <w:u w:val="single" w:color="auto"/>
          <w:color w:val="auto"/>
        </w:rPr>
        <w:t>Section 7</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Series F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F Conversion Price in effect immediately prior to such combination will be proportionately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firstLine="648"/>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Section 7, if there shall occur any reorganization, recapitalization, reclassification, consolidation or merger involving the Corporation in which the Common Stock (but not the Series F Convertible Preferred Stock) is converted into or exchanged for securities, cash or other property, then, following any such reorganization, recapitalization, reclassification, consolidation or merger, each share of Series F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F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7 with respect to the rights and interests thereafter of the holders of the Series F Convertible Preferred Stock, to the end that the provisions set forth in this Section 7 (and the provisions with respect to changes in and other adjustments of the Series F Conversion Price) shall thereafter be applicable, as nearly as reasonably may be, in relation to any securities or other property thereafter deliverable upon the conversion of the Series F Preferred Stock.</w:t>
      </w:r>
    </w:p>
    <w:p>
      <w:pPr>
        <w:spacing w:after="0" w:line="17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7.1.3. </w:t>
      </w:r>
      <w:r>
        <w:rPr>
          <w:rFonts w:ascii="Arial" w:cs="Arial" w:eastAsia="Arial" w:hAnsi="Arial"/>
          <w:sz w:val="17"/>
          <w:szCs w:val="17"/>
          <w:u w:val="single" w:color="auto"/>
          <w:color w:val="auto"/>
        </w:rPr>
        <w:t>Certain Anti-Dilution Adjustments</w:t>
      </w:r>
      <w:r>
        <w:rPr>
          <w:rFonts w:ascii="Arial" w:cs="Arial" w:eastAsia="Arial" w:hAnsi="Arial"/>
          <w:sz w:val="17"/>
          <w:szCs w:val="17"/>
          <w:color w:val="auto"/>
        </w:rPr>
        <w:t>. If the Corporation shall, at any time while any of the shares of Series F Preferred Stock are outstanding, issue any shares of its Common Stock, other than Exempt Issuances, without consideration or for a consideration per share less than the applicable Series F Conversion Price, then with respect to any such issuance, the Series F Conversion Price as in effect immediately prior to each such issuance shall forthwith be lowered to a price equal to the issuance, conversion, exchange or exercise price, as applicable, of any such securities so issued. Notwithstanding anything herein to the contrary, this Section 7.1.3. shall not apply until receipt of the Shareholder Approval.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7.2.1. Immediately upon any adjustment of the Series F Conversion Rate and Series F Conversion Price pursuant to Section 7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6.2.5.</w:t>
      </w:r>
    </w:p>
    <w:p>
      <w:pPr>
        <w:spacing w:after="0" w:line="18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7.2.2. 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4"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7.2.3. 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right="20" w:firstLine="332"/>
        <w:spacing w:after="0" w:line="271" w:lineRule="auto"/>
        <w:tabs>
          <w:tab w:leader="none" w:pos="63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Optional Repurchase</w:t>
      </w:r>
      <w:r>
        <w:rPr>
          <w:rFonts w:ascii="Arial" w:cs="Arial" w:eastAsia="Arial" w:hAnsi="Arial"/>
          <w:sz w:val="17"/>
          <w:szCs w:val="17"/>
          <w:color w:val="auto"/>
        </w:rPr>
        <w:t>. Commencing upon the date Shareholder Approval is obtained, the Corporation will have the option of repurchasing the shares of Series F Preferred Stock, in whole or in part, by paying to the Holder a sum of money in cash equal to (a) the number of shares of Series F Preferred Stock then held by such Holder multiplied by the aggregate Stated Value of such shares of Series F Preferred Stock plus (b) any other amounts due to the Holder pursuant to the terms of this Certificate of Designation (the “</w:t>
      </w:r>
      <w:r>
        <w:rPr>
          <w:rFonts w:ascii="Arial" w:cs="Arial" w:eastAsia="Arial" w:hAnsi="Arial"/>
          <w:sz w:val="17"/>
          <w:szCs w:val="17"/>
          <w:u w:val="single" w:color="auto"/>
          <w:color w:val="auto"/>
        </w:rPr>
        <w:t>Repurchase Amount</w:t>
      </w:r>
      <w:r>
        <w:rPr>
          <w:rFonts w:ascii="Arial" w:cs="Arial" w:eastAsia="Arial" w:hAnsi="Arial"/>
          <w:sz w:val="17"/>
          <w:szCs w:val="17"/>
          <w:color w:val="auto"/>
        </w:rPr>
        <w:t>”). The Corporation’s election to exercise its right to repurchase shares of Series F Preferred Stock must be by notice in writing (“</w:t>
      </w:r>
      <w:r>
        <w:rPr>
          <w:rFonts w:ascii="Arial" w:cs="Arial" w:eastAsia="Arial" w:hAnsi="Arial"/>
          <w:sz w:val="17"/>
          <w:szCs w:val="17"/>
          <w:u w:val="single" w:color="auto"/>
          <w:color w:val="auto"/>
        </w:rPr>
        <w:t>Repurchase Notice</w:t>
      </w:r>
      <w:r>
        <w:rPr>
          <w:rFonts w:ascii="Arial" w:cs="Arial" w:eastAsia="Arial" w:hAnsi="Arial"/>
          <w:sz w:val="17"/>
          <w:szCs w:val="17"/>
          <w:color w:val="auto"/>
        </w:rPr>
        <w:t>”). The Repurchase Notice shall specify the date for such optional repurchase (the “</w:t>
      </w:r>
      <w:r>
        <w:rPr>
          <w:rFonts w:ascii="Arial" w:cs="Arial" w:eastAsia="Arial" w:hAnsi="Arial"/>
          <w:sz w:val="17"/>
          <w:szCs w:val="17"/>
          <w:u w:val="single" w:color="auto"/>
          <w:color w:val="auto"/>
        </w:rPr>
        <w:t>Repurchase Payment Date</w:t>
      </w:r>
      <w:r>
        <w:rPr>
          <w:rFonts w:ascii="Arial" w:cs="Arial" w:eastAsia="Arial" w:hAnsi="Arial"/>
          <w:sz w:val="17"/>
          <w:szCs w:val="17"/>
          <w:color w:val="auto"/>
        </w:rPr>
        <w:t>”), which date shall be thirty (30) days after Holder receives the Repurchase Notice. On the Repurchase Payment Date, the Repurchase Amount, less any cash portion of the Redemption Amount against which the Holder has permissibly exercised its conversion rights, shall be paid to the Holder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ind w:left="-332" w:right="320" w:firstLine="332"/>
        <w:spacing w:after="0" w:line="277" w:lineRule="auto"/>
        <w:tabs>
          <w:tab w:leader="none" w:pos="30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F Convertible Preferred Stock shall be converted pursuant to Section 6 hereof, the shares so converted shall be canceled and shall not be issuable by the Corporation.</w:t>
      </w:r>
    </w:p>
    <w:p>
      <w:pPr>
        <w:spacing w:after="0" w:line="170" w:lineRule="exact"/>
        <w:rPr>
          <w:rFonts w:ascii="Arial" w:cs="Arial" w:eastAsia="Arial" w:hAnsi="Arial"/>
          <w:sz w:val="18"/>
          <w:szCs w:val="18"/>
          <w:color w:val="auto"/>
        </w:rPr>
      </w:pPr>
    </w:p>
    <w:p>
      <w:pPr>
        <w:ind w:left="-332" w:right="20" w:firstLine="332"/>
        <w:spacing w:after="0" w:line="254" w:lineRule="auto"/>
        <w:tabs>
          <w:tab w:leader="none" w:pos="30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F Convertible Preferred Stock Certificates representing the Series F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F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F Convertible Preferred Stock into Common Stock.</w:t>
      </w:r>
    </w:p>
    <w:p>
      <w:pPr>
        <w:spacing w:after="0" w:line="194" w:lineRule="exact"/>
        <w:rPr>
          <w:rFonts w:ascii="Arial" w:cs="Arial" w:eastAsia="Arial" w:hAnsi="Arial"/>
          <w:sz w:val="18"/>
          <w:szCs w:val="18"/>
          <w:color w:val="auto"/>
        </w:rPr>
      </w:pPr>
    </w:p>
    <w:p>
      <w:pPr>
        <w:ind w:left="-332" w:firstLine="332"/>
        <w:spacing w:after="0" w:line="287" w:lineRule="auto"/>
        <w:tabs>
          <w:tab w:leader="none" w:pos="3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F Convertible Preferred Stock’s right to pursue actual damages for any failure by the Corporation to comply with the terms of this Certificate of Designation. The Corporation covenants to each holder of Series F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F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F Convertible Preferred Stock and that the remedy at law for any such breach may be inadequate. The Corporation therefore agrees that, in the event of any such breach or threatened breach, the holders of Series F Convertible Preferred Stock shall be entitled, in addition to all other available remedies, to an injunction restraining any breach, without the necessity of showing economic loss and without any bond or other security being required.</w:t>
      </w:r>
    </w:p>
    <w:p>
      <w:pPr>
        <w:spacing w:after="0" w:line="167" w:lineRule="exact"/>
        <w:rPr>
          <w:rFonts w:ascii="Arial" w:cs="Arial" w:eastAsia="Arial" w:hAnsi="Arial"/>
          <w:sz w:val="16"/>
          <w:szCs w:val="16"/>
          <w:color w:val="auto"/>
        </w:rPr>
      </w:pPr>
    </w:p>
    <w:p>
      <w:pPr>
        <w:ind w:left="-332" w:firstLine="332"/>
        <w:spacing w:after="0" w:line="263" w:lineRule="auto"/>
        <w:tabs>
          <w:tab w:leader="none" w:pos="30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F Convertible Preferred Stock maintained by the Corporation as set forth in Section 15.</w:t>
      </w:r>
    </w:p>
    <w:p>
      <w:pPr>
        <w:spacing w:after="0" w:line="183" w:lineRule="exact"/>
        <w:rPr>
          <w:rFonts w:ascii="Arial" w:cs="Arial" w:eastAsia="Arial" w:hAnsi="Arial"/>
          <w:sz w:val="18"/>
          <w:szCs w:val="18"/>
          <w:color w:val="auto"/>
        </w:rPr>
      </w:pPr>
    </w:p>
    <w:p>
      <w:pPr>
        <w:ind w:left="-332" w:right="160" w:firstLine="332"/>
        <w:spacing w:after="0" w:line="263" w:lineRule="auto"/>
        <w:tabs>
          <w:tab w:leader="none" w:pos="30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F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3" w:lineRule="exact"/>
        <w:rPr>
          <w:rFonts w:ascii="Arial" w:cs="Arial" w:eastAsia="Arial" w:hAnsi="Arial"/>
          <w:sz w:val="18"/>
          <w:szCs w:val="18"/>
          <w:color w:val="auto"/>
        </w:rPr>
      </w:pPr>
    </w:p>
    <w:p>
      <w:pPr>
        <w:ind w:left="-332" w:right="740" w:firstLine="332"/>
        <w:spacing w:after="0" w:line="263" w:lineRule="auto"/>
        <w:tabs>
          <w:tab w:leader="none" w:pos="30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Transfer of Series F Convertible Preferred Stock</w:t>
      </w:r>
      <w:r>
        <w:rPr>
          <w:rFonts w:ascii="Arial" w:cs="Arial" w:eastAsia="Arial" w:hAnsi="Arial"/>
          <w:sz w:val="18"/>
          <w:szCs w:val="18"/>
          <w:color w:val="auto"/>
        </w:rPr>
        <w:t xml:space="preserve">. A Holder may assign some or all of the Series F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3" w:lineRule="exact"/>
        <w:rPr>
          <w:rFonts w:ascii="Arial" w:cs="Arial" w:eastAsia="Arial" w:hAnsi="Arial"/>
          <w:sz w:val="18"/>
          <w:szCs w:val="18"/>
          <w:color w:val="auto"/>
        </w:rPr>
      </w:pPr>
    </w:p>
    <w:p>
      <w:pPr>
        <w:ind w:left="-332" w:right="80" w:firstLine="332"/>
        <w:spacing w:after="0" w:line="255" w:lineRule="auto"/>
        <w:tabs>
          <w:tab w:leader="none" w:pos="30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Series F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F Convertible Preferred Stock, in which the Corporation shall record the name, address and email address of the persons in whose name the Series F Convertible Preferred Stock have been issued, as well as the name, address and email address of each transferee. The Corporation may treat the person in whose name any Series F Convertible Preferred Stock is registered on the register as the owner and holder thereof for all purposes, notwithstanding any notice to the contrary, but in all events recognizing any properly made transfers.</w:t>
      </w:r>
    </w:p>
    <w:p>
      <w:pPr>
        <w:spacing w:after="0" w:line="192" w:lineRule="exact"/>
        <w:rPr>
          <w:rFonts w:ascii="Arial" w:cs="Arial" w:eastAsia="Arial" w:hAnsi="Arial"/>
          <w:sz w:val="18"/>
          <w:szCs w:val="18"/>
          <w:color w:val="auto"/>
        </w:rPr>
      </w:pPr>
    </w:p>
    <w:p>
      <w:pPr>
        <w:ind w:left="-332" w:firstLine="332"/>
        <w:spacing w:after="0" w:line="296" w:lineRule="auto"/>
        <w:tabs>
          <w:tab w:leader="none" w:pos="307"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F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403225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216" w:name="page217"/>
    <w:bookmarkEnd w:id="216"/>
    <w:p>
      <w:pPr>
        <w:ind w:left="-100" w:firstLine="332"/>
        <w:spacing w:after="0" w:line="342" w:lineRule="auto"/>
        <w:tabs>
          <w:tab w:leader="none" w:pos="539"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In addition to the above provisions with respect to Series F Convertible Preferred Stock, such Series F Convertible Preferred Stock shall be subject to and be entitled to the benefit of the provisions set forth in the Charter with respect to preferred stock of the Corporation generally.</w:t>
      </w:r>
    </w:p>
    <w:p>
      <w:pPr>
        <w:spacing w:after="0" w:line="123" w:lineRule="exact"/>
        <w:rPr>
          <w:rFonts w:ascii="Arial" w:cs="Arial" w:eastAsia="Arial" w:hAnsi="Arial"/>
          <w:sz w:val="16"/>
          <w:szCs w:val="16"/>
          <w:color w:val="auto"/>
        </w:rPr>
      </w:pPr>
    </w:p>
    <w:p>
      <w:pPr>
        <w:jc w:val="both"/>
        <w:ind w:left="-100" w:right="100" w:firstLine="332"/>
        <w:spacing w:after="0" w:line="263" w:lineRule="auto"/>
        <w:tabs>
          <w:tab w:leader="none" w:pos="539"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F Convertible Preferred Stock set forth herein may be waived or amended on behalf of all holders of Series F Convertible Preferred Stock by the affirmative written consent or vote of the holders of at least 50 % of the shares of Series F Convertible Preferred Stock then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443230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908" w:right="439" w:bottom="1440" w:gutter="0" w:footer="0" w:header="0"/>
        </w:sectPr>
      </w:pPr>
    </w:p>
    <w:bookmarkStart w:id="217" w:name="page218"/>
    <w:bookmarkEnd w:id="217"/>
    <w:p>
      <w:pPr>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8th day of July, 2019.</w:t>
      </w:r>
    </w:p>
    <w:p>
      <w:pPr>
        <w:sectPr>
          <w:pgSz w:w="11900" w:h="16838" w:orient="portrait"/>
          <w:cols w:equalWidth="0" w:num="1">
            <w:col w:w="10400"/>
          </w:cols>
          <w:pgMar w:left="980" w:top="908" w:right="519" w:bottom="1440" w:gutter="0" w:footer="0" w:header="0"/>
        </w:sectPr>
      </w:pP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4980"/>
        <w:spacing w:after="0"/>
        <w:tabs>
          <w:tab w:leader="none" w:pos="5400" w:val="left"/>
        </w:tabs>
        <w:rPr>
          <w:sz w:val="20"/>
          <w:szCs w:val="20"/>
          <w:color w:val="auto"/>
        </w:rPr>
      </w:pPr>
      <w:r>
        <w:rPr>
          <w:rFonts w:ascii="Arial" w:cs="Arial" w:eastAsia="Arial" w:hAnsi="Arial"/>
          <w:sz w:val="16"/>
          <w:szCs w:val="16"/>
          <w:color w:val="auto"/>
        </w:rPr>
        <w:t>By:</w:t>
        <w:tab/>
        <w:t>___________________________________</w:t>
      </w:r>
    </w:p>
    <w:p>
      <w:pPr>
        <w:spacing w:after="0" w:line="4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00"/>
          </w:cols>
          <w:pgMar w:left="980" w:top="908" w:right="51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elects to convert the number of shares of Series F Convertible Preferred Stock, par value $0.01 per share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Convertible Preferred Stock</w:t>
      </w:r>
      <w:r>
        <w:rPr>
          <w:rFonts w:ascii="Arial" w:cs="Arial" w:eastAsia="Arial" w:hAnsi="Arial"/>
          <w:sz w:val="16"/>
          <w:szCs w:val="16"/>
          <w:color w:val="auto"/>
        </w:rPr>
        <w:t>”), of XpresSpa Group,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14605</wp:posOffset>
            </wp:positionV>
            <wp:extent cx="56661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7">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F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1800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F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29578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9">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14605</wp:posOffset>
            </wp:positionV>
            <wp:extent cx="51606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0">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14605</wp:posOffset>
            </wp:positionV>
            <wp:extent cx="467169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F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14605</wp:posOffset>
            </wp:positionV>
            <wp:extent cx="537464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2">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3116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3">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21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Please issue the Common Stock into which the Series F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160655</wp:posOffset>
            </wp:positionV>
            <wp:extent cx="331724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4">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14605</wp:posOffset>
            </wp:positionV>
            <wp:extent cx="33172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14605</wp:posOffset>
            </wp:positionV>
            <wp:extent cx="33089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14605</wp:posOffset>
            </wp:positionV>
            <wp:extent cx="30346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14605</wp:posOffset>
            </wp:positionV>
            <wp:extent cx="31629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14605</wp:posOffset>
            </wp:positionV>
            <wp:extent cx="31629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3437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0">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339471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1">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14605</wp:posOffset>
            </wp:positionV>
            <wp:extent cx="42176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2">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8061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3">
                      <a:extLst>
                        <a:ext uri="{28A0092B-C50C-407E-A947-70E740481C1C}"/>
                      </a:extLst>
                    </a:blip>
                    <a:srcRect/>
                    <a:stretch>
                      <a:fillRect/>
                    </a:stretch>
                  </pic:blipFill>
                  <pic:spPr bwMode="auto">
                    <a:xfrm>
                      <a:off x="0" y="0"/>
                      <a:ext cx="38061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CERTIFICATE OF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 OF XPRESSPA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GROUP, INC.</w:t>
      </w:r>
    </w:p>
    <w:p>
      <w:pPr>
        <w:spacing w:after="0" w:line="21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left="360" w:firstLine="368"/>
        <w:spacing w:after="0" w:line="257" w:lineRule="auto"/>
        <w:tabs>
          <w:tab w:leader="none" w:pos="9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7" w:lineRule="exact"/>
        <w:rPr>
          <w:rFonts w:ascii="Arial" w:cs="Arial" w:eastAsia="Arial" w:hAnsi="Arial"/>
          <w:sz w:val="18"/>
          <w:szCs w:val="18"/>
          <w:color w:val="auto"/>
        </w:rPr>
      </w:pPr>
    </w:p>
    <w:p>
      <w:pPr>
        <w:jc w:val="both"/>
        <w:ind w:left="360" w:firstLine="368"/>
        <w:spacing w:after="0" w:line="257" w:lineRule="auto"/>
        <w:tabs>
          <w:tab w:leader="none" w:pos="9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8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170"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“The total number of shares the Corporation shall have the authority to issue is one hundred sixty million (160,000,000) shares, one hundred fifty million (150,000,000) shares of which shall be Common Stock and ten million (10,000,000) shares of which shall be Preferred Stock.”</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Certificate of Amendment shall be effective on October 3, 2019 at 5:00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ind w:firstLine="360"/>
        <w:spacing w:after="0" w:line="214"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Chief Executive Officer on this 3</w:t>
      </w:r>
      <w:r>
        <w:rPr>
          <w:rFonts w:ascii="Arial" w:cs="Arial" w:eastAsia="Arial" w:hAnsi="Arial"/>
          <w:sz w:val="29"/>
          <w:szCs w:val="29"/>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2019.</w:t>
      </w:r>
    </w:p>
    <w:p>
      <w:pPr>
        <w:spacing w:after="0" w:line="200" w:lineRule="exact"/>
        <w:rPr>
          <w:sz w:val="20"/>
          <w:szCs w:val="20"/>
          <w:color w:val="auto"/>
        </w:rPr>
      </w:pPr>
    </w:p>
    <w:p>
      <w:pPr>
        <w:spacing w:after="0" w:line="215"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Douglas Satzman</w:t>
      </w:r>
      <w:r>
        <w:rPr>
          <w:rFonts w:ascii="Arial" w:cs="Arial" w:eastAsia="Arial" w:hAnsi="Arial"/>
          <w:sz w:val="18"/>
          <w:szCs w:val="18"/>
          <w:color w:val="auto"/>
        </w:rPr>
        <w:t>_____________</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4086225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12" w:right="37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t>Exhibit 4.22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is a summary of material characteristics of the capital stock of XpresSpa Group, Inc. (“we,” “us,” “our,” “XpresSpa,” or the “Company”) as set forth in our amended and restated certificate of incorporation and amended and restated bylaws, each as amended to date, our outstanding warrants, and certain provisions of Delaware law. The following description does not purport to be complete and is subject to and qualified in its entirety by, and should be read in conjuncture with, our amended and restated certificate of incorporation and amended and restated bylaws, each of which are filed as exhibits to the Annual Report on Form 10-K to which this description is an exhibit, and to applicable provisions of Delaware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April 13, 2020, the following securities were outstanding:</w:t>
      </w:r>
    </w:p>
    <w:p>
      <w:pPr>
        <w:spacing w:after="0" w:line="225"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86,500,160 shares of common stock held by 115 stockholders of record;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2,406,239 shares of common stock issuable upon the conversion of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29,414,493 shares of common stock issuable upon the conversion of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27,009,331 warrants outstanding for the purchase of an aggregate of 27,009,331 shares of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137,892 shares of common stock issuable upon the exercise of stock options.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authorized to issue 150,000,000 shares of common stock, par value $0.01 per share. 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authorized to issue 10,000,000 shares of preferred stock, $0.01 par value per share. The powers, preferences, rights and restrictions of the preferred stock of each series will be fixed by the certificate of designation relating to that series.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April 13, 2020, we had:</w:t>
      </w:r>
    </w:p>
    <w:p>
      <w:pPr>
        <w:spacing w:after="0" w:line="225"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designated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with 987,988 shares outstanding;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designated 9,000 shares of our preferred stock as “Series F Convertible Preferred Stock” with 1,531 shares outstanding.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additional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18, 2016, our board of directors approved, and we entered into, a Section 382 Rights Agreement (the “Rights Agreement”) between the Company and American Stock Transfer &amp; Trust Company, LLC (the “Rights Agent”). The Rights Agreement provides for a dividend of one preferred stock purchase right (a “Right”) for each share of common stock outstanding on March 29, 2016 (the “Record Date”). Each Right entitles the holder to purchase one one-thousandth of a share of Series C Junior Participating Preferred Stock (the “Series C Preferred Stock”), for an initial purchase price of $9.50 (the “Purchase Price”), subject to adjustment as provided in the Rights Agreement. In connection with the adoption of the Rights Agreement, we filed with the Secretary of State of the State of Delaware a Certificate of Designation of Series C Junior Participating Preferred Stock (the “Series C Certificate of Designation”). Pursuant to the Series C Certificate of Designation, the Series C Preferred Stock issuable upon exercise of the Rights are designed so that each 1/1,000th of a share of Series C Preferred Stock is the economic and voting equivalent of one whole share of common stock. In addition, the Series C Preferred Stock has certain minimum dividend and liquidation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Convertible Preferred Stock</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12, 2018, we filed with the Secretary of State of the State of Delaware a Certificate of Designation of Preferences, Rights and Limitations (the “Series E Certificate of Designation”) of Series E Convertible Preferred Stock (the “Series E Preferred Stock”). Pursuant to the Series E Certificate of Designation, the holders of the Series E Preferred Stock are entitled to participate in any dividends and distributions paid to common stockholders on an as-converted basis. The Series E Preferred Stock votes on an as-converted basis. The Series E Preferred Stock is convertible at any time and from time to time without the payment of additional consideration and has a stated value of $3.10 per share of Series E Preferred Stock. In the event of any liquidation or dissolution of the Company, the Series E Preferred Stock ranks senior to any other class of preferred stock and to the Common Stock in the distribution of assets, to the extent legally available for distribution. Upon the occurrence of certain fundamental events, the holders of the Series E Preferred Stock will be able to require the Company to redeem the shares of Series E Preferred Stock at the greater of the liquidation preference and the amount per share as would have been payable had the shares of Series E Preferred Stock been converted into common stock.</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8, 2019, we filed a certificate of amendment to the Series E Certificate of Designation to (i) increase the number of authorized shares of Series E Preferred Stock to 2,397,060 and (ii) upon receipt of the approval of our shareholders, which was obtained on October 2, 2019, reduce the conversion price to $2.00. The conversion price was subsequently reduced to $0.27125 per share in connection with the triggering of anti-dilution price protection.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Convertible Preferred Stock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8, 2019, we filed with the Secretary of State of the State of Delaware a Certificate of Designation of Preferences, Rights and Limitations of Series F Convertible Preferred Stock (the “Series F Certificate of Designation”) establishing and designating the rights, powers and preferences of the Series F Convertible Preferred Stock (the “Series F Preferred Stock”). We designated 9,000 shares of Series F Preferred Stock. Pursuant to the Series F Certificate of Designation, the holders of the Series F Preferred Stock are entitled, among other things, to the right to participate in any dividends and distributions paid to common stockholders on an as-converted basis. The Series F Preferred Stock has no voting rights except as required by law. The Series F Preferred Stock contains certain anti-dilution price protection such that, following receipt of the approval of our shareholders, which was obtained on October 2, 2019, if at any time while the Series F Preferred Stock is outstanding, we issue any shares of Common Stock without consideration or for a consideration per share less than the conversion price then in effect for the Series F Preferred Stock, then the conversion price of the Series F Preferred Stock shall be lowered to a price equal to such issuance. The Series F Preferred Stock is convertible at any time and from time to time without the payment of additional consideration into shares of Common Stock at a conversion price initially equal to $2.00 per share, which was subsequently reduced to $0.175 per share in connection with the triggering of anti-dilution price protection, subject to certain adjustments and has a stated value of $100.00 per share of Series F Preferred Stock. In the event of any liquidation or dissolution of the Company, the Series F Preferred Stock will rank junior to our Series E Preferred Stock and any other class of preferred stock of senior rank to the Series F Preferred Stock, senior to any other class of preferred stock and to the Common Stock in the distribution of assets, to the extent legally available for distribution. Each share of Series F Preferred Stock is initially convertible into 50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issue warrants to purchase shares of our common stock, preferred stock and/or debt securities in one or more series together with other securities or separately. Below is a description of our currently outstanding warrants:</w:t>
      </w:r>
    </w:p>
    <w:p>
      <w:pPr>
        <w:spacing w:after="0" w:line="386" w:lineRule="exact"/>
        <w:rPr>
          <w:sz w:val="20"/>
          <w:szCs w:val="20"/>
          <w:color w:val="auto"/>
        </w:rPr>
      </w:pPr>
    </w:p>
    <w:p>
      <w:pPr>
        <w:jc w:val="both"/>
        <w:ind w:left="680" w:right="20" w:hanging="335"/>
        <w:spacing w:after="0" w:line="259" w:lineRule="auto"/>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May 15, 2018, we entered into a securities purchase agreement with certain purchasers, pursuant to which we agreed to issue Class A Warrants to purchase shares of common stock, at an exercise price that was subsequently reduced to $0.175 per share (the “Class A Warrants”). The Class A Warrants contain anti-dilution price protection. As of April 13, 2020, there were Class A Warrants to purchase 13,421,018 shares of common stock outstanding.</w:t>
      </w:r>
    </w:p>
    <w:p>
      <w:pPr>
        <w:spacing w:after="0" w:line="186" w:lineRule="exact"/>
        <w:rPr>
          <w:rFonts w:ascii="Arial" w:cs="Arial" w:eastAsia="Arial" w:hAnsi="Arial"/>
          <w:sz w:val="18"/>
          <w:szCs w:val="18"/>
          <w:color w:val="auto"/>
        </w:rPr>
      </w:pPr>
    </w:p>
    <w:p>
      <w:pPr>
        <w:jc w:val="both"/>
        <w:ind w:left="680" w:right="20" w:hanging="335"/>
        <w:spacing w:after="0" w:line="275" w:lineRule="auto"/>
        <w:tabs>
          <w:tab w:leader="none" w:pos="6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On July 8, 2019, we entered into a securities purchase agreement with Calm.com, Inc., pursuant to which we agreed to sell (i) an aggregate principal amount of $2,500,000 in 5.00% unsecured convertible Notes due 2022, which are convertible into shares of Series E Preferred Stock, which shares of Series E Preferred Stock are convertible into Common Stock and (ii) warrants to purchase 937,500 shares of the common stock at an exercise price that was subsequently reduced to $0.175 per share (the “Calm Warrants”). The Calm Warrants contain anti-dilution price protection. As of April 13, 2020, the Calm Warrants were exercisable for 10,714,286 shares of common stock.</w:t>
      </w:r>
    </w:p>
    <w:p>
      <w:pPr>
        <w:spacing w:after="0" w:line="176" w:lineRule="exact"/>
        <w:rPr>
          <w:rFonts w:ascii="Arial" w:cs="Arial" w:eastAsia="Arial" w:hAnsi="Arial"/>
          <w:sz w:val="17"/>
          <w:szCs w:val="17"/>
          <w:color w:val="auto"/>
        </w:rPr>
      </w:pPr>
    </w:p>
    <w:p>
      <w:pPr>
        <w:jc w:val="both"/>
        <w:ind w:left="680" w:right="20" w:hanging="335"/>
        <w:spacing w:after="0" w:line="259" w:lineRule="auto"/>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$0.175 per share. The December 2016 Warrants contain anti-dilution price protection. As of April 13, 2020, the December 2016 Warrants were exercisable for 1,428,573 shares of common stock.</w:t>
      </w:r>
    </w:p>
    <w:p>
      <w:pPr>
        <w:spacing w:after="0" w:line="186" w:lineRule="exact"/>
        <w:rPr>
          <w:rFonts w:ascii="Arial" w:cs="Arial" w:eastAsia="Arial" w:hAnsi="Arial"/>
          <w:sz w:val="18"/>
          <w:szCs w:val="18"/>
          <w:color w:val="auto"/>
        </w:rPr>
      </w:pPr>
    </w:p>
    <w:p>
      <w:pPr>
        <w:jc w:val="both"/>
        <w:ind w:left="700" w:hanging="328"/>
        <w:spacing w:after="0" w:line="296" w:lineRule="auto"/>
        <w:tabs>
          <w:tab w:leader="none" w:pos="7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On April 6, 2020, we entered into a Securities Purchase Agreement (the “Fourth Purchase Agreement”) with certain purchasers named therein, pursuant to which we issued and sold, in a registered direct offering, (i) 12,418,179 shares of the Company’s Common Stock at an offering price of $0.22 per share and (ii) an aggregate of 1,445,454 pre-funded warrants exercisable for shares of Common Stock (the “Fourth Pre-Funded Warrants”) at an offering price of $0.21 per Pre-Funded Warrant (the offering of the shares of Common Stock and the Pre-Funded Warrants, the “Fourth Offering”). As of April 13, 2020, the Fourth Pre-Funded Warrants were exercisable for 1,445,454 shares of common stock.</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contain customary provisions for adjustment in the event of stock splits, subdivision or combination, mergers, and similar events. The holders of the warrants have the right to exercise the warrants by means of a cashless exercise in certain circumstances.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Section 203 of the Delaware General Corporation Law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Subsidiaries of XpresSpa Group, Inc.</w:t>
            </w: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4"/>
                <w:szCs w:val="24"/>
                <w:color w:val="auto"/>
              </w:rPr>
            </w:pPr>
          </w:p>
        </w:tc>
        <w:tc>
          <w:tcPr>
            <w:tcW w:w="5380" w:type="dxa"/>
            <w:vAlign w:val="bottom"/>
          </w:tcPr>
          <w:p>
            <w:pPr>
              <w:ind w:left="156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gridSpan w:val="3"/>
          </w:tcPr>
          <w:p>
            <w:pPr>
              <w:spacing w:after="0"/>
              <w:rPr>
                <w:sz w:val="20"/>
                <w:szCs w:val="20"/>
                <w:color w:val="auto"/>
              </w:rPr>
            </w:pPr>
            <w:r>
              <w:rPr>
                <w:rFonts w:ascii="Arial" w:cs="Arial" w:eastAsia="Arial" w:hAnsi="Arial"/>
                <w:sz w:val="18"/>
                <w:szCs w:val="18"/>
                <w:color w:val="auto"/>
              </w:rPr>
              <w:t>I/P Engine, Inc.</w:t>
            </w:r>
          </w:p>
        </w:tc>
        <w:tc>
          <w:tcPr>
            <w:tcW w:w="1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Innovate/Protect,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International Development Group, Ltd.</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Iron Gate Security,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Quantum Stream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Spa Products Import &amp; Distribution Co.,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Spa Products Wholesaling,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Vringo Acquisition,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Vringo GmbH</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Vringo Infrastructure,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Vringo Labs,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Vringo Ltd.</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Vringo Mobile,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VRTUAL,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Amsterdam Airport B.V.</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at Term. 4 JFK,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Atlanta Terminal A,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Atlanta Terminal C,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Atlanta Terminal D&amp;E,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Austin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Charlotte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Chicago O'Hare,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Denver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DFW International,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DFW Kiosk,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DFW Terminal A,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Downtown NYC,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Europe B.V.</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Franchising,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Franchising USA,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Holdings,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Houston Hobby,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Houston Intercontinental Terminal A,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International Holdings,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JFK Terminal 1,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JFK Terminal 7,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JFK Terminal 8,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John Wayne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LaGuardia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Las Vegas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LAX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LAX Tom Bradley,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Miami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Middle East B.V.</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Middle East Limited</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Mobile Services,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MSP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Online Shopping,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Orlando International,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Orlando,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Philadelphia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9"/>
        </w:trPr>
        <w:tc>
          <w:tcPr>
            <w:tcW w:w="5740" w:type="dxa"/>
            <w:vAlign w:val="bottom"/>
            <w:gridSpan w:val="3"/>
          </w:tcPr>
          <w:p>
            <w:pPr>
              <w:spacing w:after="0"/>
              <w:rPr>
                <w:sz w:val="20"/>
                <w:szCs w:val="20"/>
                <w:color w:val="auto"/>
              </w:rPr>
            </w:pPr>
            <w:r>
              <w:rPr>
                <w:rFonts w:ascii="Arial" w:cs="Arial" w:eastAsia="Arial" w:hAnsi="Arial"/>
                <w:sz w:val="18"/>
                <w:szCs w:val="18"/>
                <w:color w:val="auto"/>
              </w:rPr>
              <w:t>XpresSpa Philadelphia Terminal B,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XpresSpa Phoenix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Pittsburgh A,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Raleigh-Durham Intl,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RDU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S.F. International,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Salt Lake City,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XpresSpa Washington Reagan,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color w:val="auto"/>
              </w:rPr>
              <w:t>XpresRecover Charlotte Airport,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285" w:gutter="0" w:footer="0" w:header="0"/>
        </w:sectPr>
      </w:pPr>
    </w:p>
    <w:bookmarkStart w:id="227" w:name="page228"/>
    <w:bookmarkEnd w:id="2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incorporation by reference in registration statements No. 333-225531, No. 333-232764 and No. 333-233419 on Form S-3 and registration statements No. 333-210257, No. 333-182853 and No. 333-181477 on Form S-8 of XpresSpa Group, Inc. of our report, which includes an explanatory paragraph relating to the Company’s ability to continue as a going concern, dated April 20, 2020, on our audits of the consolidated financial statements of XpresSpa Group, Inc. and subsidiaries as of December 31, 2019 and 2018, and for the years then ended, which report is included in the Annual Report on Form 10-K of XpresSpa Group, Inc. and subsidiaries for the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20,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840" w:hanging="184"/>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firstLine="656"/>
        <w:spacing w:after="0" w:line="308" w:lineRule="auto"/>
        <w:tabs>
          <w:tab w:leader="none" w:pos="84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sz w:val="20"/>
          <w:szCs w:val="20"/>
          <w:color w:val="auto"/>
        </w:rPr>
      </w:pPr>
    </w:p>
    <w:p>
      <w:pPr>
        <w:jc w:val="both"/>
        <w:ind w:firstLine="656"/>
        <w:spacing w:after="0" w:line="263" w:lineRule="auto"/>
        <w:tabs>
          <w:tab w:leader="none" w:pos="84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87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277" w:lineRule="auto"/>
        <w:tabs>
          <w:tab w:leader="none" w:pos="8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656"/>
        <w:spacing w:after="0" w:line="277" w:lineRule="auto"/>
        <w:tabs>
          <w:tab w:leader="none" w:pos="8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Annual Report for the year ended December 31, 2019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April 20,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r>
      <w:tr>
        <w:trPr>
          <w:trHeight w:val="209"/>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91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1)"/>
      <w:numFmt w:val="lowerRoman"/>
      <w:start w:val="2"/>
    </w:lvl>
  </w:abstractNum>
  <w:abstractNum w:abstractNumId="14">
    <w:nsid w:val="613EFDC5"/>
    <w:multiLevelType w:val="hybridMultilevel"/>
    <w:lvl w:ilvl="0">
      <w:lvlJc w:val="left"/>
      <w:lvlText w:val="●"/>
      <w:numFmt w:val="bullet"/>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1)"/>
      <w:numFmt w:val="lowerLetter"/>
      <w:start w:val="16"/>
    </w:lvl>
    <w:lvl w:ilvl="1">
      <w:lvlJc w:val="left"/>
      <w:lvlText w:val="●"/>
      <w:numFmt w:val="bullet"/>
      <w:start w:val="1"/>
    </w:lvl>
  </w:abstractNum>
  <w:abstractNum w:abstractNumId="22">
    <w:nsid w:val="68EB2F63"/>
    <w:multiLevelType w:val="hybridMultilevel"/>
    <w:lvl w:ilvl="0">
      <w:lvlJc w:val="left"/>
      <w:lvlText w:val="(%1)"/>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Roman"/>
      <w:start w:val="1"/>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1)"/>
      <w:numFmt w:val="decimal"/>
      <w:start w:val="1"/>
    </w:lvl>
  </w:abstractNum>
  <w:abstractNum w:abstractNumId="27">
    <w:nsid w:val="7FFFCA11"/>
    <w:multiLevelType w:val="hybridMultilevel"/>
    <w:lvl w:ilvl="0">
      <w:lvlJc w:val="left"/>
      <w:lvlText w:val="(%1)"/>
      <w:numFmt w:val="decimal"/>
      <w:start w:val="3"/>
    </w:lvl>
  </w:abstractNum>
  <w:abstractNum w:abstractNumId="28">
    <w:nsid w:val="1A27709E"/>
    <w:multiLevelType w:val="hybridMultilevel"/>
    <w:lvl w:ilvl="0">
      <w:lvlJc w:val="left"/>
      <w:lvlText w:val="(%1)"/>
      <w:numFmt w:val="decimal"/>
      <w:start w:val="1"/>
    </w:lvl>
  </w:abstractNum>
  <w:abstractNum w:abstractNumId="29">
    <w:nsid w:val="71EA1109"/>
    <w:multiLevelType w:val="hybridMultilevel"/>
    <w:lvl w:ilvl="0">
      <w:lvlJc w:val="left"/>
      <w:lvlText w:val="(%1)"/>
      <w:numFmt w:val="decimal"/>
      <w:start w:val="2"/>
    </w:lvl>
  </w:abstractNum>
  <w:abstractNum w:abstractNumId="30">
    <w:nsid w:val="100F59DC"/>
    <w:multiLevelType w:val="hybridMultilevel"/>
    <w:lvl w:ilvl="0">
      <w:lvlJc w:val="left"/>
      <w:lvlText w:val="%1."/>
      <w:numFmt w:val="decimal"/>
      <w:start w:val="3"/>
    </w:lvl>
  </w:abstractNum>
  <w:abstractNum w:abstractNumId="31">
    <w:nsid w:val="7FB7E0AA"/>
    <w:multiLevelType w:val="hybridMultilevel"/>
    <w:lvl w:ilvl="0">
      <w:lvlJc w:val="left"/>
      <w:lvlText w:val="(%1)"/>
      <w:numFmt w:val="lowerRoman"/>
      <w:start w:val="1"/>
    </w:lvl>
  </w:abstractNum>
  <w:abstractNum w:abstractNumId="32">
    <w:nsid w:val="6EB5BD4"/>
    <w:multiLevelType w:val="hybridMultilevel"/>
    <w:lvl w:ilvl="0">
      <w:lvlJc w:val="left"/>
      <w:lvlText w:val="%1."/>
      <w:numFmt w:val="decimal"/>
      <w:start w:val="1"/>
    </w:lvl>
  </w:abstractNum>
  <w:abstractNum w:abstractNumId="33">
    <w:nsid w:val="6F6DD9AC"/>
    <w:multiLevelType w:val="hybridMultilevel"/>
    <w:lvl w:ilvl="0">
      <w:lvlJc w:val="left"/>
      <w:lvlText w:val="%1."/>
      <w:numFmt w:val="decimal"/>
      <w:start w:val="3"/>
    </w:lvl>
  </w:abstractNum>
  <w:abstractNum w:abstractNumId="34">
    <w:nsid w:val="94211F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5">
    <w:nsid w:val="885E1B"/>
    <w:multiLevelType w:val="hybridMultilevel"/>
    <w:lvl w:ilvl="0">
      <w:lvlJc w:val="left"/>
      <w:lvlText w:val="%1"/>
      <w:numFmt w:val="lowerRoman"/>
      <w:start w:val="1"/>
    </w:lvl>
    <w:lvl w:ilvl="1">
      <w:lvlJc w:val="left"/>
      <w:lvlText w:val="(%2)"/>
      <w:numFmt w:val="lowerRoman"/>
      <w:start w:val="3"/>
    </w:lvl>
  </w:abstractNum>
  <w:abstractNum w:abstractNumId="36">
    <w:nsid w:val="76272110"/>
    <w:multiLevelType w:val="hybridMultilevel"/>
    <w:lvl w:ilvl="0">
      <w:lvlJc w:val="left"/>
      <w:lvlText w:val="(%1)"/>
      <w:numFmt w:val="lowerRoman"/>
      <w:start w:val="4"/>
    </w:lvl>
    <w:lvl w:ilvl="1">
      <w:lvlJc w:val="left"/>
      <w:lvlText w:val="%2"/>
      <w:numFmt w:val="lowerRoman"/>
      <w:start w:val="1"/>
    </w:lvl>
  </w:abstractNum>
  <w:abstractNum w:abstractNumId="37">
    <w:nsid w:val="4C04A8AF"/>
    <w:multiLevelType w:val="hybridMultilevel"/>
    <w:lvl w:ilvl="0">
      <w:lvlJc w:val="left"/>
      <w:lvlText w:val="(%1)"/>
      <w:numFmt w:val="lowerRoman"/>
      <w:start w:val="7"/>
    </w:lvl>
  </w:abstractNum>
  <w:abstractNum w:abstractNumId="38">
    <w:nsid w:val="1716703B"/>
    <w:multiLevelType w:val="hybridMultilevel"/>
    <w:lvl w:ilvl="0">
      <w:lvlJc w:val="left"/>
      <w:lvlText w:val="%1"/>
      <w:numFmt w:val="lowerLetter"/>
      <w:start w:val="1"/>
    </w:lvl>
    <w:lvl w:ilvl="1">
      <w:lvlJc w:val="left"/>
      <w:lvlText w:val="(%2)"/>
      <w:numFmt w:val="lowerRoman"/>
      <w:start w:val="14"/>
    </w:lvl>
  </w:abstractNum>
  <w:abstractNum w:abstractNumId="39">
    <w:nsid w:val="14E17E33"/>
    <w:multiLevelType w:val="hybridMultilevel"/>
    <w:lvl w:ilvl="0">
      <w:lvlJc w:val="left"/>
      <w:lvlText w:val="(%1)"/>
      <w:numFmt w:val="lowerLetter"/>
      <w:start w:val="2"/>
    </w:lvl>
    <w:lvl w:ilvl="1">
      <w:lvlJc w:val="left"/>
      <w:lvlText w:val="%2"/>
      <w:numFmt w:val="lowerRoman"/>
      <w:start w:val="1"/>
    </w:lvl>
  </w:abstractNum>
  <w:abstractNum w:abstractNumId="40">
    <w:nsid w:val="3222E7CD"/>
    <w:multiLevelType w:val="hybridMultilevel"/>
    <w:lvl w:ilvl="0">
      <w:lvlJc w:val="left"/>
      <w:lvlText w:val="(%1)"/>
      <w:numFmt w:val="lowerLetter"/>
      <w:start w:val="3"/>
    </w:lvl>
  </w:abstractNum>
  <w:abstractNum w:abstractNumId="41">
    <w:nsid w:val="74DE0EE3"/>
    <w:multiLevelType w:val="hybridMultilevel"/>
    <w:lvl w:ilvl="0">
      <w:lvlJc w:val="left"/>
      <w:lvlText w:val="(%1)"/>
      <w:numFmt w:val="lowerLetter"/>
      <w:start w:val="4"/>
    </w:lvl>
  </w:abstractNum>
  <w:abstractNum w:abstractNumId="42">
    <w:nsid w:val="68EBC55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3">
    <w:nsid w:val="2DF6D648"/>
    <w:multiLevelType w:val="hybridMultilevel"/>
    <w:lvl w:ilvl="0">
      <w:lvlJc w:val="left"/>
      <w:lvlText w:val="(%1)"/>
      <w:numFmt w:val="lowerLetter"/>
      <w:start w:val="2"/>
    </w:lvl>
    <w:lvl w:ilvl="1">
      <w:lvlJc w:val="left"/>
      <w:lvlText w:val="(%2)"/>
      <w:numFmt w:val="lowerRoman"/>
      <w:start w:val="1"/>
    </w:lvl>
  </w:abstractNum>
  <w:abstractNum w:abstractNumId="44">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4A2AC31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6">
    <w:nsid w:val="39EE015C"/>
    <w:multiLevelType w:val="hybridMultilevel"/>
    <w:lvl w:ilvl="0">
      <w:lvlJc w:val="left"/>
      <w:lvlText w:val="(%1)"/>
      <w:numFmt w:val="lowerLetter"/>
      <w:start w:val="2"/>
    </w:lvl>
  </w:abstractNum>
  <w:abstractNum w:abstractNumId="47">
    <w:nsid w:val="57FC4FBB"/>
    <w:multiLevelType w:val="hybridMultilevel"/>
    <w:lvl w:ilvl="0">
      <w:lvlJc w:val="left"/>
      <w:lvlText w:val="(%1)"/>
      <w:numFmt w:val="lowerLetter"/>
      <w:start w:val="3"/>
    </w:lvl>
    <w:lvl w:ilvl="1">
      <w:lvlJc w:val="left"/>
      <w:lvlText w:val="(%2)"/>
      <w:numFmt w:val="lowerRoman"/>
      <w:start w:val="1"/>
    </w:lvl>
  </w:abstractNum>
  <w:abstractNum w:abstractNumId="48">
    <w:nsid w:val="CC1016F"/>
    <w:multiLevelType w:val="hybridMultilevel"/>
    <w:lvl w:ilvl="0">
      <w:lvlJc w:val="left"/>
      <w:lvlText w:val="(%1)"/>
      <w:numFmt w:val="lowerRoman"/>
      <w:start w:val="3"/>
    </w:lvl>
    <w:lvl w:ilvl="1">
      <w:lvlJc w:val="left"/>
      <w:lvlText w:val="(%2)"/>
      <w:numFmt w:val="upperLetter"/>
      <w:start w:val="1"/>
    </w:lvl>
  </w:abstractNum>
  <w:abstractNum w:abstractNumId="49">
    <w:nsid w:val="43F18422"/>
    <w:multiLevelType w:val="hybridMultilevel"/>
    <w:lvl w:ilvl="0">
      <w:lvlJc w:val="left"/>
      <w:lvlText w:val="(%1)"/>
      <w:numFmt w:val="upperLetter"/>
      <w:start w:val="2"/>
    </w:lvl>
  </w:abstractNum>
  <w:abstractNum w:abstractNumId="50">
    <w:nsid w:val="60EF0119"/>
    <w:multiLevelType w:val="hybridMultilevel"/>
    <w:lvl w:ilvl="0">
      <w:lvlJc w:val="left"/>
      <w:lvlText w:val="(%1)"/>
      <w:numFmt w:val="lowerRoman"/>
      <w:start w:val="4"/>
    </w:lvl>
  </w:abstractNum>
  <w:abstractNum w:abstractNumId="51">
    <w:nsid w:val="26F324BA"/>
    <w:multiLevelType w:val="hybridMultilevel"/>
    <w:lvl w:ilvl="0">
      <w:lvlJc w:val="left"/>
      <w:lvlText w:val="(%1)"/>
      <w:numFmt w:val="lowerLetter"/>
      <w:start w:val="4"/>
    </w:lvl>
    <w:lvl w:ilvl="1">
      <w:lvlJc w:val="left"/>
      <w:lvlText w:val="(%2)"/>
      <w:numFmt w:val="lowerRoman"/>
      <w:start w:val="1"/>
    </w:lvl>
  </w:abstractNum>
  <w:abstractNum w:abstractNumId="52">
    <w:nsid w:val="7F01579B"/>
    <w:multiLevelType w:val="hybridMultilevel"/>
    <w:lvl w:ilvl="0">
      <w:lvlJc w:val="left"/>
      <w:lvlText w:val="(%1)"/>
      <w:numFmt w:val="lowerLetter"/>
      <w:start w:val="5"/>
    </w:lvl>
  </w:abstractNum>
  <w:abstractNum w:abstractNumId="53">
    <w:nsid w:val="49DA307D"/>
    <w:multiLevelType w:val="hybridMultilevel"/>
    <w:lvl w:ilvl="0">
      <w:lvlJc w:val="left"/>
      <w:lvlText w:val="(%1)"/>
      <w:numFmt w:val="lowerLetter"/>
      <w:start w:val="8"/>
    </w:lvl>
  </w:abstractNum>
  <w:abstractNum w:abstractNumId="54">
    <w:nsid w:val="7055A5F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5">
    <w:nsid w:val="5FB8370B"/>
    <w:multiLevelType w:val="hybridMultilevel"/>
    <w:lvl w:ilvl="0">
      <w:lvlJc w:val="left"/>
      <w:lvlText w:val="%1"/>
      <w:numFmt w:val="lowerRoman"/>
      <w:start w:val="1"/>
    </w:lvl>
    <w:lvl w:ilvl="1">
      <w:lvlJc w:val="left"/>
      <w:lvlText w:val="(%2)"/>
      <w:numFmt w:val="lowerRoman"/>
      <w:start w:val="3"/>
    </w:lvl>
  </w:abstractNum>
  <w:abstractNum w:abstractNumId="56">
    <w:nsid w:val="50801EE1"/>
    <w:multiLevelType w:val="hybridMultilevel"/>
    <w:lvl w:ilvl="0">
      <w:lvlJc w:val="left"/>
      <w:lvlText w:val="(%1)"/>
      <w:numFmt w:val="lowerRoman"/>
      <w:start w:val="2"/>
    </w:lvl>
    <w:lvl w:ilvl="1">
      <w:lvlJc w:val="left"/>
      <w:lvlText w:val="(%2)"/>
      <w:numFmt w:val="lowerRoman"/>
      <w:start w:val="4"/>
    </w:lvl>
  </w:abstractNum>
  <w:abstractNum w:abstractNumId="57">
    <w:nsid w:val="488AC1A"/>
    <w:multiLevelType w:val="hybridMultilevel"/>
    <w:lvl w:ilvl="0">
      <w:lvlJc w:val="left"/>
      <w:lvlText w:val="(%1)"/>
      <w:numFmt w:val="lowerLetter"/>
      <w:start w:val="2"/>
    </w:lvl>
    <w:lvl w:ilvl="1">
      <w:lvlJc w:val="left"/>
      <w:lvlText w:val="(%2)"/>
      <w:numFmt w:val="lowerRoman"/>
      <w:start w:val="1"/>
    </w:lvl>
  </w:abstractNum>
  <w:abstractNum w:abstractNumId="58">
    <w:nsid w:val="5FB8011C"/>
    <w:multiLevelType w:val="hybridMultilevel"/>
    <w:lvl w:ilvl="0">
      <w:lvlJc w:val="left"/>
      <w:lvlText w:val="(%1)"/>
      <w:numFmt w:val="lowerRoman"/>
      <w:start w:val="3"/>
    </w:lvl>
  </w:abstractNum>
  <w:abstractNum w:abstractNumId="59">
    <w:nsid w:val="6AA78F7F"/>
    <w:multiLevelType w:val="hybridMultilevel"/>
    <w:lvl w:ilvl="0">
      <w:lvlJc w:val="left"/>
      <w:lvlText w:val="(%1)"/>
      <w:numFmt w:val="lowerLetter"/>
      <w:start w:val="3"/>
    </w:lvl>
    <w:lvl w:ilvl="1">
      <w:lvlJc w:val="left"/>
      <w:lvlText w:val="(%2)"/>
      <w:numFmt w:val="lowerLetter"/>
      <w:start w:val="9"/>
    </w:lvl>
  </w:abstractNum>
  <w:abstractNum w:abstractNumId="60">
    <w:nsid w:val="7672BD23"/>
    <w:multiLevelType w:val="hybridMultilevel"/>
    <w:lvl w:ilvl="0">
      <w:lvlJc w:val="left"/>
      <w:lvlText w:val="%1"/>
      <w:numFmt w:val="decimal"/>
      <w:start w:val="1"/>
    </w:lvl>
    <w:lvl w:ilvl="1">
      <w:lvlJc w:val="left"/>
      <w:lvlText w:val="(%2)"/>
      <w:numFmt w:val="lowerRoman"/>
      <w:start w:val="2"/>
    </w:lvl>
  </w:abstractNum>
  <w:abstractNum w:abstractNumId="61">
    <w:nsid w:val="6FC75AF8"/>
    <w:multiLevelType w:val="hybridMultilevel"/>
    <w:lvl w:ilvl="0">
      <w:lvlJc w:val="left"/>
      <w:lvlText w:val="%1."/>
      <w:numFmt w:val="decimal"/>
      <w:start w:val="9"/>
    </w:lvl>
    <w:lvl w:ilvl="1">
      <w:lvlJc w:val="left"/>
      <w:lvlText w:val="%2"/>
      <w:numFmt w:val="lowerRoman"/>
      <w:start w:val="1"/>
    </w:lvl>
  </w:abstractNum>
  <w:abstractNum w:abstractNumId="62">
    <w:nsid w:val="6A5F7029"/>
    <w:multiLevelType w:val="hybridMultilevel"/>
    <w:lvl w:ilvl="0">
      <w:lvlJc w:val="left"/>
      <w:lvlText w:val="%1."/>
      <w:numFmt w:val="decimal"/>
      <w:start w:val="10"/>
    </w:lvl>
  </w:abstractNum>
  <w:abstractNum w:abstractNumId="63">
    <w:nsid w:val="7D5E18F8"/>
    <w:multiLevelType w:val="hybridMultilevel"/>
    <w:lvl w:ilvl="0">
      <w:lvlJc w:val="left"/>
      <w:lvlText w:val="%1."/>
      <w:numFmt w:val="decimal"/>
      <w:start w:val="16"/>
    </w:lvl>
  </w:abstractNum>
  <w:abstractNum w:abstractNumId="64">
    <w:nsid w:val="5F3534A4"/>
    <w:multiLevelType w:val="hybridMultilevel"/>
    <w:lvl w:ilvl="0">
      <w:lvlJc w:val="left"/>
      <w:lvlText w:val="%1."/>
      <w:numFmt w:val="decimal"/>
      <w:start w:val="1"/>
    </w:lvl>
  </w:abstractNum>
  <w:abstractNum w:abstractNumId="65">
    <w:nsid w:val="73A1821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
    <w:nsid w:val="7DE67713"/>
    <w:multiLevelType w:val="hybridMultilevel"/>
    <w:lvl w:ilvl="0">
      <w:lvlJc w:val="left"/>
      <w:lvlText w:val="(%1)"/>
      <w:numFmt w:val="lowerRoman"/>
      <w:start w:val="5"/>
    </w:lvl>
  </w:abstractNum>
  <w:abstractNum w:abstractNumId="67">
    <w:nsid w:val="555C55B5"/>
    <w:multiLevelType w:val="hybridMultilevel"/>
    <w:lvl w:ilvl="0">
      <w:lvlJc w:val="left"/>
      <w:lvlText w:val="%1"/>
      <w:numFmt w:val="decimal"/>
      <w:start w:val="1"/>
    </w:lvl>
    <w:lvl w:ilvl="1">
      <w:lvlJc w:val="left"/>
      <w:lvlText w:val="(%2)"/>
      <w:numFmt w:val="lowerLetter"/>
      <w:start w:val="2"/>
    </w:lvl>
  </w:abstractNum>
  <w:abstractNum w:abstractNumId="68">
    <w:nsid w:val="3FA62ACA"/>
    <w:multiLevelType w:val="hybridMultilevel"/>
    <w:lvl w:ilvl="0">
      <w:lvlJc w:val="left"/>
      <w:lvlText w:val="%1."/>
      <w:numFmt w:val="decimal"/>
      <w:start w:val="5"/>
    </w:lvl>
    <w:lvl w:ilvl="1">
      <w:lvlJc w:val="left"/>
      <w:lvlText w:val="(%2)"/>
      <w:numFmt w:val="lowerLetter"/>
      <w:start w:val="1"/>
    </w:lvl>
  </w:abstractNum>
  <w:abstractNum w:abstractNumId="69">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6A3DD3E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1">
    <w:nsid w:val="71C91298"/>
    <w:multiLevelType w:val="hybridMultilevel"/>
    <w:lvl w:ilvl="0">
      <w:lvlJc w:val="left"/>
      <w:lvlText w:val="(%1)"/>
      <w:numFmt w:val="lowerLetter"/>
      <w:start w:val="3"/>
    </w:lvl>
  </w:abstractNum>
  <w:abstractNum w:abstractNumId="72">
    <w:nsid w:val="9DAF632"/>
    <w:multiLevelType w:val="hybridMultilevel"/>
    <w:lvl w:ilvl="0">
      <w:lvlJc w:val="left"/>
      <w:lvlText w:val="(%1)"/>
      <w:numFmt w:val="lowerRoman"/>
      <w:start w:val="1"/>
    </w:lvl>
  </w:abstractNum>
  <w:abstractNum w:abstractNumId="73">
    <w:nsid w:val="53299938"/>
    <w:multiLevelType w:val="hybridMultilevel"/>
    <w:lvl w:ilvl="0">
      <w:lvlJc w:val="left"/>
      <w:lvlText w:val="(%1)"/>
      <w:numFmt w:val="lowerRoman"/>
      <w:start w:val="3"/>
    </w:lvl>
    <w:lvl w:ilvl="1">
      <w:lvlJc w:val="left"/>
      <w:lvlText w:val="(%2)"/>
      <w:numFmt w:val="upperLetter"/>
      <w:start w:val="1"/>
    </w:lvl>
  </w:abstractNum>
  <w:abstractNum w:abstractNumId="74">
    <w:nsid w:val="1FBFE8E0"/>
    <w:multiLevelType w:val="hybridMultilevel"/>
    <w:lvl w:ilvl="0">
      <w:lvlJc w:val="left"/>
      <w:lvlText w:val="(%1)"/>
      <w:numFmt w:val="lowerLetter"/>
      <w:start w:val="4"/>
    </w:lvl>
    <w:lvl w:ilvl="1">
      <w:lvlJc w:val="left"/>
      <w:lvlText w:val="(%2)"/>
      <w:numFmt w:val="lowerLetter"/>
      <w:start w:val="9"/>
    </w:lvl>
  </w:abstractNum>
  <w:abstractNum w:abstractNumId="75">
    <w:nsid w:val="5092CA79"/>
    <w:multiLevelType w:val="hybridMultilevel"/>
    <w:lvl w:ilvl="0">
      <w:lvlJc w:val="left"/>
      <w:lvlText w:val="(%1)"/>
      <w:numFmt w:val="lowerLetter"/>
      <w:start w:val="5"/>
    </w:lvl>
  </w:abstractNum>
  <w:abstractNum w:abstractNumId="76">
    <w:nsid w:val="1D545C4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77">
    <w:nsid w:val="59ADEA3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8">
    <w:nsid w:val="288F1A34"/>
    <w:multiLevelType w:val="hybridMultilevel"/>
    <w:lvl w:ilvl="0">
      <w:lvlJc w:val="left"/>
      <w:lvlText w:val="%1"/>
      <w:numFmt w:val="decimal"/>
      <w:start w:val="1"/>
    </w:lvl>
    <w:lvl w:ilvl="1">
      <w:lvlJc w:val="left"/>
      <w:lvlText w:val="(%2)"/>
      <w:numFmt w:val="lowerRoman"/>
      <w:start w:val="2"/>
    </w:lvl>
  </w:abstractNum>
  <w:abstractNum w:abstractNumId="79">
    <w:nsid w:val="2A155DBC"/>
    <w:multiLevelType w:val="hybridMultilevel"/>
    <w:lvl w:ilvl="0">
      <w:lvlJc w:val="left"/>
      <w:lvlText w:val="%1."/>
      <w:numFmt w:val="decimal"/>
      <w:start w:val="8"/>
    </w:lvl>
    <w:lvl w:ilvl="1">
      <w:lvlJc w:val="left"/>
      <w:lvlText w:val="%2"/>
      <w:numFmt w:val="lowerRoman"/>
      <w:start w:val="1"/>
    </w:lvl>
  </w:abstractNum>
  <w:abstractNum w:abstractNumId="80">
    <w:nsid w:val="1D9F6E5F"/>
    <w:multiLevelType w:val="hybridMultilevel"/>
    <w:lvl w:ilvl="0">
      <w:lvlJc w:val="left"/>
      <w:lvlText w:val="%1."/>
      <w:numFmt w:val="decimal"/>
      <w:start w:val="11"/>
    </w:lvl>
  </w:abstractNum>
  <w:abstractNum w:abstractNumId="81">
    <w:nsid w:val="97E1B4E"/>
    <w:multiLevelType w:val="hybridMultilevel"/>
    <w:lvl w:ilvl="0">
      <w:lvlJc w:val="left"/>
      <w:lvlText w:val="%1."/>
      <w:numFmt w:val="decimal"/>
      <w:start w:val="17"/>
    </w:lvl>
  </w:abstractNum>
  <w:abstractNum w:abstractNumId="82">
    <w:nsid w:val="51088277"/>
    <w:multiLevelType w:val="hybridMultilevel"/>
    <w:lvl w:ilvl="0">
      <w:lvlJc w:val="left"/>
      <w:lvlText w:val="(%1)"/>
      <w:numFmt w:val="decimal"/>
      <w:start w:val="4"/>
    </w:lvl>
  </w:abstractNum>
  <w:abstractNum w:abstractNumId="83">
    <w:nsid w:val="1CA0C5FA"/>
    <w:multiLevelType w:val="hybridMultilevel"/>
    <w:lvl w:ilvl="0">
      <w:lvlJc w:val="left"/>
      <w:lvlText w:val="(%1)"/>
      <w:numFmt w:val="lowerLetter"/>
      <w:start w:val="2"/>
    </w:lvl>
  </w:abstractNum>
  <w:abstractNum w:abstractNumId="84">
    <w:nsid w:val="53584BCB"/>
    <w:multiLevelType w:val="hybridMultilevel"/>
    <w:lvl w:ilvl="0">
      <w:lvlJc w:val="left"/>
      <w:lvlText w:val="(%1)"/>
      <w:numFmt w:val="lowerLetter"/>
      <w:start w:val="3"/>
    </w:lvl>
  </w:abstractNum>
  <w:abstractNum w:abstractNumId="85">
    <w:nsid w:val="415E286C"/>
    <w:multiLevelType w:val="hybridMultilevel"/>
    <w:lvl w:ilvl="0">
      <w:lvlJc w:val="left"/>
      <w:lvlText w:val="(%1)"/>
      <w:numFmt w:val="lowerLetter"/>
      <w:start w:val="1"/>
    </w:lvl>
  </w:abstractNum>
  <w:abstractNum w:abstractNumId="86">
    <w:nsid w:val="7C58FD05"/>
    <w:multiLevelType w:val="hybridMultilevel"/>
    <w:lvl w:ilvl="0">
      <w:lvlJc w:val="left"/>
      <w:lvlText w:val="(%1)"/>
      <w:numFmt w:val="lowerRoman"/>
      <w:start w:val="1"/>
    </w:lvl>
  </w:abstractNum>
  <w:abstractNum w:abstractNumId="87">
    <w:nsid w:val="23D86AAC"/>
    <w:multiLevelType w:val="hybridMultilevel"/>
    <w:lvl w:ilvl="0">
      <w:lvlJc w:val="left"/>
      <w:lvlText w:val="(%1)"/>
      <w:numFmt w:val="lowerLetter"/>
      <w:start w:val="2"/>
    </w:lvl>
  </w:abstractNum>
  <w:abstractNum w:abstractNumId="88">
    <w:nsid w:val="45E6D486"/>
    <w:multiLevelType w:val="hybridMultilevel"/>
    <w:lvl w:ilvl="0">
      <w:lvlJc w:val="left"/>
      <w:lvlText w:val="(%1)"/>
      <w:numFmt w:val="lowerLetter"/>
      <w:start w:val="2"/>
    </w:lvl>
  </w:abstractNum>
  <w:abstractNum w:abstractNumId="89">
    <w:nsid w:val="5C10FE21"/>
    <w:multiLevelType w:val="hybridMultilevel"/>
    <w:lvl w:ilvl="0">
      <w:lvlJc w:val="left"/>
      <w:lvlText w:val="%1."/>
      <w:numFmt w:val="decimal"/>
      <w:start w:val="1"/>
    </w:lvl>
  </w:abstractNum>
  <w:abstractNum w:abstractNumId="90">
    <w:nsid w:val="E7FFA2B"/>
    <w:multiLevelType w:val="hybridMultilevel"/>
    <w:lvl w:ilvl="0">
      <w:lvlJc w:val="left"/>
      <w:lvlText w:val="%1."/>
      <w:numFmt w:val="decimal"/>
      <w:start w:val="3"/>
    </w:lvl>
  </w:abstractNum>
  <w:abstractNum w:abstractNumId="91">
    <w:nsid w:val="3C5991AA"/>
    <w:multiLevelType w:val="hybridMultilevel"/>
    <w:lvl w:ilvl="0">
      <w:lvlJc w:val="left"/>
      <w:lvlText w:val="%1."/>
      <w:numFmt w:val="decimal"/>
      <w:start w:val="4"/>
    </w:lvl>
  </w:abstractNum>
  <w:abstractNum w:abstractNumId="92">
    <w:nsid w:val="4BD8591A"/>
    <w:multiLevelType w:val="hybridMultilevel"/>
    <w:lvl w:ilvl="0">
      <w:lvlJc w:val="left"/>
      <w:lvlText w:val="%1."/>
      <w:numFmt w:val="decimal"/>
      <w:start w:val="5"/>
    </w:lvl>
  </w:abstractNum>
  <w:abstractNum w:abstractNumId="93">
    <w:nsid w:val="78DF6A55"/>
    <w:multiLevelType w:val="hybridMultilevel"/>
    <w:lvl w:ilvl="0">
      <w:lvlJc w:val="left"/>
      <w:lvlText w:val="%1."/>
      <w:numFmt w:val="decimal"/>
      <w:start w:val="6"/>
    </w:lvl>
  </w:abstractNum>
  <w:abstractNum w:abstractNumId="94">
    <w:nsid w:val="39B7AAA2"/>
    <w:multiLevelType w:val="hybridMultilevel"/>
    <w:lvl w:ilvl="0">
      <w:lvlJc w:val="left"/>
      <w:lvlText w:val="%1."/>
      <w:numFmt w:val="decimal"/>
      <w:start w:val="7"/>
    </w:lvl>
  </w:abstractNum>
  <w:abstractNum w:abstractNumId="95">
    <w:nsid w:val="2B0D8DBE"/>
    <w:multiLevelType w:val="hybridMultilevel"/>
    <w:lvl w:ilvl="0">
      <w:lvlJc w:val="left"/>
      <w:lvlText w:val="%1."/>
      <w:numFmt w:val="decimal"/>
      <w:start w:val="8"/>
    </w:lvl>
  </w:abstractNum>
  <w:abstractNum w:abstractNumId="96">
    <w:nsid w:val="6C80EC70"/>
    <w:multiLevelType w:val="hybridMultilevel"/>
    <w:lvl w:ilvl="0">
      <w:lvlJc w:val="left"/>
      <w:lvlText w:val="%1."/>
      <w:numFmt w:val="decimal"/>
      <w:start w:val="9"/>
    </w:lvl>
  </w:abstractNum>
  <w:abstractNum w:abstractNumId="97">
    <w:nsid w:val="379E21B5"/>
    <w:multiLevelType w:val="hybridMultilevel"/>
    <w:lvl w:ilvl="0">
      <w:lvlJc w:val="left"/>
      <w:lvlText w:val="%1."/>
      <w:numFmt w:val="decimal"/>
      <w:start w:val="11"/>
    </w:lvl>
  </w:abstractNum>
  <w:abstractNum w:abstractNumId="98">
    <w:nsid w:val="69E373"/>
    <w:multiLevelType w:val="hybridMultilevel"/>
    <w:lvl w:ilvl="0">
      <w:lvlJc w:val="left"/>
      <w:lvlText w:val="%1."/>
      <w:numFmt w:val="decimal"/>
      <w:start w:val="17"/>
    </w:lvl>
  </w:abstractNum>
  <w:abstractNum w:abstractNumId="99">
    <w:nsid w:val="2C27173B"/>
    <w:multiLevelType w:val="hybridMultilevel"/>
    <w:lvl w:ilvl="0">
      <w:lvlJc w:val="left"/>
      <w:lvlText w:val="%1."/>
      <w:numFmt w:val="decimal"/>
      <w:start w:val="1"/>
    </w:lvl>
  </w:abstractNum>
  <w:abstractNum w:abstractNumId="100">
    <w:nsid w:val="4C9B0904"/>
    <w:multiLevelType w:val="hybridMultilevel"/>
    <w:lvl w:ilvl="0">
      <w:lvlJc w:val="left"/>
      <w:lvlText w:val="%1."/>
      <w:numFmt w:val="decimal"/>
      <w:start w:val="3"/>
    </w:lvl>
  </w:abstractNum>
  <w:abstractNum w:abstractNumId="101">
    <w:nsid w:val="6AA7B75C"/>
    <w:multiLevelType w:val="hybridMultilevel"/>
    <w:lvl w:ilvl="0">
      <w:lvlJc w:val="left"/>
      <w:lvlText w:val="%1."/>
      <w:numFmt w:val="decimal"/>
      <w:start w:val="5"/>
    </w:lvl>
  </w:abstractNum>
  <w:abstractNum w:abstractNumId="102">
    <w:nsid w:val="1DF029D3"/>
    <w:multiLevelType w:val="hybridMultilevel"/>
    <w:lvl w:ilvl="0">
      <w:lvlJc w:val="left"/>
      <w:lvlText w:val="%1."/>
      <w:numFmt w:val="decimal"/>
      <w:start w:val="7"/>
    </w:lvl>
  </w:abstractNum>
  <w:abstractNum w:abstractNumId="103">
    <w:nsid w:val="5675FF36"/>
    <w:multiLevelType w:val="hybridMultilevel"/>
    <w:lvl w:ilvl="0">
      <w:lvlJc w:val="left"/>
      <w:lvlText w:val="%1."/>
      <w:numFmt w:val="decimal"/>
      <w:start w:val="8"/>
    </w:lvl>
  </w:abstractNum>
  <w:abstractNum w:abstractNumId="104">
    <w:nsid w:val="3DD15094"/>
    <w:multiLevelType w:val="hybridMultilevel"/>
    <w:lvl w:ilvl="0">
      <w:lvlJc w:val="left"/>
      <w:lvlText w:val="%1."/>
      <w:numFmt w:val="decimal"/>
      <w:start w:val="9"/>
    </w:lvl>
  </w:abstractNum>
  <w:abstractNum w:abstractNumId="105">
    <w:nsid w:val="3DB012B3"/>
    <w:multiLevelType w:val="hybridMultilevel"/>
    <w:lvl w:ilvl="0">
      <w:lvlJc w:val="left"/>
      <w:lvlText w:val="%1."/>
      <w:numFmt w:val="decimal"/>
      <w:start w:val="11"/>
    </w:lvl>
  </w:abstractNum>
  <w:abstractNum w:abstractNumId="106">
    <w:nsid w:val="2708C9AF"/>
    <w:multiLevelType w:val="hybridMultilevel"/>
    <w:lvl w:ilvl="0">
      <w:lvlJc w:val="left"/>
      <w:lvlText w:val="%1."/>
      <w:numFmt w:val="decimal"/>
      <w:start w:val="13"/>
    </w:lvl>
  </w:abstractNum>
  <w:abstractNum w:abstractNumId="107">
    <w:nsid w:val="5B25ACE2"/>
    <w:multiLevelType w:val="hybridMultilevel"/>
    <w:lvl w:ilvl="0">
      <w:lvlJc w:val="left"/>
      <w:lvlText w:val="%1."/>
      <w:numFmt w:val="decimal"/>
      <w:start w:val="1"/>
    </w:lvl>
  </w:abstractNum>
  <w:abstractNum w:abstractNumId="108">
    <w:nsid w:val="175DFCF0"/>
    <w:multiLevelType w:val="hybridMultilevel"/>
    <w:lvl w:ilvl="0">
      <w:lvlJc w:val="left"/>
      <w:lvlText w:val="(%1)"/>
      <w:numFmt w:val="decimal"/>
      <w:start w:val="3"/>
    </w:lvl>
  </w:abstractNum>
  <w:abstractNum w:abstractNumId="109">
    <w:nsid w:val="4F97E3E4"/>
    <w:multiLevelType w:val="hybridMultilevel"/>
    <w:lvl w:ilvl="0">
      <w:lvlJc w:val="left"/>
      <w:lvlText w:val="(%1)"/>
      <w:numFmt w:val="decimal"/>
      <w:start w:val="4"/>
    </w:lvl>
  </w:abstractNum>
  <w:abstractNum w:abstractNumId="110">
    <w:nsid w:val="53B0A9E"/>
    <w:multiLevelType w:val="hybridMultilevel"/>
    <w:lvl w:ilvl="0">
      <w:lvlJc w:val="left"/>
      <w:lvlText w:val="%1."/>
      <w:numFmt w:val="decimal"/>
      <w:start w:val="1"/>
    </w:lvl>
  </w:abstractNum>
  <w:abstractNum w:abstractNumId="111">
    <w:nsid w:val="34FD6B4F"/>
    <w:multiLevelType w:val="hybridMultilevel"/>
    <w:lvl w:ilvl="0">
      <w:lvlJc w:val="left"/>
      <w:lvlText w:val="%1."/>
      <w:numFmt w:val="decimal"/>
      <w:start w:val="2"/>
    </w:lvl>
  </w:abstractNum>
  <w:abstractNum w:abstractNumId="112">
    <w:nsid w:val="5915FF32"/>
    <w:multiLevelType w:val="hybridMultilevel"/>
    <w:lvl w:ilvl="0">
      <w:lvlJc w:val="left"/>
      <w:lvlText w:val="%1."/>
      <w:numFmt w:val="decimal"/>
      <w:start w:val="3"/>
    </w:lvl>
  </w:abstractNum>
  <w:abstractNum w:abstractNumId="113">
    <w:nsid w:val="56438D15"/>
    <w:multiLevelType w:val="hybridMultilevel"/>
    <w:lvl w:ilvl="0">
      <w:lvlJc w:val="left"/>
      <w:lvlText w:val="%1."/>
      <w:numFmt w:val="decimal"/>
      <w:start w:val="4"/>
    </w:lvl>
  </w:abstractNum>
  <w:abstractNum w:abstractNumId="114">
    <w:nsid w:val="519E3149"/>
    <w:multiLevelType w:val="hybridMultilevel"/>
    <w:lvl w:ilvl="0">
      <w:lvlJc w:val="left"/>
      <w:lvlText w:val="%1."/>
      <w:numFmt w:val="decimal"/>
      <w:start w:val="1"/>
    </w:lvl>
  </w:abstractNum>
  <w:abstractNum w:abstractNumId="115">
    <w:nsid w:val="2C6E4AFD"/>
    <w:multiLevelType w:val="hybridMultilevel"/>
    <w:lvl w:ilvl="0">
      <w:lvlJc w:val="left"/>
      <w:lvlText w:val="%1."/>
      <w:numFmt w:val="decimal"/>
      <w:start w:val="2"/>
    </w:lvl>
  </w:abstractNum>
  <w:abstractNum w:abstractNumId="116">
    <w:nsid w:val="17A1B582"/>
    <w:multiLevelType w:val="hybridMultilevel"/>
    <w:lvl w:ilvl="0">
      <w:lvlJc w:val="left"/>
      <w:lvlText w:val="%1."/>
      <w:numFmt w:val="decimal"/>
      <w:start w:val="3"/>
    </w:lvl>
  </w:abstractNum>
  <w:abstractNum w:abstractNumId="117">
    <w:nsid w:val="4DF72E4E"/>
    <w:multiLevelType w:val="hybridMultilevel"/>
    <w:lvl w:ilvl="0">
      <w:lvlJc w:val="left"/>
      <w:lvlText w:val="%1."/>
      <w:numFmt w:val="decimal"/>
      <w:start w:val="4"/>
    </w:lvl>
  </w:abstractNum>
  <w:abstractNum w:abstractNumId="118">
    <w:nsid w:val="5046B5A9"/>
    <w:multiLevelType w:val="hybridMultilevel"/>
    <w:lvl w:ilvl="0">
      <w:lvlJc w:val="left"/>
      <w:lvlText w:val="%1."/>
      <w:numFmt w:val="decimal"/>
      <w:start w:val="5"/>
    </w:lvl>
  </w:abstractNum>
  <w:abstractNum w:abstractNumId="119">
    <w:nsid w:val="5D888A08"/>
    <w:multiLevelType w:val="hybridMultilevel"/>
    <w:lvl w:ilvl="0">
      <w:lvlJc w:val="left"/>
      <w:lvlText w:val="%1."/>
      <w:numFmt w:val="decimal"/>
      <w:start w:val="1"/>
    </w:lvl>
  </w:abstractNum>
  <w:abstractNum w:abstractNumId="120">
    <w:nsid w:val="2A082C70"/>
    <w:multiLevelType w:val="hybridMultilevel"/>
    <w:lvl w:ilvl="0">
      <w:lvlJc w:val="left"/>
      <w:lvlText w:val="%1."/>
      <w:numFmt w:val="decimal"/>
      <w:start w:val="3"/>
    </w:lvl>
  </w:abstractNum>
  <w:abstractNum w:abstractNumId="121">
    <w:nsid w:val="5EC6AFD4"/>
    <w:multiLevelType w:val="hybridMultilevel"/>
    <w:lvl w:ilvl="0">
      <w:lvlJc w:val="left"/>
      <w:lvlText w:val="(%1)"/>
      <w:numFmt w:val="lowerLetter"/>
      <w:start w:val="8"/>
    </w:lvl>
  </w:abstractNum>
  <w:abstractNum w:abstractNumId="122">
    <w:nsid w:val="19E21BB2"/>
    <w:multiLevelType w:val="hybridMultilevel"/>
    <w:lvl w:ilvl="0">
      <w:lvlJc w:val="left"/>
      <w:lvlText w:val="%1."/>
      <w:numFmt w:val="decimal"/>
      <w:start w:val="5"/>
    </w:lvl>
    <w:lvl w:ilvl="1">
      <w:lvlJc w:val="left"/>
      <w:lvlText w:val="%2."/>
      <w:numFmt w:val="decimal"/>
      <w:start w:val="6"/>
    </w:lvl>
  </w:abstractNum>
  <w:abstractNum w:abstractNumId="123">
    <w:nsid w:val="75E0858A"/>
    <w:multiLevelType w:val="hybridMultilevel"/>
    <w:lvl w:ilvl="0">
      <w:lvlJc w:val="left"/>
      <w:lvlText w:val="%1."/>
      <w:numFmt w:val="decimal"/>
      <w:start w:val="7"/>
    </w:lvl>
  </w:abstractNum>
  <w:abstractNum w:abstractNumId="124">
    <w:nsid w:val="57A61A29"/>
    <w:multiLevelType w:val="hybridMultilevel"/>
    <w:lvl w:ilvl="0">
      <w:lvlJc w:val="left"/>
      <w:lvlText w:val="%1."/>
      <w:numFmt w:val="decimal"/>
      <w:start w:val="8"/>
    </w:lvl>
  </w:abstractNum>
  <w:abstractNum w:abstractNumId="125">
    <w:nsid w:val="5399C654"/>
    <w:multiLevelType w:val="hybridMultilevel"/>
    <w:lvl w:ilvl="0">
      <w:lvlJc w:val="left"/>
      <w:lvlText w:val="%1."/>
      <w:numFmt w:val="decimal"/>
      <w:start w:val="9"/>
    </w:lvl>
  </w:abstractNum>
  <w:abstractNum w:abstractNumId="126">
    <w:nsid w:val="20EE1348"/>
    <w:multiLevelType w:val="hybridMultilevel"/>
    <w:lvl w:ilvl="0">
      <w:lvlJc w:val="left"/>
      <w:lvlText w:val="%1."/>
      <w:numFmt w:val="decimal"/>
      <w:start w:val="17"/>
    </w:lvl>
  </w:abstractNum>
  <w:abstractNum w:abstractNumId="127">
    <w:nsid w:val="4427069A"/>
    <w:multiLevelType w:val="hybridMultilevel"/>
    <w:lvl w:ilvl="0">
      <w:lvlJc w:val="left"/>
      <w:lvlText w:val="%1."/>
      <w:numFmt w:val="decimal"/>
      <w:start w:val="1"/>
    </w:lvl>
  </w:abstractNum>
  <w:abstractNum w:abstractNumId="128">
    <w:nsid w:val="B37E80A"/>
    <w:multiLevelType w:val="hybridMultilevel"/>
    <w:lvl w:ilvl="0">
      <w:lvlJc w:val="left"/>
      <w:lvlText w:val="·"/>
      <w:numFmt w:val="bullet"/>
      <w:start w:val="1"/>
    </w:lvl>
  </w:abstractNum>
  <w:abstractNum w:abstractNumId="129">
    <w:nsid w:val="2157F6BC"/>
    <w:multiLevelType w:val="hybridMultilevel"/>
    <w:lvl w:ilvl="0">
      <w:lvlJc w:val="left"/>
      <w:lvlText w:val="·"/>
      <w:numFmt w:val="bullet"/>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
      <w:numFmt w:val="bullet"/>
      <w:start w:val="1"/>
    </w:lvl>
    <w:lvl w:ilvl="1">
      <w:lvlJc w:val="left"/>
      <w:lvlText w:val="·"/>
      <w:numFmt w:val="bullet"/>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1."/>
      <w:numFmt w:val="decimal"/>
      <w:start w:val="1"/>
    </w:lvl>
  </w:abstractNum>
  <w:abstractNum w:abstractNumId="134">
    <w:nsid w:val="2E48F044"/>
    <w:multiLevelType w:val="hybridMultilevel"/>
    <w:lvl w:ilvl="0">
      <w:lvlJc w:val="left"/>
      <w:lvlText w:val="%1)"/>
      <w:numFmt w:val="lowerLetter"/>
      <w:start w:val="1"/>
    </w:lvl>
  </w:abstractNum>
  <w:abstractNum w:abstractNumId="135">
    <w:nsid w:val="49D0FEAC"/>
    <w:multiLevelType w:val="hybridMultilevel"/>
    <w:lvl w:ilvl="0">
      <w:lvlJc w:val="left"/>
      <w:lvlText w:val="%1."/>
      <w:numFmt w:val="decimal"/>
      <w:start w:val="5"/>
    </w:lvl>
  </w:abstractNum>
  <w:abstractNum w:abstractNumId="136">
    <w:nsid w:val="4BEE5A5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118" Type="http://schemas.openxmlformats.org/officeDocument/2006/relationships/image" Target="media/image51.png"/><Relationship Id="rId119" Type="http://schemas.openxmlformats.org/officeDocument/2006/relationships/image" Target="media/image52.png"/><Relationship Id="rId120" Type="http://schemas.openxmlformats.org/officeDocument/2006/relationships/image" Target="media/image53.png"/><Relationship Id="rId121" Type="http://schemas.openxmlformats.org/officeDocument/2006/relationships/image" Target="media/image54.png"/><Relationship Id="rId122" Type="http://schemas.openxmlformats.org/officeDocument/2006/relationships/image" Target="media/image55.png"/><Relationship Id="rId123" Type="http://schemas.openxmlformats.org/officeDocument/2006/relationships/image" Target="media/image56.png"/><Relationship Id="rId124" Type="http://schemas.openxmlformats.org/officeDocument/2006/relationships/image" Target="media/image57.png"/><Relationship Id="rId125" Type="http://schemas.openxmlformats.org/officeDocument/2006/relationships/image" Target="media/image58.png"/><Relationship Id="rId126" Type="http://schemas.openxmlformats.org/officeDocument/2006/relationships/image" Target="media/image59.png"/><Relationship Id="rId127" Type="http://schemas.openxmlformats.org/officeDocument/2006/relationships/image" Target="media/image60.png"/><Relationship Id="rId128" Type="http://schemas.openxmlformats.org/officeDocument/2006/relationships/image" Target="media/image61.png"/><Relationship Id="rId129" Type="http://schemas.openxmlformats.org/officeDocument/2006/relationships/image" Target="media/image62.png"/><Relationship Id="rId130" Type="http://schemas.openxmlformats.org/officeDocument/2006/relationships/image" Target="media/image63.png"/><Relationship Id="rId131" Type="http://schemas.openxmlformats.org/officeDocument/2006/relationships/image" Target="media/image64.png"/><Relationship Id="rId132" Type="http://schemas.openxmlformats.org/officeDocument/2006/relationships/image" Target="media/image65.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8.png"/><Relationship Id="rId136" Type="http://schemas.openxmlformats.org/officeDocument/2006/relationships/image" Target="media/image69.png"/><Relationship Id="rId137" Type="http://schemas.openxmlformats.org/officeDocument/2006/relationships/image" Target="media/image70.png"/><Relationship Id="rId138" Type="http://schemas.openxmlformats.org/officeDocument/2006/relationships/image" Target="media/image71.png"/><Relationship Id="rId139" Type="http://schemas.openxmlformats.org/officeDocument/2006/relationships/image" Target="media/image72.png"/><Relationship Id="rId140"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3" Type="http://schemas.openxmlformats.org/officeDocument/2006/relationships/image" Target="media/image76.png"/><Relationship Id="rId144" Type="http://schemas.openxmlformats.org/officeDocument/2006/relationships/image" Target="media/image77.png"/><Relationship Id="rId145" Type="http://schemas.openxmlformats.org/officeDocument/2006/relationships/image" Target="media/image78.png"/><Relationship Id="rId146" Type="http://schemas.openxmlformats.org/officeDocument/2006/relationships/image" Target="media/image79.png"/><Relationship Id="rId147" Type="http://schemas.openxmlformats.org/officeDocument/2006/relationships/image" Target="media/image80.png"/><Relationship Id="rId148" Type="http://schemas.openxmlformats.org/officeDocument/2006/relationships/image" Target="media/image81.png"/><Relationship Id="rId149" Type="http://schemas.openxmlformats.org/officeDocument/2006/relationships/image" Target="media/image82.png"/><Relationship Id="rId150" Type="http://schemas.openxmlformats.org/officeDocument/2006/relationships/image" Target="media/image83.png"/><Relationship Id="rId151" Type="http://schemas.openxmlformats.org/officeDocument/2006/relationships/image" Target="media/image84.png"/><Relationship Id="rId152" Type="http://schemas.openxmlformats.org/officeDocument/2006/relationships/image" Target="media/image85.png"/><Relationship Id="rId153" Type="http://schemas.openxmlformats.org/officeDocument/2006/relationships/image" Target="media/image86.png"/><Relationship Id="rId154" Type="http://schemas.openxmlformats.org/officeDocument/2006/relationships/image" Target="media/image87.png"/><Relationship Id="rId155" Type="http://schemas.openxmlformats.org/officeDocument/2006/relationships/image" Target="media/image88.png"/><Relationship Id="rId156" Type="http://schemas.openxmlformats.org/officeDocument/2006/relationships/image" Target="media/image89.png"/><Relationship Id="rId157" Type="http://schemas.openxmlformats.org/officeDocument/2006/relationships/image" Target="media/image90.png"/><Relationship Id="rId158" Type="http://schemas.openxmlformats.org/officeDocument/2006/relationships/image" Target="media/image91.png"/><Relationship Id="rId159" Type="http://schemas.openxmlformats.org/officeDocument/2006/relationships/image" Target="media/image92.png"/><Relationship Id="rId160" Type="http://schemas.openxmlformats.org/officeDocument/2006/relationships/image" Target="media/image93.png"/><Relationship Id="rId161" Type="http://schemas.openxmlformats.org/officeDocument/2006/relationships/image" Target="media/image94.png"/><Relationship Id="rId162" Type="http://schemas.openxmlformats.org/officeDocument/2006/relationships/image" Target="media/image95.png"/><Relationship Id="rId163" Type="http://schemas.openxmlformats.org/officeDocument/2006/relationships/image" Target="media/image96.png"/><Relationship Id="rId164" Type="http://schemas.openxmlformats.org/officeDocument/2006/relationships/image" Target="media/image97.png"/><Relationship Id="rId165" Type="http://schemas.openxmlformats.org/officeDocument/2006/relationships/image" Target="media/image98.png"/><Relationship Id="rId166" Type="http://schemas.openxmlformats.org/officeDocument/2006/relationships/image" Target="media/image99.jpeg"/><Relationship Id="rId167" Type="http://schemas.openxmlformats.org/officeDocument/2006/relationships/image" Target="media/image100.png"/><Relationship Id="rId168" Type="http://schemas.openxmlformats.org/officeDocument/2006/relationships/image" Target="media/image101.png"/><Relationship Id="rId169" Type="http://schemas.openxmlformats.org/officeDocument/2006/relationships/image" Target="media/image102.png"/><Relationship Id="rId170" Type="http://schemas.openxmlformats.org/officeDocument/2006/relationships/image" Target="media/image103.png"/><Relationship Id="rId171" Type="http://schemas.openxmlformats.org/officeDocument/2006/relationships/image" Target="media/image104.png"/><Relationship Id="rId172" Type="http://schemas.openxmlformats.org/officeDocument/2006/relationships/image" Target="media/image105.png"/><Relationship Id="rId173" Type="http://schemas.openxmlformats.org/officeDocument/2006/relationships/image" Target="media/image106.jpeg"/><Relationship Id="rId174" Type="http://schemas.openxmlformats.org/officeDocument/2006/relationships/image" Target="media/image107.jpeg"/><Relationship Id="rId175" Type="http://schemas.openxmlformats.org/officeDocument/2006/relationships/image" Target="media/image108.png"/><Relationship Id="rId176" Type="http://schemas.openxmlformats.org/officeDocument/2006/relationships/image" Target="media/image109.png"/><Relationship Id="rId177" Type="http://schemas.openxmlformats.org/officeDocument/2006/relationships/image" Target="media/image110.png"/><Relationship Id="rId178" Type="http://schemas.openxmlformats.org/officeDocument/2006/relationships/image" Target="media/image111.png"/><Relationship Id="rId179" Type="http://schemas.openxmlformats.org/officeDocument/2006/relationships/image" Target="media/image112.png"/><Relationship Id="rId180" Type="http://schemas.openxmlformats.org/officeDocument/2006/relationships/image" Target="media/image113.png"/><Relationship Id="rId181" Type="http://schemas.openxmlformats.org/officeDocument/2006/relationships/image" Target="media/image114.png"/><Relationship Id="rId182" Type="http://schemas.openxmlformats.org/officeDocument/2006/relationships/image" Target="media/image115.png"/><Relationship Id="rId183" Type="http://schemas.openxmlformats.org/officeDocument/2006/relationships/image" Target="media/image116.png"/><Relationship Id="rId184" Type="http://schemas.openxmlformats.org/officeDocument/2006/relationships/image" Target="media/image117.png"/><Relationship Id="rId185" Type="http://schemas.openxmlformats.org/officeDocument/2006/relationships/image" Target="media/image118.png"/><Relationship Id="rId186"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png"/><Relationship Id="rId206" Type="http://schemas.openxmlformats.org/officeDocument/2006/relationships/image" Target="media/image139.png"/><Relationship Id="rId207" Type="http://schemas.openxmlformats.org/officeDocument/2006/relationships/image" Target="media/image140.png"/><Relationship Id="rId208"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pn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jpe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jpe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jpe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jpe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jpe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jpeg"/><Relationship Id="rId274" Type="http://schemas.openxmlformats.org/officeDocument/2006/relationships/image" Target="media/image207.jpeg"/><Relationship Id="rId275" Type="http://schemas.openxmlformats.org/officeDocument/2006/relationships/image" Target="media/image208.pn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png"/><Relationship Id="rId279" Type="http://schemas.openxmlformats.org/officeDocument/2006/relationships/image" Target="media/image212.png"/><Relationship Id="rId280" Type="http://schemas.openxmlformats.org/officeDocument/2006/relationships/image" Target="media/image213.png"/><Relationship Id="rId281"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png"/><Relationship Id="rId288" Type="http://schemas.openxmlformats.org/officeDocument/2006/relationships/image" Target="media/image221.pn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pn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jpeg"/><Relationship Id="rId310" Type="http://schemas.openxmlformats.org/officeDocument/2006/relationships/image" Target="media/image243.jpe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325" Type="http://schemas.openxmlformats.org/officeDocument/2006/relationships/image" Target="media/image258.png"/><Relationship Id="rId326" Type="http://schemas.openxmlformats.org/officeDocument/2006/relationships/image" Target="media/image259.png"/><Relationship Id="rId327"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4" Type="http://schemas.openxmlformats.org/officeDocument/2006/relationships/image" Target="media/image267.png"/><Relationship Id="rId335" Type="http://schemas.openxmlformats.org/officeDocument/2006/relationships/image" Target="media/image268.png"/><Relationship Id="rId336" Type="http://schemas.openxmlformats.org/officeDocument/2006/relationships/image" Target="media/image269.png"/><Relationship Id="rId337" Type="http://schemas.openxmlformats.org/officeDocument/2006/relationships/image" Target="media/image270.png"/><Relationship Id="rId338" Type="http://schemas.openxmlformats.org/officeDocument/2006/relationships/image" Target="media/image271.png"/><Relationship Id="rId339" Type="http://schemas.openxmlformats.org/officeDocument/2006/relationships/image" Target="media/image272.png"/><Relationship Id="rId340" Type="http://schemas.openxmlformats.org/officeDocument/2006/relationships/image" Target="media/image273.png"/><Relationship Id="rId341" Type="http://schemas.openxmlformats.org/officeDocument/2006/relationships/image" Target="media/image274.png"/><Relationship Id="rId342" Type="http://schemas.openxmlformats.org/officeDocument/2006/relationships/image" Target="media/image275.png"/><Relationship Id="rId343" Type="http://schemas.openxmlformats.org/officeDocument/2006/relationships/image" Target="media/image276.jpeg"/><Relationship Id="rId344" Type="http://schemas.openxmlformats.org/officeDocument/2006/relationships/image" Target="media/image277.png"/><Relationship Id="rId345" Type="http://schemas.openxmlformats.org/officeDocument/2006/relationships/image" Target="media/image278.png"/><Relationship Id="rId346" Type="http://schemas.openxmlformats.org/officeDocument/2006/relationships/image" Target="media/image279.png"/><Relationship Id="rId347" Type="http://schemas.openxmlformats.org/officeDocument/2006/relationships/image" Target="media/image280.png"/><Relationship Id="rId348" Type="http://schemas.openxmlformats.org/officeDocument/2006/relationships/image" Target="media/image281.png"/><Relationship Id="rId349" Type="http://schemas.openxmlformats.org/officeDocument/2006/relationships/image" Target="media/image282.png"/><Relationship Id="rId350" Type="http://schemas.openxmlformats.org/officeDocument/2006/relationships/image" Target="media/image283.png"/><Relationship Id="rId351" Type="http://schemas.openxmlformats.org/officeDocument/2006/relationships/image" Target="media/image284.png"/><Relationship Id="rId352" Type="http://schemas.openxmlformats.org/officeDocument/2006/relationships/image" Target="media/image285.png"/><Relationship Id="rId353" Type="http://schemas.openxmlformats.org/officeDocument/2006/relationships/image" Target="media/image286.png"/><Relationship Id="rId354" Type="http://schemas.openxmlformats.org/officeDocument/2006/relationships/image" Target="media/image287.png"/><Relationship Id="rId355" Type="http://schemas.openxmlformats.org/officeDocument/2006/relationships/image" Target="media/image288.png"/><Relationship Id="rId356" Type="http://schemas.openxmlformats.org/officeDocument/2006/relationships/image" Target="media/image289.png"/><Relationship Id="rId357" Type="http://schemas.openxmlformats.org/officeDocument/2006/relationships/image" Target="media/image290.png"/><Relationship Id="rId358" Type="http://schemas.openxmlformats.org/officeDocument/2006/relationships/image" Target="media/image291.png"/><Relationship Id="rId359" Type="http://schemas.openxmlformats.org/officeDocument/2006/relationships/image" Target="media/image292.png"/><Relationship Id="rId360" Type="http://schemas.openxmlformats.org/officeDocument/2006/relationships/image" Target="media/image293.png"/><Relationship Id="rId361" Type="http://schemas.openxmlformats.org/officeDocument/2006/relationships/image" Target="media/image294.png"/><Relationship Id="rId362" Type="http://schemas.openxmlformats.org/officeDocument/2006/relationships/image" Target="media/image295.png"/><Relationship Id="rId363" Type="http://schemas.openxmlformats.org/officeDocument/2006/relationships/image" Target="media/image296.png"/><Relationship Id="rId364" Type="http://schemas.openxmlformats.org/officeDocument/2006/relationships/image" Target="media/image297.png"/><Relationship Id="rId365" Type="http://schemas.openxmlformats.org/officeDocument/2006/relationships/image" Target="media/image298.png"/><Relationship Id="rId366" Type="http://schemas.openxmlformats.org/officeDocument/2006/relationships/image" Target="media/image299.png"/><Relationship Id="rId367" Type="http://schemas.openxmlformats.org/officeDocument/2006/relationships/image" Target="media/image300.png"/><Relationship Id="rId368" Type="http://schemas.openxmlformats.org/officeDocument/2006/relationships/image" Target="media/image301.png"/><Relationship Id="rId369" Type="http://schemas.openxmlformats.org/officeDocument/2006/relationships/image" Target="media/image302.png"/><Relationship Id="rId370" Type="http://schemas.openxmlformats.org/officeDocument/2006/relationships/image" Target="media/image303.png"/><Relationship Id="rId371" Type="http://schemas.openxmlformats.org/officeDocument/2006/relationships/image" Target="media/image304.png"/><Relationship Id="rId372" Type="http://schemas.openxmlformats.org/officeDocument/2006/relationships/image" Target="media/image305.png"/><Relationship Id="rId373" Type="http://schemas.openxmlformats.org/officeDocument/2006/relationships/image" Target="media/image306.png"/><Relationship Id="rId374" Type="http://schemas.openxmlformats.org/officeDocument/2006/relationships/image" Target="media/image307.png"/><Relationship Id="rId375" Type="http://schemas.openxmlformats.org/officeDocument/2006/relationships/image" Target="media/image308.png"/><Relationship Id="rId376" Type="http://schemas.openxmlformats.org/officeDocument/2006/relationships/image" Target="media/image309.png"/><Relationship Id="rId377" Type="http://schemas.openxmlformats.org/officeDocument/2006/relationships/image" Target="media/image310.png"/><Relationship Id="rId378" Type="http://schemas.openxmlformats.org/officeDocument/2006/relationships/image" Target="media/image311.png"/><Relationship Id="rId379" Type="http://schemas.openxmlformats.org/officeDocument/2006/relationships/image" Target="media/image312.png"/><Relationship Id="rId380" Type="http://schemas.openxmlformats.org/officeDocument/2006/relationships/image" Target="media/image313.png"/><Relationship Id="rId381" Type="http://schemas.openxmlformats.org/officeDocument/2006/relationships/image" Target="media/image314.png"/><Relationship Id="rId382" Type="http://schemas.openxmlformats.org/officeDocument/2006/relationships/image" Target="media/image315.png"/><Relationship Id="rId383" Type="http://schemas.openxmlformats.org/officeDocument/2006/relationships/image" Target="media/image316.png"/><Relationship Id="rId384" Type="http://schemas.openxmlformats.org/officeDocument/2006/relationships/image" Target="media/image317.png"/><Relationship Id="rId385" Type="http://schemas.openxmlformats.org/officeDocument/2006/relationships/image" Target="media/image318.png"/><Relationship Id="rId386" Type="http://schemas.openxmlformats.org/officeDocument/2006/relationships/image" Target="media/image319.png"/><Relationship Id="rId387" Type="http://schemas.openxmlformats.org/officeDocument/2006/relationships/image" Target="media/image320.png"/><Relationship Id="rId388" Type="http://schemas.openxmlformats.org/officeDocument/2006/relationships/image" Target="media/image321.png"/><Relationship Id="rId389" Type="http://schemas.openxmlformats.org/officeDocument/2006/relationships/image" Target="media/image322.png"/><Relationship Id="rId390" Type="http://schemas.openxmlformats.org/officeDocument/2006/relationships/image" Target="media/image323.png"/><Relationship Id="rId391" Type="http://schemas.openxmlformats.org/officeDocument/2006/relationships/image" Target="media/image324.png"/><Relationship Id="rId392" Type="http://schemas.openxmlformats.org/officeDocument/2006/relationships/image" Target="media/image325.png"/><Relationship Id="rId393" Type="http://schemas.openxmlformats.org/officeDocument/2006/relationships/image" Target="media/image326.png"/><Relationship Id="rId394" Type="http://schemas.openxmlformats.org/officeDocument/2006/relationships/image" Target="media/image327.png"/><Relationship Id="rId395" Type="http://schemas.openxmlformats.org/officeDocument/2006/relationships/image" Target="media/image328.png"/><Relationship Id="rId396" Type="http://schemas.openxmlformats.org/officeDocument/2006/relationships/image" Target="media/image329.png"/><Relationship Id="rId397" Type="http://schemas.openxmlformats.org/officeDocument/2006/relationships/image" Target="media/image330.png"/><Relationship Id="rId58" Type="http://schemas.openxmlformats.org/officeDocument/2006/relationships/hyperlink" Target="http://www.sec.gov/Archives/edgar/data/1410428/000114420416117230/v446257_ex2-1.htm" TargetMode="External"/><Relationship Id="rId59" Type="http://schemas.openxmlformats.org/officeDocument/2006/relationships/hyperlink" Target="http://www.sec.gov/Archives/edgar/data/1410428/000114420416123414/v448507_ex2-1.htm" TargetMode="External"/><Relationship Id="rId60" Type="http://schemas.openxmlformats.org/officeDocument/2006/relationships/hyperlink" Target="http://www.sec.gov/Archives/edgar/data/1410428/000114420416129472/v451220_ex2-1.htm" TargetMode="External"/><Relationship Id="rId61" Type="http://schemas.openxmlformats.org/officeDocument/2006/relationships/hyperlink" Target="http://www.sec.gov/Archives/edgar/data/1410428/000114420419017496/tv516017_ex3-2.htm" TargetMode="External"/><Relationship Id="rId62" Type="http://schemas.openxmlformats.org/officeDocument/2006/relationships/hyperlink" Target="http://www.sec.gov/Archives/edgar/data/1410428/000114420415059695/v422196_ex4-1.htm" TargetMode="External"/><Relationship Id="rId63" Type="http://schemas.openxmlformats.org/officeDocument/2006/relationships/hyperlink" Target="http://www.sec.gov/Archives/edgar/data/1410428/000114420415027143/v409292_ex10-3.htm" TargetMode="External"/><Relationship Id="rId64" Type="http://schemas.openxmlformats.org/officeDocument/2006/relationships/hyperlink" Target="http://www.sec.gov/Archives/edgar/data/1410428/000114420416089189/v434655_ex4-1.htm" TargetMode="External"/><Relationship Id="rId65" Type="http://schemas.openxmlformats.org/officeDocument/2006/relationships/hyperlink" Target="http://www.sec.gov/Archives/edgar/data/1410428/000114420419015650/tv516755_ex10-1.htm" TargetMode="External"/><Relationship Id="rId66" Type="http://schemas.openxmlformats.org/officeDocument/2006/relationships/hyperlink" Target="http://www.sec.gov/Archives/edgar/data/1410428/000114420416129474/v449051_s4a.htm" TargetMode="External"/><Relationship Id="rId67" Type="http://schemas.openxmlformats.org/officeDocument/2006/relationships/hyperlink" Target="http://www.sec.gov/Archives/edgar/data/1410428/000114420418028911/tv492938_ex4-1.htm" TargetMode="External"/><Relationship Id="rId68" Type="http://schemas.openxmlformats.org/officeDocument/2006/relationships/hyperlink" Target="http://www.sec.gov/Archives/edgar/data/1410428/000114420419032532/tv524367_ex4-1.htm" TargetMode="External"/><Relationship Id="rId69" Type="http://schemas.openxmlformats.org/officeDocument/2006/relationships/hyperlink" Target="http://www.sec.gov/Archives/edgar/data/1410428/000114420419033939/tv524856_ex4-3.htm" TargetMode="External"/><Relationship Id="rId70" Type="http://schemas.openxmlformats.org/officeDocument/2006/relationships/hyperlink" Target="http://www.sec.gov/Archives/edgar/data/1410428/000110465920003636/tm203197d1_ex4-1.htm" TargetMode="External"/><Relationship Id="rId71" Type="http://schemas.openxmlformats.org/officeDocument/2006/relationships/hyperlink" Target="http://www.sec.gov/Archives/edgar/data/1410428/000110465920029962/tm2011914d1_ex4-1.htm" TargetMode="External"/><Relationship Id="rId72" Type="http://schemas.openxmlformats.org/officeDocument/2006/relationships/hyperlink" Target="http://www.sec.gov/Archives/edgar/data/1410428/000114420418028911/tv492938_ex4-2.htm" TargetMode="External"/><Relationship Id="rId73" Type="http://schemas.openxmlformats.org/officeDocument/2006/relationships/hyperlink" Target="http://www.sec.gov/Archives/edgar/data/1410428/000114420418028911/tv492938_ex4-3.htm" TargetMode="External"/><Relationship Id="rId74" Type="http://schemas.openxmlformats.org/officeDocument/2006/relationships/hyperlink" Target="http://www.sec.gov/Archives/edgar/data/1410428/000114420419027101/tv521899_ex10-1.htm" TargetMode="External"/><Relationship Id="rId75" Type="http://schemas.openxmlformats.org/officeDocument/2006/relationships/hyperlink" Target="http://www.sec.gov/Archives/edgar/data/1410428/000114420419031189/tv523626_ex10-1.htm" TargetMode="External"/><Relationship Id="rId76" Type="http://schemas.openxmlformats.org/officeDocument/2006/relationships/hyperlink" Target="http://www.sec.gov/Archives/edgar/data/1410428/000114420419033939/tv524856_ex4-1.htm" TargetMode="External"/><Relationship Id="rId77" Type="http://schemas.openxmlformats.org/officeDocument/2006/relationships/hyperlink" Target="http://www.sec.gov/Archives/edgar/data/1410428/000114420419033939/tv524856_ex4-2.htm" TargetMode="External"/><Relationship Id="rId78" Type="http://schemas.openxmlformats.org/officeDocument/2006/relationships/hyperlink" Target="http://www.sec.gov/Archives/edgar/data/1410428/000114420419033939/tv524856_ex4-4.htm" TargetMode="External"/><Relationship Id="rId79" Type="http://schemas.openxmlformats.org/officeDocument/2006/relationships/hyperlink" Target="http://www.sec.gov/Archives/edgar/data/1410428/000110465920035631/tm2013177d1_ex4-1.htm" TargetMode="External"/><Relationship Id="rId80" Type="http://schemas.openxmlformats.org/officeDocument/2006/relationships/hyperlink" Target="http://www.sec.gov/Archives/edgar/data/1410428/000110465920038562/tm2013765d1_ex4-1.htm" TargetMode="External"/><Relationship Id="rId81" Type="http://schemas.openxmlformats.org/officeDocument/2006/relationships/hyperlink" Target="http://www.sec.gov/Archives/edgar/data/1410428/000110465920039953/tm2014049d1_ex4-1.htm" TargetMode="External"/><Relationship Id="rId82" Type="http://schemas.openxmlformats.org/officeDocument/2006/relationships/hyperlink" Target="http://www.sec.gov/Archives/edgar/data/1410428/000110465920043879/tm2015133d1_ex4-1.htm" TargetMode="External"/><Relationship Id="rId83" Type="http://schemas.openxmlformats.org/officeDocument/2006/relationships/hyperlink" Target="http://www.sec.gov/Archives/edgar/data/1410428/000110465920048297/tm2016230-1_ex41.htm" TargetMode="External"/><Relationship Id="rId84" Type="http://schemas.openxmlformats.org/officeDocument/2006/relationships/hyperlink" Target="http://www.sec.gov/Archives/edgar/data/1410428/000114420415056596/v420716_def14a.htm" TargetMode="External"/><Relationship Id="rId85" Type="http://schemas.openxmlformats.org/officeDocument/2006/relationships/hyperlink" Target="http://www.sec.gov/Archives/edgar/data/1410428/000119312510069268/dex45.htm" TargetMode="External"/><Relationship Id="rId86" Type="http://schemas.openxmlformats.org/officeDocument/2006/relationships/hyperlink" Target="http://www.sec.gov/Archives/edgar/data/1410428/000114420412041064/v319421_ex99-2.htm" TargetMode="External"/><Relationship Id="rId87" Type="http://schemas.openxmlformats.org/officeDocument/2006/relationships/hyperlink" Target="http://www.sec.gov/Archives/edgar/data/1410428/000114420412041064/v319421_ex99-3.htm" TargetMode="External"/><Relationship Id="rId88" Type="http://schemas.openxmlformats.org/officeDocument/2006/relationships/hyperlink" Target="http://www.sec.gov/Archives/edgar/data/1410428/000114420413016671/v333989_ex10-24.htm" TargetMode="External"/><Relationship Id="rId89" Type="http://schemas.openxmlformats.org/officeDocument/2006/relationships/hyperlink" Target="http://www.sec.gov/Archives/edgar/data/1410428/000114420416136736/v454026_ex10-1.htm" TargetMode="External"/><Relationship Id="rId90" Type="http://schemas.openxmlformats.org/officeDocument/2006/relationships/hyperlink" Target="http://www.sec.gov/Archives/edgar/data/1410428/000114420416141154/v455681_ex10-1.htm" TargetMode="External"/><Relationship Id="rId91" Type="http://schemas.openxmlformats.org/officeDocument/2006/relationships/hyperlink" Target="http://www.sec.gov/Archives/edgar/data/1410428/000114420417027519/v466214_ex10-2.htm" TargetMode="External"/><Relationship Id="rId92" Type="http://schemas.openxmlformats.org/officeDocument/2006/relationships/hyperlink" Target="http://www.sec.gov/Archives/edgar/data/1410428/000114420418028911/tv492938_ex10-1.htm" TargetMode="External"/><Relationship Id="rId93" Type="http://schemas.openxmlformats.org/officeDocument/2006/relationships/hyperlink" Target="http://www.sec.gov/Archives/edgar/data/1410428/000114420418028911/tv492938_ex10-2.htm" TargetMode="External"/><Relationship Id="rId94" Type="http://schemas.openxmlformats.org/officeDocument/2006/relationships/hyperlink" Target="http://www.sec.gov/Archives/edgar/data/1410428/000114420418028911/tv492938_ex10-3.htm" TargetMode="External"/><Relationship Id="rId95" Type="http://schemas.openxmlformats.org/officeDocument/2006/relationships/hyperlink" Target="http://www.sec.gov/Archives/edgar/data/1410428/000114420418028911/tv492938_ex10-4.htm" TargetMode="External"/><Relationship Id="rId96" Type="http://schemas.openxmlformats.org/officeDocument/2006/relationships/hyperlink" Target="http://www.sec.gov/Archives/edgar/data/1410428/000114420419033939/tv524856_ex10-3.htm" TargetMode="External"/><Relationship Id="rId97" Type="http://schemas.openxmlformats.org/officeDocument/2006/relationships/hyperlink" Target="http://www.sec.gov/Archives/edgar/data/1410428/000114420419033939/tv524856_ex10-4.htm" TargetMode="External"/><Relationship Id="rId98" Type="http://schemas.openxmlformats.org/officeDocument/2006/relationships/hyperlink" Target="http://www.sec.gov/Archives/edgar/data/1410428/000114420419041673/tv528277_ex10-1.htm" TargetMode="External"/><Relationship Id="rId99" Type="http://schemas.openxmlformats.org/officeDocument/2006/relationships/hyperlink" Target="http://www.sec.gov/Archives/edgar/data/1410428/000110465920003636/tm203197d1_ex10-2.htm" TargetMode="External"/><Relationship Id="rId100" Type="http://schemas.openxmlformats.org/officeDocument/2006/relationships/hyperlink" Target="http://www.sec.gov/Archives/edgar/data/1410428/000110465920029962/tm2011914d1_ex10-1.htm" TargetMode="External"/><Relationship Id="rId101" Type="http://schemas.openxmlformats.org/officeDocument/2006/relationships/hyperlink" Target="http://www.sec.gov/Archives/edgar/data/1410428/000114420418028911/tv492938_ex10-8.htm" TargetMode="External"/><Relationship Id="rId102" Type="http://schemas.openxmlformats.org/officeDocument/2006/relationships/hyperlink" Target="http://www.sec.gov/Archives/edgar/data/1410428/000114420418028911/tv492938_ex10-9.htm" TargetMode="External"/><Relationship Id="rId103" Type="http://schemas.openxmlformats.org/officeDocument/2006/relationships/hyperlink" Target="http://www.sec.gov/Archives/edgar/data/1410428/000114420419033939/tv524856_ex10-5.htm" TargetMode="External"/><Relationship Id="rId104" Type="http://schemas.openxmlformats.org/officeDocument/2006/relationships/hyperlink" Target="http://www.sec.gov/Archives/edgar/data/1410428/000114420419017496/tv516017_ex10-28.htm" TargetMode="External"/><Relationship Id="rId105" Type="http://schemas.openxmlformats.org/officeDocument/2006/relationships/hyperlink" Target="http://www.sec.gov/Archives/edgar/data/1410428/000110465919064328/tm1919635d1_ex108.htm" TargetMode="External"/><Relationship Id="rId106" Type="http://schemas.openxmlformats.org/officeDocument/2006/relationships/hyperlink" Target="http://www.sec.gov/Archives/edgar/data/1410428/000114420419014325/tv516349_ex10-1.htm" TargetMode="External"/><Relationship Id="rId107" Type="http://schemas.openxmlformats.org/officeDocument/2006/relationships/hyperlink" Target="http://www.sec.gov/Archives/edgar/data/1410428/000114420419014325/tv516349_ex10-2.htm" TargetMode="External"/><Relationship Id="rId108" Type="http://schemas.openxmlformats.org/officeDocument/2006/relationships/hyperlink" Target="http://www.sec.gov/Archives/edgar/data/1410428/000114420419033939/tv524856_ex10-1.htm" TargetMode="External"/><Relationship Id="rId109" Type="http://schemas.openxmlformats.org/officeDocument/2006/relationships/hyperlink" Target="http://www.sec.gov/Archives/edgar/data/1410428/000114420419033939/tv524856_ex10-2.htm" TargetMode="External"/><Relationship Id="rId110" Type="http://schemas.openxmlformats.org/officeDocument/2006/relationships/hyperlink" Target="http://www.sec.gov/Archives/edgar/data/1410428/000114420419047032/tv530541_ex10-1.htm" TargetMode="External"/><Relationship Id="rId111" Type="http://schemas.openxmlformats.org/officeDocument/2006/relationships/hyperlink" Target="http://www.sec.gov/Archives/edgar/data/1410428/000110465920003636/tm203197d1_ex10-1.htm" TargetMode="External"/><Relationship Id="rId112" Type="http://schemas.openxmlformats.org/officeDocument/2006/relationships/hyperlink" Target="http://www.sec.gov/Archives/edgar/data/1410428/000110465920035631/tm2013177d1_ex10-1.htm" TargetMode="External"/><Relationship Id="rId113" Type="http://schemas.openxmlformats.org/officeDocument/2006/relationships/hyperlink" Target="http://www.sec.gov/Archives/edgar/data/1410428/000110465920035631/tm2013177d1_ex10-2.htm" TargetMode="External"/><Relationship Id="rId114" Type="http://schemas.openxmlformats.org/officeDocument/2006/relationships/hyperlink" Target="http://www.sec.gov/Archives/edgar/data/1410428/000110465920035631/tm2013177d1_ex10-3.htm" TargetMode="External"/><Relationship Id="rId115" Type="http://schemas.openxmlformats.org/officeDocument/2006/relationships/hyperlink" Target="http://www.sec.gov/Archives/edgar/data/1410428/000110465920038562/tm2013765d1_ex10-1.htm" TargetMode="External"/><Relationship Id="rId116" Type="http://schemas.openxmlformats.org/officeDocument/2006/relationships/hyperlink" Target="http://www.sec.gov/Archives/edgar/data/1410428/000110465920039953/tm2014049d1_ex10-1.htm" TargetMode="External"/><Relationship Id="rId117" Type="http://schemas.openxmlformats.org/officeDocument/2006/relationships/hyperlink" Target="http://www.sec.gov/Archives/edgar/data/1410428/000110465920043879/tm201513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2020-04-20T16:27:15Z</dcterms:created>
  <dcterms:modified xsi:type="dcterms:W3CDTF">2020-04-20T16:27:15Z</dcterms:modified>
</cp:coreProperties>
</file>