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Bernstein Bruce</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XpresSpa 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XSPA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w w:val="96"/>
              </w:rPr>
              <w:t>C/O XPRESSPA GROUP, INC.</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4"/>
          </w:tcPr>
          <w:p>
            <w:pPr>
              <w:ind w:left="80"/>
              <w:spacing w:after="0"/>
              <w:rPr>
                <w:sz w:val="20"/>
                <w:szCs w:val="20"/>
                <w:color w:val="auto"/>
              </w:rPr>
            </w:pPr>
            <w:r>
              <w:rPr>
                <w:rFonts w:ascii="Arial" w:cs="Arial" w:eastAsia="Arial" w:hAnsi="Arial"/>
                <w:sz w:val="17"/>
                <w:szCs w:val="17"/>
                <w:color w:val="0000FF"/>
              </w:rPr>
              <w:t>08/19/2021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8"/>
            <w:vMerge w:val="restart"/>
          </w:tcPr>
          <w:p>
            <w:pPr>
              <w:spacing w:after="0"/>
              <w:rPr>
                <w:sz w:val="20"/>
                <w:szCs w:val="20"/>
                <w:color w:val="auto"/>
              </w:rPr>
            </w:pPr>
            <w:r>
              <w:rPr>
                <w:rFonts w:ascii="Arial" w:cs="Arial" w:eastAsia="Arial" w:hAnsi="Arial"/>
                <w:sz w:val="17"/>
                <w:szCs w:val="17"/>
                <w:color w:val="0000FF"/>
              </w:rPr>
              <w:t>254 WEST 31ST STREET, 11TH FLOOR</w:t>
            </w: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8"/>
            <w:vMerge w:val="continue"/>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10001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580" w:type="dxa"/>
            <w:vAlign w:val="bottom"/>
            <w:tcBorders>
              <w:bottom w:val="single" w:sz="8" w:color="2C2C2C"/>
            </w:tcBorders>
            <w:gridSpan w:val="2"/>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5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188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6"/>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ind w:left="720"/>
              <w:spacing w:after="0"/>
              <w:rPr>
                <w:sz w:val="20"/>
                <w:szCs w:val="20"/>
                <w:color w:val="auto"/>
              </w:rPr>
            </w:pPr>
            <w:r>
              <w:rPr>
                <w:rFonts w:ascii="Arial" w:cs="Arial" w:eastAsia="Arial" w:hAnsi="Arial"/>
                <w:sz w:val="17"/>
                <w:szCs w:val="17"/>
                <w:color w:val="0000FF"/>
              </w:rPr>
              <w:t>08/19/2021</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2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107,500</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1.4253</w:t>
            </w:r>
            <w:r>
              <w:rPr>
                <w:rFonts w:ascii="Arial" w:cs="Arial" w:eastAsia="Arial" w:hAnsi="Arial"/>
                <w:sz w:val="22"/>
                <w:szCs w:val="22"/>
                <w:color w:val="008000"/>
                <w:w w:val="93"/>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664,198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2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$1.37 to $1.47, inclusive. The reporting person undertakes to provide to XpresSpa Group, Inc. any security holder of XpresSpa Group, Inc., or the staff of the Securities and Exchange Commission, upon request, full information regarding the number of shares sold at each separate price within the ranges set forth in this footnote.</w:t>
      </w:r>
    </w:p>
    <w:p>
      <w:pPr>
        <w:spacing w:after="0" w:line="25" w:lineRule="exact"/>
        <w:rPr>
          <w:rFonts w:ascii="Arial" w:cs="Arial" w:eastAsia="Arial" w:hAnsi="Arial"/>
          <w:sz w:val="13"/>
          <w:szCs w:val="13"/>
          <w:color w:val="008000"/>
        </w:rPr>
      </w:pPr>
    </w:p>
    <w:p>
      <w:pPr>
        <w:ind w:left="40" w:right="1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total also includes 500,000 restricted stock units, which were granted on July 29, 2021 and were previously reported and which vest in equal quarterly installments over a one-year period, with one-fourth vesting at the end of each fiscal quarter, such that the options will be fully vested as of June 30, 2022.</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Bruce Bernstein</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08/19/2021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65472"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2021-08-19T18:42:09Z</dcterms:created>
  <dcterms:modified xsi:type="dcterms:W3CDTF">2021-08-19T18:42:09Z</dcterms:modified>
</cp:coreProperties>
</file>