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616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Glanz Steven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18 E. 16TH ST., 7TH FLOOR</w:t>
            </w: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10003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6"/>
        <w:spacing w:after="0"/>
        <w:rPr>
          <w:sz w:val="20"/>
          <w:szCs w:val="20"/>
          <w:color w:val="auto"/>
        </w:rPr>
      </w:pPr>
      <w:r>
        <w:rPr>
          <w:rFonts w:ascii="Arial" w:cs="Arial" w:eastAsia="Arial" w:hAnsi="Arial"/>
          <w:sz w:val="18"/>
          <w:szCs w:val="18"/>
          <w:color w:val="0000FF"/>
        </w:rPr>
        <w:t>Senior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0000FF"/>
              </w:rPr>
              <w:t>9,578</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(1)</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8"/>
              </w:rPr>
              <w:t>10/30/2006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10/30/2012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8"/>
              </w:rPr>
              <w:t>8,333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8"/>
              </w:rPr>
              <w:t>01/20/2008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01/20/2014</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8"/>
              </w:rPr>
              <w:t>6,667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8"/>
              </w:rPr>
              <w:t>11/01/2008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8"/>
              </w:rPr>
              <w:t>1,039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8"/>
              </w:rPr>
              <w:t>01/01/2009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8"/>
              </w:rPr>
              <w:t>1,558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8"/>
              </w:rPr>
              <w:t>04/01/2009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8"/>
              </w:rPr>
              <w:t>1,558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(4)</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6"/>
              </w:rPr>
              <w:t>100,000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0.01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(5)</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7"/>
              </w:rPr>
              <w:t>85,000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October 30, 2006. One-fourth of the grant became exercisable six months after the date of the grant,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January 20, 2008. One-fourth of the grant became exercisable one year after the date of the grant,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June 25, 2009. One-fourth of the grant became exercisable one year after the respective vesting commencement date,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One-third of the grant becomes exercisable one year after the consummation of the company's initial public offering, with the remainder becoming exercisable in equal annual installments over the following two years. The stock options will expire six years following the company's initial public offering.</w:t>
      </w:r>
    </w:p>
    <w:p>
      <w:pPr>
        <w:ind w:left="40" w:right="360" w:firstLine="9"/>
        <w:spacing w:after="0" w:line="31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One-fourth of the grant becomes exercisable one year after the consummation of the company's initial public offering, with the remainder becoming exercisable in equal quarterly installments over the following three years. The stock options will expire six years following the company's initial public offering.</w:t>
      </w:r>
    </w:p>
    <w:tbl>
      <w:tblPr>
        <w:tblLayout w:type="fixed"/>
        <w:tblInd w:w="6860" w:type="dxa"/>
        <w:tblCellMar>
          <w:top w:w="0" w:type="dxa"/>
          <w:left w:w="0" w:type="dxa"/>
          <w:bottom w:w="0" w:type="dxa"/>
          <w:right w:w="0" w:type="dxa"/>
        </w:tblCellMar>
      </w:tblPr>
      <w:tr>
        <w:trPr>
          <w:trHeight w:val="199"/>
        </w:trPr>
        <w:tc>
          <w:tcPr>
            <w:tcW w:w="1160" w:type="dxa"/>
            <w:vAlign w:val="bottom"/>
          </w:tcPr>
          <w:p>
            <w:pPr>
              <w:spacing w:after="0" w:line="199" w:lineRule="exact"/>
              <w:rPr>
                <w:sz w:val="20"/>
                <w:szCs w:val="20"/>
                <w:color w:val="auto"/>
              </w:rPr>
            </w:pPr>
            <w:r>
              <w:rPr>
                <w:rFonts w:ascii="Arial" w:cs="Arial" w:eastAsia="Arial" w:hAnsi="Arial"/>
                <w:sz w:val="18"/>
                <w:szCs w:val="18"/>
                <w:color w:val="0000FF"/>
                <w:w w:val="86"/>
              </w:rPr>
              <w:t>/s/ Steven Glanz</w:t>
            </w:r>
          </w:p>
        </w:tc>
        <w:tc>
          <w:tcPr>
            <w:tcW w:w="96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06/21/2010</w:t>
            </w: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76087"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2019-12-17T14:11:41Z</dcterms:created>
  <dcterms:modified xsi:type="dcterms:W3CDTF">2019-12-17T14:11:41Z</dcterms:modified>
</cp:coreProperties>
</file>