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591820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660400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3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31" w:lineRule="exact"/>
        <w:rPr>
          <w:sz w:val="24"/>
          <w:szCs w:val="24"/>
          <w:color w:val="auto"/>
        </w:rPr>
      </w:pPr>
    </w:p>
    <w:p>
      <w:pPr>
        <w:ind w:left="60" w:right="299" w:hanging="10"/>
        <w:spacing w:after="0" w:line="247" w:lineRule="auto"/>
        <w:tabs>
          <w:tab w:leader="none" w:pos="708" w:val="left"/>
        </w:tabs>
        <w:numPr>
          <w:ilvl w:val="0"/>
          <w:numId w:val="1"/>
        </w:numPr>
        <w:rPr>
          <w:rFonts w:ascii="Arial" w:cs="Arial" w:eastAsia="Arial" w:hAnsi="Arial"/>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131" w:lineRule="exact"/>
        <w:rPr>
          <w:sz w:val="24"/>
          <w:szCs w:val="24"/>
          <w:color w:val="auto"/>
        </w:rPr>
      </w:pPr>
    </w:p>
    <w:p>
      <w:pPr>
        <w:ind w:left="60" w:right="279" w:hanging="10"/>
        <w:spacing w:after="0" w:line="247" w:lineRule="auto"/>
        <w:tabs>
          <w:tab w:leader="none" w:pos="708" w:val="left"/>
        </w:tabs>
        <w:numPr>
          <w:ilvl w:val="0"/>
          <w:numId w:val="2"/>
        </w:numPr>
        <w:rPr>
          <w:rFonts w:ascii="Arial" w:cs="Arial" w:eastAsia="Arial" w:hAnsi="Arial"/>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___ to ___</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001-34785</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XWELL,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93" w:lineRule="exact"/>
        <w:rPr>
          <w:sz w:val="24"/>
          <w:szCs w:val="24"/>
          <w:color w:val="auto"/>
        </w:rPr>
      </w:pPr>
    </w:p>
    <w:tbl>
      <w:tblPr>
        <w:tblLayout w:type="fixed"/>
        <w:tblInd w:w="440" w:type="dxa"/>
        <w:tblCellMar>
          <w:top w:w="0" w:type="dxa"/>
          <w:left w:w="0" w:type="dxa"/>
          <w:bottom w:w="0" w:type="dxa"/>
          <w:right w:w="0" w:type="dxa"/>
        </w:tblCellMar>
      </w:tblPr>
      <w:tr>
        <w:trPr>
          <w:trHeight w:val="220"/>
        </w:trPr>
        <w:tc>
          <w:tcPr>
            <w:tcW w:w="464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16"/>
        </w:trPr>
        <w:tc>
          <w:tcPr>
            <w:tcW w:w="464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64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19"/>
        </w:trPr>
        <w:tc>
          <w:tcPr>
            <w:tcW w:w="464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7"/>
              </w:rPr>
              <w:t>254 West 31</w:t>
            </w:r>
            <w:r>
              <w:rPr>
                <w:rFonts w:ascii="Times New Roman" w:cs="Times New Roman" w:eastAsia="Times New Roman" w:hAnsi="Times New Roman"/>
                <w:sz w:val="26"/>
                <w:szCs w:val="26"/>
                <w:b w:val="1"/>
                <w:bCs w:val="1"/>
                <w:color w:val="auto"/>
                <w:w w:val="97"/>
                <w:vertAlign w:val="superscript"/>
              </w:rPr>
              <w:t>st</w:t>
            </w:r>
            <w:r>
              <w:rPr>
                <w:rFonts w:ascii="Times New Roman" w:cs="Times New Roman" w:eastAsia="Times New Roman" w:hAnsi="Times New Roman"/>
                <w:sz w:val="18"/>
                <w:szCs w:val="18"/>
                <w:b w:val="1"/>
                <w:bCs w:val="1"/>
                <w:color w:val="auto"/>
                <w:w w:val="97"/>
              </w:rPr>
              <w:t xml:space="preserve"> Street, 11th Floor, New York, NY</w:t>
            </w:r>
          </w:p>
        </w:tc>
        <w:tc>
          <w:tcPr>
            <w:tcW w:w="23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34"/>
        </w:trPr>
        <w:tc>
          <w:tcPr>
            <w:tcW w:w="464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750-9595</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7" w:lineRule="exact"/>
        <w:rPr>
          <w:sz w:val="24"/>
          <w:szCs w:val="24"/>
          <w:color w:val="auto"/>
        </w:rPr>
      </w:pPr>
    </w:p>
    <w:tbl>
      <w:tblPr>
        <w:tblLayout w:type="fixed"/>
        <w:tblInd w:w="60" w:type="dxa"/>
        <w:tblCellMar>
          <w:top w:w="0" w:type="dxa"/>
          <w:left w:w="0" w:type="dxa"/>
          <w:bottom w:w="0" w:type="dxa"/>
          <w:right w:w="0" w:type="dxa"/>
        </w:tblCellMar>
      </w:tblPr>
      <w:tr>
        <w:trPr>
          <w:trHeight w:val="245"/>
        </w:trPr>
        <w:tc>
          <w:tcPr>
            <w:tcW w:w="3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80" w:type="dxa"/>
            <w:vAlign w:val="bottom"/>
          </w:tcPr>
          <w:p>
            <w:pPr>
              <w:spacing w:after="0"/>
              <w:rPr>
                <w:sz w:val="20"/>
                <w:szCs w:val="20"/>
                <w:color w:val="auto"/>
              </w:rPr>
            </w:pP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XWEL</w:t>
            </w:r>
          </w:p>
        </w:tc>
        <w:tc>
          <w:tcPr>
            <w:tcW w:w="180" w:type="dxa"/>
            <w:vAlign w:val="bottom"/>
          </w:tcPr>
          <w:p>
            <w:pPr>
              <w:spacing w:after="0"/>
              <w:rPr>
                <w:sz w:val="20"/>
                <w:szCs w:val="20"/>
                <w:color w:val="auto"/>
              </w:rPr>
            </w:pPr>
          </w:p>
        </w:tc>
        <w:tc>
          <w:tcPr>
            <w:tcW w:w="3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44" w:lineRule="exact"/>
        <w:rPr>
          <w:sz w:val="24"/>
          <w:szCs w:val="24"/>
          <w:color w:val="auto"/>
        </w:rPr>
      </w:pPr>
    </w:p>
    <w:p>
      <w:pPr>
        <w:jc w:val="both"/>
        <w:ind w:left="60" w:right="79"/>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w:t>
      </w:r>
    </w:p>
    <w:p>
      <w:pPr>
        <w:sectPr>
          <w:pgSz w:w="11900" w:h="16838" w:orient="portrait"/>
          <w:cols w:equalWidth="0" w:num="1">
            <w:col w:w="9019"/>
          </w:cols>
          <w:pgMar w:left="1440" w:top="661" w:right="1440" w:bottom="1440" w:gutter="0" w:footer="0" w:header="0"/>
        </w:sectPr>
      </w:pPr>
    </w:p>
    <w:p>
      <w:pPr>
        <w:ind w:left="60"/>
        <w:spacing w:after="0" w:line="233" w:lineRule="auto"/>
        <w:rPr>
          <w:sz w:val="20"/>
          <w:szCs w:val="20"/>
          <w:color w:val="auto"/>
        </w:rPr>
      </w:pPr>
      <w:r>
        <w:rPr>
          <w:rFonts w:ascii="Times New Roman" w:cs="Times New Roman" w:eastAsia="Times New Roman" w:hAnsi="Times New Roman"/>
          <w:sz w:val="17"/>
          <w:szCs w:val="17"/>
          <w:color w:val="auto"/>
        </w:rPr>
        <w:t>required to file such reports), and (2) has been subject to such filing requirements for the past 90 days.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98" w:lineRule="exact"/>
        <w:rPr>
          <w:sz w:val="20"/>
          <w:szCs w:val="20"/>
          <w:color w:val="auto"/>
        </w:rPr>
      </w:pP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jc w:val="center"/>
        <w:ind w:right="239"/>
        <w:spacing w:after="0" w:line="198" w:lineRule="exact"/>
        <w:rPr>
          <w:sz w:val="20"/>
          <w:szCs w:val="20"/>
          <w:color w:val="auto"/>
        </w:rPr>
      </w:pPr>
      <w:r>
        <w:rPr>
          <w:rFonts w:ascii="Times New Roman" w:cs="Times New Roman" w:eastAsia="Times New Roman" w:hAnsi="Times New Roman"/>
          <w:sz w:val="18"/>
          <w:szCs w:val="18"/>
          <w:color w:val="auto"/>
        </w:rPr>
        <w:t xml:space="preserve">No </w:t>
      </w:r>
      <w:r>
        <w:rPr>
          <w:rFonts w:ascii="Arial Unicode MS" w:cs="Arial Unicode MS" w:eastAsia="Arial Unicode MS" w:hAnsi="Arial Unicode MS"/>
          <w:sz w:val="18"/>
          <w:szCs w:val="18"/>
          <w:color w:val="auto"/>
        </w:rPr>
        <w:t>☐</w:t>
      </w:r>
    </w:p>
    <w:p>
      <w:pPr>
        <w:spacing w:after="0" w:line="36" w:lineRule="exact"/>
        <w:rPr>
          <w:sz w:val="24"/>
          <w:szCs w:val="24"/>
          <w:color w:val="auto"/>
        </w:rPr>
      </w:pPr>
    </w:p>
    <w:p>
      <w:pPr>
        <w:sectPr>
          <w:pgSz w:w="11900" w:h="16838" w:orient="portrait"/>
          <w:cols w:equalWidth="0" w:num="4">
            <w:col w:w="7400" w:space="140"/>
            <w:col w:w="260" w:space="80"/>
            <w:col w:w="220" w:space="220"/>
            <w:col w:w="699"/>
          </w:cols>
          <w:pgMar w:left="1440" w:top="661" w:right="1440"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w:t>
      </w:r>
    </w:p>
    <w:p>
      <w:pPr>
        <w:sectPr>
          <w:pgSz w:w="11900" w:h="16838" w:orient="portrait"/>
          <w:cols w:equalWidth="0" w:num="1">
            <w:col w:w="9019"/>
          </w:cols>
          <w:pgMar w:left="1440" w:top="661" w:right="1440" w:bottom="1440" w:gutter="0" w:footer="0" w:header="0"/>
          <w:type w:val="continuous"/>
        </w:sectPr>
      </w:pPr>
    </w:p>
    <w:p>
      <w:pPr>
        <w:spacing w:after="0" w:line="27" w:lineRule="exact"/>
        <w:rPr>
          <w:sz w:val="24"/>
          <w:szCs w:val="24"/>
          <w:color w:val="auto"/>
        </w:rPr>
      </w:pPr>
    </w:p>
    <w:p>
      <w:pPr>
        <w:jc w:val="both"/>
        <w:ind w:left="60" w:right="79"/>
        <w:spacing w:after="0" w:line="189" w:lineRule="exact"/>
        <w:rPr>
          <w:sz w:val="20"/>
          <w:szCs w:val="20"/>
          <w:color w:val="auto"/>
        </w:rPr>
      </w:pPr>
      <w:r>
        <w:rPr>
          <w:rFonts w:ascii="Times New Roman" w:cs="Times New Roman" w:eastAsia="Times New Roman" w:hAnsi="Times New Roman"/>
          <w:sz w:val="18"/>
          <w:szCs w:val="18"/>
          <w:color w:val="auto"/>
        </w:rPr>
        <w:t xml:space="preserve">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50" w:lineRule="exact"/>
        <w:rPr>
          <w:sz w:val="24"/>
          <w:szCs w:val="24"/>
          <w:color w:val="auto"/>
        </w:rPr>
      </w:pPr>
    </w:p>
    <w:p>
      <w:pPr>
        <w:jc w:val="both"/>
        <w:ind w:left="60" w:right="79"/>
        <w:spacing w:after="0" w:line="22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60" w:type="dxa"/>
        <w:tblCellMar>
          <w:top w:w="0" w:type="dxa"/>
          <w:left w:w="0" w:type="dxa"/>
          <w:bottom w:w="0" w:type="dxa"/>
          <w:right w:w="0" w:type="dxa"/>
        </w:tblCellMar>
      </w:tblPr>
      <w:tr>
        <w:trPr>
          <w:trHeight w:val="241"/>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60" w:type="dxa"/>
            <w:vAlign w:val="bottom"/>
          </w:tcPr>
          <w:p>
            <w:pPr>
              <w:ind w:left="4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37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6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60" w:type="dxa"/>
            <w:vAlign w:val="bottom"/>
          </w:tcPr>
          <w:p>
            <w:pPr>
              <w:ind w:left="400"/>
              <w:spacing w:after="0" w:line="216" w:lineRule="exact"/>
              <w:rPr>
                <w:sz w:val="20"/>
                <w:szCs w:val="20"/>
                <w:color w:val="auto"/>
              </w:rPr>
            </w:pPr>
            <w:r>
              <w:rPr>
                <w:rFonts w:ascii="Arial Unicode MS" w:cs="Arial Unicode MS" w:eastAsia="Arial Unicode MS" w:hAnsi="Arial Unicode MS"/>
                <w:sz w:val="18"/>
                <w:szCs w:val="18"/>
                <w:color w:val="auto"/>
              </w:rPr>
              <w:t>⌧</w:t>
            </w:r>
          </w:p>
        </w:tc>
        <w:tc>
          <w:tcPr>
            <w:tcW w:w="37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60"/>
              <w:spacing w:after="0" w:line="216" w:lineRule="exact"/>
              <w:rPr>
                <w:sz w:val="20"/>
                <w:szCs w:val="20"/>
                <w:color w:val="auto"/>
              </w:rPr>
            </w:pPr>
            <w:r>
              <w:rPr>
                <w:rFonts w:ascii="Arial Unicode MS" w:cs="Arial Unicode MS" w:eastAsia="Arial Unicode MS" w:hAnsi="Arial Unicode MS"/>
                <w:sz w:val="18"/>
                <w:szCs w:val="18"/>
                <w:color w:val="auto"/>
                <w:highlight w:val="black"/>
              </w:rPr>
              <w:t>☒</w:t>
            </w:r>
          </w:p>
        </w:tc>
      </w:tr>
      <w:tr>
        <w:trPr>
          <w:trHeight w:val="303"/>
        </w:trPr>
        <w:tc>
          <w:tcPr>
            <w:tcW w:w="2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60"/>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57" w:lineRule="exact"/>
        <w:rPr>
          <w:sz w:val="24"/>
          <w:szCs w:val="24"/>
          <w:color w:val="auto"/>
        </w:rPr>
      </w:pPr>
    </w:p>
    <w:p>
      <w:pPr>
        <w:jc w:val="both"/>
        <w:ind w:left="60" w:right="59"/>
        <w:spacing w:after="0" w:line="20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50" w:lineRule="exact"/>
        <w:rPr>
          <w:sz w:val="24"/>
          <w:szCs w:val="24"/>
          <w:color w:val="auto"/>
        </w:rPr>
      </w:pPr>
    </w:p>
    <w:p>
      <w:pPr>
        <w:ind w:left="60" w:right="259"/>
        <w:spacing w:after="0" w:line="21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3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August 13, 2024, 5,256,024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540385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94615</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137160</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836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EE"/>
              </w:rPr>
              <w:t>PART I. FINANCIAL INFORMATION</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8360" w:type="dxa"/>
            <w:vAlign w:val="bottom"/>
            <w:gridSpan w:val="14"/>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75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Condensed Consolidated Financial Statements (Unaudited)</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75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5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140" w:type="dxa"/>
            <w:vAlign w:val="bottom"/>
            <w:tcBorders>
              <w:left w:val="single" w:sz="8" w:color="0000EE"/>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5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5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6"/>
              </w:rPr>
              <w:t>PART II. OTHER INFORMATION</w:t>
            </w:r>
          </w:p>
        </w:tc>
        <w:tc>
          <w:tcPr>
            <w:tcW w:w="5800" w:type="dxa"/>
            <w:vAlign w:val="bottom"/>
            <w:gridSpan w:val="7"/>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12"/>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75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220" w:type="dxa"/>
            <w:vAlign w:val="bottom"/>
          </w:tcPr>
          <w:p>
            <w:pPr>
              <w:spacing w:after="0"/>
              <w:rPr>
                <w:sz w:val="17"/>
                <w:szCs w:val="17"/>
                <w:color w:val="auto"/>
              </w:rPr>
            </w:pPr>
          </w:p>
        </w:tc>
        <w:tc>
          <w:tcPr>
            <w:tcW w:w="9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Risk Factors</w:t>
            </w:r>
          </w:p>
        </w:tc>
        <w:tc>
          <w:tcPr>
            <w:tcW w:w="6580" w:type="dxa"/>
            <w:vAlign w:val="bottom"/>
            <w:gridSpan w:val="9"/>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75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5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5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75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180" w:type="dxa"/>
            <w:vAlign w:val="bottom"/>
            <w:gridSpan w:val="8"/>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75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9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4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5,418</w:t>
            </w:r>
          </w:p>
        </w:tc>
        <w:tc>
          <w:tcPr>
            <w:tcW w:w="400" w:type="dxa"/>
            <w:vAlign w:val="bottom"/>
            <w:gridSpan w:val="2"/>
          </w:tcPr>
          <w:p>
            <w:pPr>
              <w:jc w:val="right"/>
              <w:ind w:right="7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8,437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Marketable Securities</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12,965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2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1,501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949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23,135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26,566</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2,454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2,454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 of use assets, net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5,617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1,756</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1,842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2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36,290</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38,993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4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2,780</w:t>
            </w:r>
          </w:p>
        </w:tc>
        <w:tc>
          <w:tcPr>
            <w:tcW w:w="400" w:type="dxa"/>
            <w:vAlign w:val="bottom"/>
            <w:gridSpan w:val="2"/>
          </w:tcPr>
          <w:p>
            <w:pPr>
              <w:jc w:val="right"/>
              <w:ind w:right="7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4,259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4,968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2,476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925</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10,440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9,330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4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Long-term liabilities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2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8,622</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8,692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2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19,062</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18,022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Commitments and contingencies (see Note 13)</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4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$0.01 par value per share, 150,000,000 shares authorized; 4,186,435 and 4,179,631 shares</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71"/>
        </w:trPr>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issued and outstanding as of June 30, 2024 and December 31, 2023, respectively</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471,281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470,737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(460,361)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(455,853)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2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(2,164)</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equity attributable to XWELL, Inc.</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8,798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13,002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w:t>
            </w:r>
          </w:p>
        </w:tc>
        <w:tc>
          <w:tcPr>
            <w:tcW w:w="2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8,430</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7,969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equity</w:t>
            </w:r>
          </w:p>
        </w:tc>
        <w:tc>
          <w:tcPr>
            <w:tcW w:w="2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17,228</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20,971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2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36,290</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38,993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form an integral part of these unaudited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ind w:left="4080" w:right="599" w:hanging="2849"/>
        <w:spacing w:after="0" w:line="260" w:lineRule="auto"/>
        <w:rPr>
          <w:sz w:val="20"/>
          <w:szCs w:val="20"/>
          <w:color w:val="auto"/>
        </w:rPr>
      </w:pPr>
      <w:r>
        <w:rPr>
          <w:rFonts w:ascii="Times New Roman" w:cs="Times New Roman" w:eastAsia="Times New Roman" w:hAnsi="Times New Roman"/>
          <w:sz w:val="16"/>
          <w:szCs w:val="16"/>
          <w:b w:val="1"/>
          <w:bCs w:val="1"/>
          <w:color w:val="auto"/>
        </w:rPr>
        <w:t>CONDENSED CONSOLIDATED STATEMENTS OF OPERATIONS AND COMPREHENSIVE LOSS (Unaudited)</w:t>
      </w: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 net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Services</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7,474</w:t>
            </w:r>
          </w:p>
        </w:tc>
        <w:tc>
          <w:tcPr>
            <w:tcW w:w="400" w:type="dxa"/>
            <w:vAlign w:val="bottom"/>
            <w:gridSpan w:val="2"/>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16,437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Products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revenue, net</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9,282</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8,175</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18,008</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15,238</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Labor</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4,769</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Occupancy</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Products and other operating costs</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cost of sales</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6,203</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6,985</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12,264</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13,526</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400" w:type="dxa"/>
            <w:vAlign w:val="bottom"/>
            <w:gridSpan w:val="2"/>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Loss on disposal of assets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3,183</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Salaries and Benefits</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2,120</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3,735</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4,245</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4,972</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5,914</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10,015</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Interest income, net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Gain on Investments, realized and unrealized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Foreign exchange gain (loss)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Other non-operating expense, net</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(5,679)</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(5,679)</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loss (income) attributable to noncontrolling</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interests</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attributable to XWELL, Inc.</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(1,996)</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(5,730)</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(4,508)</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(11,239)</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(5,679)</w:t>
            </w:r>
          </w:p>
        </w:tc>
        <w:tc>
          <w:tcPr>
            <w:tcW w:w="40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(4,149)</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Other comprehensive loss from operations</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(6,143)</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(4,389)</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(12,102)</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Loss per share</w:t>
            </w: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5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Basic and diluted loss per share</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40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Borders>
              <w:top w:val="single" w:sz="8" w:color="CCEEFF"/>
              <w:bottom w:val="single" w:sz="8" w:color="CCEEFF"/>
            </w:tcBorders>
            <w:vMerge w:val="restart"/>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Weighted-average number of shares outstanding</w:t>
            </w: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3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during the period*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Basic and diluted</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4,182,617</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4,170,528</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4,182,959</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4,168,920</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*Adjusted to reflect the impact of the 1:20 reverse stock split that became effective on September 28, 2023.</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166"/>
        </w:trPr>
        <w:tc>
          <w:tcPr>
            <w:tcW w:w="3120" w:type="dxa"/>
            <w:vAlign w:val="bottom"/>
          </w:tcPr>
          <w:p>
            <w:pPr>
              <w:spacing w:after="0"/>
              <w:rPr>
                <w:sz w:val="14"/>
                <w:szCs w:val="14"/>
                <w:color w:val="auto"/>
              </w:rPr>
            </w:pPr>
          </w:p>
        </w:tc>
        <w:tc>
          <w:tcPr>
            <w:tcW w:w="2980" w:type="dxa"/>
            <w:vAlign w:val="bottom"/>
            <w:gridSpan w:val="10"/>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data)</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3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6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280" w:type="dxa"/>
            <w:vAlign w:val="bottom"/>
            <w:gridSpan w:val="4"/>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20" w:type="dxa"/>
            <w:vAlign w:val="bottom"/>
            <w:gridSpan w:val="3"/>
            <w:vMerge w:val="continue"/>
          </w:tcPr>
          <w:p>
            <w:pPr>
              <w:spacing w:after="0"/>
              <w:rPr>
                <w:sz w:val="12"/>
                <w:szCs w:val="12"/>
                <w:color w:val="auto"/>
              </w:rPr>
            </w:pP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5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1280" w:type="dxa"/>
            <w:vAlign w:val="bottom"/>
            <w:tcBorders>
              <w:bottom w:val="single" w:sz="8" w:color="auto"/>
            </w:tcBorders>
            <w:gridSpan w:val="4"/>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paid-</w:t>
            </w:r>
          </w:p>
        </w:tc>
        <w:tc>
          <w:tcPr>
            <w:tcW w:w="8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7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60" w:type="dxa"/>
            <w:vAlign w:val="bottom"/>
          </w:tcPr>
          <w:p>
            <w:pPr>
              <w:spacing w:after="0"/>
              <w:rPr>
                <w:sz w:val="15"/>
                <w:szCs w:val="15"/>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640" w:type="dxa"/>
            <w:vAlign w:val="bottom"/>
          </w:tcPr>
          <w:p>
            <w:pPr>
              <w:jc w:val="right"/>
              <w:ind w:right="49"/>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5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80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2"/>
                <w:szCs w:val="12"/>
                <w:color w:val="auto"/>
              </w:rPr>
            </w:pPr>
          </w:p>
        </w:tc>
        <w:tc>
          <w:tcPr>
            <w:tcW w:w="74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2"/>
                <w:szCs w:val="12"/>
                <w:color w:val="auto"/>
              </w:rPr>
            </w:pPr>
          </w:p>
        </w:tc>
        <w:tc>
          <w:tcPr>
            <w:tcW w:w="6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54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1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4,179,631</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w:t>
            </w:r>
          </w:p>
        </w:tc>
        <w:tc>
          <w:tcPr>
            <w:tcW w:w="6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$ 470,737</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(455,853)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(1,924)</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13,002</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7,969</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$20,971</w:t>
            </w: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restricted stock units</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2,986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282</w:t>
            </w: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(2,512)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(2,512)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(2,358)</w:t>
            </w: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42"/>
        </w:trPr>
        <w:tc>
          <w:tcPr>
            <w:tcW w:w="31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4,182,617</w:t>
            </w:r>
          </w:p>
        </w:tc>
        <w:tc>
          <w:tcPr>
            <w:tcW w:w="1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w:t>
            </w: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$ 470,996</w:t>
            </w: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(458,365)</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(2,099)</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10,574</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8,191</w:t>
            </w:r>
          </w:p>
        </w:tc>
        <w:tc>
          <w:tcPr>
            <w:tcW w:w="14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18,765</w:t>
            </w:r>
          </w:p>
        </w:tc>
        <w:tc>
          <w:tcPr>
            <w:tcW w:w="0" w:type="dxa"/>
            <w:vAlign w:val="bottom"/>
          </w:tcPr>
          <w:p>
            <w:pPr>
              <w:spacing w:after="0"/>
              <w:rPr>
                <w:sz w:val="1"/>
                <w:szCs w:val="1"/>
                <w:color w:val="auto"/>
              </w:rPr>
            </w:pPr>
          </w:p>
        </w:tc>
      </w:tr>
      <w:tr>
        <w:trPr>
          <w:trHeight w:val="142"/>
        </w:trPr>
        <w:tc>
          <w:tcPr>
            <w:tcW w:w="3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Issuance of restricted stock units</w:t>
            </w: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818</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(1,996)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(1,996)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(1,791)</w:t>
            </w: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42"/>
        </w:trPr>
        <w:tc>
          <w:tcPr>
            <w:tcW w:w="3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4,186,435</w:t>
            </w:r>
          </w:p>
        </w:tc>
        <w:tc>
          <w:tcPr>
            <w:tcW w:w="1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w:t>
            </w: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$ 471,281</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(460,361)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(2,164)</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8,798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8,430</w:t>
            </w:r>
          </w:p>
        </w:tc>
        <w:tc>
          <w:tcPr>
            <w:tcW w:w="1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17,228</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gridSpan w:val="3"/>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300" w:type="dxa"/>
            <w:vAlign w:val="bottom"/>
            <w:gridSpan w:val="4"/>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60" w:type="dxa"/>
            <w:vAlign w:val="bottom"/>
            <w:gridSpan w:val="3"/>
            <w:vMerge w:val="continue"/>
          </w:tcPr>
          <w:p>
            <w:pPr>
              <w:spacing w:after="0"/>
              <w:rPr>
                <w:sz w:val="12"/>
                <w:szCs w:val="12"/>
                <w:color w:val="auto"/>
              </w:rPr>
            </w:pPr>
          </w:p>
        </w:tc>
        <w:tc>
          <w:tcPr>
            <w:tcW w:w="8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300" w:type="dxa"/>
            <w:vAlign w:val="bottom"/>
            <w:tcBorders>
              <w:bottom w:val="single" w:sz="8" w:color="auto"/>
            </w:tcBorders>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paid-</w:t>
            </w:r>
          </w:p>
        </w:tc>
        <w:tc>
          <w:tcPr>
            <w:tcW w:w="880" w:type="dxa"/>
            <w:vAlign w:val="bottom"/>
            <w:gridSpan w:val="3"/>
            <w:vMerge w:val="continue"/>
          </w:tcPr>
          <w:p>
            <w:pPr>
              <w:spacing w:after="0"/>
              <w:rPr>
                <w:sz w:val="15"/>
                <w:szCs w:val="15"/>
                <w:color w:val="auto"/>
              </w:rPr>
            </w:pPr>
          </w:p>
        </w:tc>
        <w:tc>
          <w:tcPr>
            <w:tcW w:w="10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1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64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72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in capital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98"/>
              </w:rPr>
              <w:t>interests</w:t>
            </w:r>
          </w:p>
        </w:tc>
        <w:tc>
          <w:tcPr>
            <w:tcW w:w="140" w:type="dxa"/>
            <w:vAlign w:val="bottom"/>
          </w:tcPr>
          <w:p>
            <w:pPr>
              <w:spacing w:after="0"/>
              <w:rPr>
                <w:sz w:val="12"/>
                <w:szCs w:val="12"/>
                <w:color w:val="auto"/>
              </w:rPr>
            </w:pPr>
          </w:p>
        </w:tc>
        <w:tc>
          <w:tcPr>
            <w:tcW w:w="54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2022</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4,161,613</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$ 468,530</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(428,112)</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(534)</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39,926</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8,023</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$47,949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restricted stock units</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6,015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Value of shares withheld to fund payroll taxes</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589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(5,509)</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(5,509)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(320)</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2023</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4,167,628</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$ 469,097</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(433,621)</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(664)</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34,854</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7,737</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42,591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Issuance of restricted stock</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3,298</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interests</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(5,730)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(5,679)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2023</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4,170,926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$ 469,700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(439,351)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(1,128)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29,263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7,737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37,000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*Adjusted to reflect the impact of the 1:20 reverse stock split that became effective on September 28, 2023.</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66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(4,149)</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(11,508)</w:t>
            </w:r>
          </w:p>
        </w:tc>
        <w:tc>
          <w:tcPr>
            <w:tcW w:w="0" w:type="dxa"/>
            <w:vAlign w:val="bottom"/>
          </w:tcPr>
          <w:p>
            <w:pPr>
              <w:spacing w:after="0"/>
              <w:rPr>
                <w:sz w:val="1"/>
                <w:szCs w:val="1"/>
                <w:color w:val="auto"/>
              </w:rPr>
            </w:pPr>
          </w:p>
        </w:tc>
      </w:tr>
      <w:tr>
        <w:trPr>
          <w:trHeight w:val="149"/>
        </w:trPr>
        <w:tc>
          <w:tcPr>
            <w:tcW w:w="66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1,180</w:t>
            </w: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Impairment/loss on disposal of fixed assets</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417</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8"/>
        </w:trPr>
        <w:tc>
          <w:tcPr>
            <w:tcW w:w="6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Impairment of operating lease right-of-use assets</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254</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Unrealized gain on marketable securities</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(309)</w:t>
            </w:r>
          </w:p>
        </w:tc>
        <w:tc>
          <w:tcPr>
            <w:tcW w:w="0" w:type="dxa"/>
            <w:vAlign w:val="bottom"/>
          </w:tcPr>
          <w:p>
            <w:pPr>
              <w:spacing w:after="0"/>
              <w:rPr>
                <w:sz w:val="1"/>
                <w:szCs w:val="1"/>
                <w:color w:val="auto"/>
              </w:rPr>
            </w:pPr>
          </w:p>
        </w:tc>
      </w:tr>
      <w:tr>
        <w:trPr>
          <w:trHeight w:val="148"/>
        </w:trPr>
        <w:tc>
          <w:tcPr>
            <w:tcW w:w="6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Gain on Lease Termination</w:t>
            </w:r>
          </w:p>
        </w:tc>
        <w:tc>
          <w:tcPr>
            <w:tcW w:w="1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(655)</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6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Foreign currency remeasurement loss</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1,103</w:t>
            </w:r>
          </w:p>
        </w:tc>
        <w:tc>
          <w:tcPr>
            <w:tcW w:w="0" w:type="dxa"/>
            <w:vAlign w:val="bottom"/>
          </w:tcPr>
          <w:p>
            <w:pPr>
              <w:spacing w:after="0"/>
              <w:rPr>
                <w:sz w:val="1"/>
                <w:szCs w:val="1"/>
                <w:color w:val="auto"/>
              </w:rPr>
            </w:pPr>
          </w:p>
        </w:tc>
      </w:tr>
      <w:tr>
        <w:trPr>
          <w:trHeight w:val="148"/>
        </w:trPr>
        <w:tc>
          <w:tcPr>
            <w:tcW w:w="6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Amortization of operating lease right of use asset</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604</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806</w:t>
            </w: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586</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1,238</w:t>
            </w:r>
          </w:p>
        </w:tc>
        <w:tc>
          <w:tcPr>
            <w:tcW w:w="0" w:type="dxa"/>
            <w:vAlign w:val="bottom"/>
          </w:tcPr>
          <w:p>
            <w:pPr>
              <w:spacing w:after="0"/>
              <w:rPr>
                <w:sz w:val="1"/>
                <w:szCs w:val="1"/>
                <w:color w:val="auto"/>
              </w:rPr>
            </w:pPr>
          </w:p>
        </w:tc>
      </w:tr>
      <w:tr>
        <w:trPr>
          <w:trHeight w:val="148"/>
        </w:trPr>
        <w:tc>
          <w:tcPr>
            <w:tcW w:w="6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(Gain) loss on equity investment</w:t>
            </w:r>
          </w:p>
        </w:tc>
        <w:tc>
          <w:tcPr>
            <w:tcW w:w="1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Changes in assets and liabilities:</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Decrease in inventory</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(Increase) decrease in accounts receivable</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(696)</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924</w:t>
            </w:r>
          </w:p>
        </w:tc>
        <w:tc>
          <w:tcPr>
            <w:tcW w:w="0" w:type="dxa"/>
            <w:vAlign w:val="bottom"/>
          </w:tcPr>
          <w:p>
            <w:pPr>
              <w:spacing w:after="0"/>
              <w:rPr>
                <w:sz w:val="1"/>
                <w:szCs w:val="1"/>
                <w:color w:val="auto"/>
              </w:rPr>
            </w:pPr>
          </w:p>
        </w:tc>
      </w:tr>
      <w:tr>
        <w:trPr>
          <w:trHeight w:val="148"/>
        </w:trPr>
        <w:tc>
          <w:tcPr>
            <w:tcW w:w="6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(Increase) decrease in other assets, current and non-current</w:t>
            </w:r>
          </w:p>
        </w:tc>
        <w:tc>
          <w:tcPr>
            <w:tcW w:w="1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(454)</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Increase (decrease) in deferred revenue</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48"/>
        </w:trPr>
        <w:tc>
          <w:tcPr>
            <w:tcW w:w="6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Decrease in other liabilities, current and non-current</w:t>
            </w:r>
          </w:p>
        </w:tc>
        <w:tc>
          <w:tcPr>
            <w:tcW w:w="1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(2,082)</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(2,592)</w:t>
            </w:r>
          </w:p>
        </w:tc>
        <w:tc>
          <w:tcPr>
            <w:tcW w:w="0" w:type="dxa"/>
            <w:vAlign w:val="bottom"/>
          </w:tcPr>
          <w:p>
            <w:pPr>
              <w:spacing w:after="0"/>
              <w:rPr>
                <w:sz w:val="1"/>
                <w:szCs w:val="1"/>
                <w:color w:val="auto"/>
              </w:rPr>
            </w:pPr>
          </w:p>
        </w:tc>
      </w:tr>
      <w:tr>
        <w:trPr>
          <w:trHeight w:val="149"/>
        </w:trPr>
        <w:tc>
          <w:tcPr>
            <w:tcW w:w="66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Increase in accounts payable</w:t>
            </w:r>
          </w:p>
        </w:tc>
        <w:tc>
          <w:tcPr>
            <w:tcW w:w="1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1,549</w:t>
            </w:r>
          </w:p>
        </w:tc>
        <w:tc>
          <w:tcPr>
            <w:tcW w:w="2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142"/>
        </w:trPr>
        <w:tc>
          <w:tcPr>
            <w:tcW w:w="664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(4,125)</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(8,618)</w:t>
            </w:r>
          </w:p>
        </w:tc>
        <w:tc>
          <w:tcPr>
            <w:tcW w:w="0" w:type="dxa"/>
            <w:vAlign w:val="bottom"/>
          </w:tcPr>
          <w:p>
            <w:pPr>
              <w:spacing w:after="0"/>
              <w:rPr>
                <w:sz w:val="1"/>
                <w:szCs w:val="1"/>
                <w:color w:val="auto"/>
              </w:rPr>
            </w:pPr>
          </w:p>
        </w:tc>
      </w:tr>
      <w:tr>
        <w:trPr>
          <w:trHeight w:val="142"/>
        </w:trPr>
        <w:tc>
          <w:tcPr>
            <w:tcW w:w="66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Acquisition of property and equipment</w:t>
            </w:r>
          </w:p>
        </w:tc>
        <w:tc>
          <w:tcPr>
            <w:tcW w:w="1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(644)</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(1,235)</w:t>
            </w: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Investment in marketable securities</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(2,064)</w:t>
            </w:r>
          </w:p>
        </w:tc>
        <w:tc>
          <w:tcPr>
            <w:tcW w:w="0" w:type="dxa"/>
            <w:vAlign w:val="bottom"/>
          </w:tcPr>
          <w:p>
            <w:pPr>
              <w:spacing w:after="0"/>
              <w:rPr>
                <w:sz w:val="1"/>
                <w:szCs w:val="1"/>
                <w:color w:val="auto"/>
              </w:rPr>
            </w:pPr>
          </w:p>
        </w:tc>
      </w:tr>
      <w:tr>
        <w:trPr>
          <w:trHeight w:val="149"/>
        </w:trPr>
        <w:tc>
          <w:tcPr>
            <w:tcW w:w="6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Sale of marketable securities</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Acquisition of intangibles</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(471)</w:t>
            </w:r>
          </w:p>
        </w:tc>
        <w:tc>
          <w:tcPr>
            <w:tcW w:w="0" w:type="dxa"/>
            <w:vAlign w:val="bottom"/>
          </w:tcPr>
          <w:p>
            <w:pPr>
              <w:spacing w:after="0"/>
              <w:rPr>
                <w:sz w:val="1"/>
                <w:szCs w:val="1"/>
                <w:color w:val="auto"/>
              </w:rPr>
            </w:pPr>
          </w:p>
        </w:tc>
      </w:tr>
      <w:tr>
        <w:trPr>
          <w:trHeight w:val="142"/>
        </w:trPr>
        <w:tc>
          <w:tcPr>
            <w:tcW w:w="664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(used in) investing activities</w:t>
            </w: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1,181</w:t>
            </w:r>
          </w:p>
        </w:tc>
        <w:tc>
          <w:tcPr>
            <w:tcW w:w="22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(3,770)</w:t>
            </w:r>
          </w:p>
        </w:tc>
        <w:tc>
          <w:tcPr>
            <w:tcW w:w="0" w:type="dxa"/>
            <w:vAlign w:val="bottom"/>
          </w:tcPr>
          <w:p>
            <w:pPr>
              <w:spacing w:after="0"/>
              <w:rPr>
                <w:sz w:val="1"/>
                <w:szCs w:val="1"/>
                <w:color w:val="auto"/>
              </w:rPr>
            </w:pPr>
          </w:p>
        </w:tc>
      </w:tr>
      <w:tr>
        <w:trPr>
          <w:trHeight w:val="142"/>
        </w:trPr>
        <w:tc>
          <w:tcPr>
            <w:tcW w:w="66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for shares withheld on vesting</w:t>
            </w:r>
          </w:p>
        </w:tc>
        <w:tc>
          <w:tcPr>
            <w:tcW w:w="1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 options exercised</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interests</w:t>
            </w:r>
          </w:p>
        </w:tc>
        <w:tc>
          <w:tcPr>
            <w:tcW w:w="1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42"/>
        </w:trPr>
        <w:tc>
          <w:tcPr>
            <w:tcW w:w="664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42"/>
        </w:trPr>
        <w:tc>
          <w:tcPr>
            <w:tcW w:w="664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(78)</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42"/>
        </w:trPr>
        <w:tc>
          <w:tcPr>
            <w:tcW w:w="66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Decrease in cash, cash equivalents and restricted cash</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(3,018)</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(12,660)</w:t>
            </w:r>
          </w:p>
        </w:tc>
        <w:tc>
          <w:tcPr>
            <w:tcW w:w="0" w:type="dxa"/>
            <w:vAlign w:val="bottom"/>
          </w:tcPr>
          <w:p>
            <w:pPr>
              <w:spacing w:after="0"/>
              <w:rPr>
                <w:sz w:val="1"/>
                <w:szCs w:val="1"/>
                <w:color w:val="auto"/>
              </w:rPr>
            </w:pPr>
          </w:p>
        </w:tc>
      </w:tr>
      <w:tr>
        <w:trPr>
          <w:trHeight w:val="148"/>
        </w:trPr>
        <w:tc>
          <w:tcPr>
            <w:tcW w:w="664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at beginning of the period</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9,188</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19,789</w:t>
            </w:r>
          </w:p>
        </w:tc>
        <w:tc>
          <w:tcPr>
            <w:tcW w:w="0" w:type="dxa"/>
            <w:vAlign w:val="bottom"/>
          </w:tcPr>
          <w:p>
            <w:pPr>
              <w:spacing w:after="0"/>
              <w:rPr>
                <w:sz w:val="1"/>
                <w:szCs w:val="1"/>
                <w:color w:val="auto"/>
              </w:rPr>
            </w:pPr>
          </w:p>
        </w:tc>
      </w:tr>
      <w:tr>
        <w:trPr>
          <w:trHeight w:val="142"/>
        </w:trPr>
        <w:tc>
          <w:tcPr>
            <w:tcW w:w="664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at end of the period</w:t>
            </w: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6,170</w:t>
            </w:r>
          </w:p>
        </w:tc>
        <w:tc>
          <w:tcPr>
            <w:tcW w:w="2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7,129</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paid for</w:t>
            </w: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6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1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49"/>
        </w:trPr>
        <w:tc>
          <w:tcPr>
            <w:tcW w:w="6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Non-cash investing and financing transactions</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Capital expenditures included in Accounts payable, accrued expenses and other current liabilities</w:t>
            </w:r>
          </w:p>
        </w:tc>
        <w:tc>
          <w:tcPr>
            <w:tcW w:w="1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form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Business, Basis of Presentation and Liquidity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XWELL is a global wellness company operating multiple brands and focused on bringing restorative, regenerative and reinvigorating products and services to travelers. XWELL currently has four reportable operating segments: XpresSpa®, XpresTest®, Naples Wax Center and Treat™.</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October 25, 2022, the Company changed its name to XWELL, Inc. (“XWELL” or the “Company”) from XpresSpa Group, Inc. The Company’s common stock, par value $0.01 per share, which had previously been listed under the trading symbol “XSPA” on the Nasdaq Capital Market, now trades under the trading symbol “XWEL”. The Company filed an amended and restated certificate of incorporation with the Delaware Secretary of State on October 24, 2022 (the “Amended and Restated Certificate”) reflecting the name change. Rebranding to XWELL aligned the Company’s corporate strategy to build a pure-play wellness services company, in both the airport and off-airport marketplaces.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XpresSpa</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XWELL’s subsidiary, XpresSpa Holdings, LLC (“XpresSpa”) has been a global airport retailer of spa services through its XpresSpa spa locations, offering travelers premium spa services, including massage, nail and skin care, as well as spa and travel products.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of June 30, 2024, there were 21 domestic XpresSpa locations in total, 19 Company-owned locations and two franchises. The Company also had 11 international locations operating as of June 30, 2024, including two XpresSpa locations in Dubai International Airport in the United Arab Emirates, one XpresSpa location in Zayad International Airport in Abu Dhabi, UAE, three XpresSpa locations in Schiphol Amsterdam Airport in the Netherlands and five XpresSpa locations in the Istanbul Airport in Turkey.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XpresTest</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in partnership with certain COVID-19 testing partners, successfully launched its XpresCheck Wellness Centers, in June of 2020, through its XpresTest, Inc. subsidiary (“XpresTest”), which offered COVID-19 and other medical diagnostic testing services to the traveling public, as well as airline, airport and concessionaire employees, and TSA and U.S. Customs and Border Protection agents during the pandemic. During 2022 and 2023, as countries continued to relax their testing requirements resulting in rapid decline of testing volumes at the Company’s XpresCheck Wellness locations, the Company started to close XpresCheck Wellness Centers. As of December 31, 2023, we have closed all XpresCheck Wellness locations.</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XpresTest, Inc began conducting bio surveillance monitoring with the Centers for Disease Control and Prevention (CDC) in collaboration with Concentric by Ginkgo BioWorks in 2021. The program was extended in January 2022 and renewed in August of 2022 and 2023. In March 2024, the program funding and scope were expanded.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HyperPointe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XWELL’s subsidiary, gcg Connect, LLC, operating as HyperPointe, provides direct to business marketing support across a number of health and health-related channels. From the creation of marketing campaigns for the pharmaceutical industry, to learning management systems to website and health related content creation, HyperPointe is a complementary service provider to XWELL’s health-focused brands as well as providing the majority of services to the external community.</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reporting purposes, the former HyperPointe segment has been consolidated into the XpresTest segment.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Treat</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Treat, which is operating through XWELL’s subsidiary Treat, Inc. (“Treat”) is a wellness brand that provides access to wellness services for travelers at on-site centers (currently located in JFK International Airport). In April 2024, the decision was made to close the location in the Salt Lake City International Airport.</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Treat offers a full retail product offering and a suite of wellness and spa services. Travelers can purchase time blocks to use our wellness rooms to engage in interactive services like self-guided yoga, meditation and low impact weight exercises or to relax and unplug from the hectic pace of the airport and renew themselves before or after their trip.</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Naples Wax Center</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XWELL’s subsidiary Naples Wax, LLC, d/b/a Naples Wax Centers (“Naples Wax Center” or “Naples Wax”) which was acquired on September 12, 2023, for a purchase price of $1,624 operates three high-performing locations with core products and service offerings from face and body waxing to a range of skincare and cosmetic products. The acquisition of Naples Wax Center is intended to enable the Company to move beyond its airport client base with a business that can be adapted to a larger wellness platform while also growing its retail footprint to serve long-term financial goals.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XWELL Studios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Q4 of 2023, the Company began plans to open its first XWELL Studios location in Jacksonville, Florida in 2024. XWELL Studios is an out-of-airport concept providing leased space to established wellness service providers. Revenue will be derived from both lease payments received from the wellness practitioners and the sale of retail at the wellness center.</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believes that these strategic imperatives will be accomplished through development of an infrastructure specifically focused on enabling scalable and efficient growth.</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accordance with accounting principles generally accepted in the United States of America (“GAAP”) for interim financial information and the instructions to Article 8-03 of Regulation S-X and should be read in conjunction with the Company’s Annual Report on Form 10-K for the year ended December 31, 2023, as amended. The consolidated balance sheet as of December 31, 2023 was derived from the audited annual financial statements but does not include all information required by GAAP for annual financial statements. The financial statements include the accounts of the Company, all entities that are wholly owned by the Company, and all entities in which the Company has a controlling financial interest. All adjustments that, in the opinion of management, are necessary for a fair presentation for the periods presented have been reflected by the Company. Such adjustments are of a normal, recurring nature. The results of operations for the three and six months ended June 30, 2024, are not necessarily indicative of the results that may be expected for the entire fiscal year or for any other interim period. All significant intercompany balances and transactions have been eliminated in consolidation.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September 28, 2023, the Company effected a 1-for-20 reverse stock split (the “Reverse Stock Split”) whereby every twenty shares of its Common Stock were reduced to one share of its Common Stock and the price per share of its Common Stock was multiplied by 20. All references to shares and per share amounts have been adjusted to reflect the Reverse Stock Split.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Financial Condition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of June 30, 2024, the Company had cash and cash equivalents of $5,418 (excluding restricted cash), $12,965 in marketable securities, and total current assets of $23,135. The Company’s total current liabilities balance, which includes accounts payable, deferred revenue, accrued expenses, and operating lease liabilities was $10,440 as of June 30, 2024, and $9,330 as of December 31, 2023. The working capital surplus was $12,695 as of June 30, 2024, compared to a working capital surplus of $17,236 as of December 31, 2023.</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has significantly reduced operating and overhead expenses, while it continues to focus on returning to overall profitability.</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has taken actions to improve its overall cash position, right sizing its corporate structure and streamlining its operations. The Company is pursuing strategic partnerships that the Company expects will further strengthen the long-term profitability of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Accounting and Reporting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preparation of the accompanying condensed consolidated financial statements in conformity with U.S. GAAP requires management to make certain estimates and assumptions that affect the reported amounts of assets and liabilities and disclosure of contingent assets and liabilities as of the date of the condensed consolidated financial statements and the reported amounts of revenues and expenses for the periods presented. Actual results may differ from such estimates. Significant items subject to such estimates and assumptions include the Company’s long-lived assets, intangibles assets, the useful lives of the Company’s intangible assets, the valuation of stock-based compensation, deferred tax assets and liabilities, income tax uncertainties, and other contingencies.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Policy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XpresSpa, Treat and Naples Wax Center</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recognizes revenue from the sale of products and services when the services are rendered at XpresSpa, Treat, and Naples Wax Centers locations and from the sale of products at the time products are purchased at the Company’s stores or online usually by credit card, net of discounts and applicable sales taxes. Accordingly, the Company recognizes revenue for the Company’s single performance obligation related to both in-store and online sales at the point at which the service has been performed or the control of the merchandise has passed to the customer.</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XpresTest</w:t>
      </w:r>
    </w:p>
    <w:p>
      <w:pPr>
        <w:spacing w:after="0" w:line="22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During the third quarter of 2022, XpresTest, in partnership with Ginkgo BioWorks in continuation of their support to the CDC’s traveler-based SARS-CoV-2 genomic surveillance program was awarded a new contract. The partnership is expected to support public health and biosecurity services totaling approximately $16,000, with an overall potential to exceed $61,000 based on CDC program options and public health priorities. As COVID-19 sub-variants and other biological threats continue to emerge, the partners plan to expand the program footprint and incorporate innovative modalities and offerings, such as monitoring of wastewater from aircraft lavatories. The current contract with Ginkgo BioWorks related to the above partnership contains fixed pricing for which the Company is entitled to $10,674 for the sample collection (passenger and aircraft wastewater) and $370 for the traveler enrollment initiatives, which represents the amount of consideration that we are entitled. The Company recognizes revenue over time for both sample collection performance obligations, using the input method based on time elapsed to measure progress towards satisfying each of the performance obligations. We recognized the revenue for the traveler enrollment initiative performance obligation in the second quarter of 2023. The Company recognizes revenue ratably (straight line basis) over the term of the contract (one year). The Company recorded $3,442 and $6,748 in revenue for the three and six months ended June 30, 2024, respectively, and $1,688 and $3,358 in revenue for the three and six months ended June 30, 2023, respectively related to sample collection performance obligations because the Company’s efforts towards satisfying each of the performance obligations are expended evenly throughout the period of performance.</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HyperPointe</w:t>
      </w:r>
    </w:p>
    <w:p>
      <w:pPr>
        <w:spacing w:after="0" w:line="227"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The Company’s HyperPointe business provides a broad range of service and support options for HyperPointe’s customers, including technical support services and advanced services. Technical support services represent the majority of these offerings which are distinct performance obligations that are satisfied over time with revenue recognized ratably over the contract term. Advanced services are distinct performance obligations that are satisfied over time with revenue recognized as services are delivered. Revenues billed in advance are treated as deferred revenue, which was $141 and $72 as of June 30, 2024, and December 31, 2023, respectively. Deferred revenue recognized in the three and six months ended June 30, 2024, were $31 and $72,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excludes all sales taxes assessed to our customers from revenue. Sales taxes assessed on revenues are included in Accrued expenses and other current liabilities on the Company’s condensed consolidated balance sheets until remitted to state agencies.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Gift cards, customer rewards and prepaid packages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XWELL offers no-fee, non-expiring gift cards to its customers. No revenue is recognized upon the issuance of a gift card and a liability is established for the gift card’s cash value. The liability is relieved, and revenue is recognized upon redemption by the customer. As the gift cards have no expiration date, there is no provision for the reduction in the value of unused card balances.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XWELL maintains a rewards program in which customers earn loyalty points, which can be redeemed for future services. Loyalty points are rewarded upon joining the loyalty program, for customer birthdays, and based upon customer spending. When a customer redeems loyalty points, the Company recognizes revenue for the redeemed cash value and reduces the related loyalty program liability. In 2023, the Company adopted a formal expiration policy whereby any loyalty members with inactivity for an 18-month period will forfeit any unused loyalty rewards.</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costs associated with gift cards and reward points are accrued as the rewards are earned by the cardholder and are included in Accrued expenses and other current liabilities in the condensed consolidated balance sheets until used.</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Naples Wax Center offers prepaid wax packages that are either unlimited for one year or a set number of services. When the packages are purchased, the sales are recorded as deferred revenue. As services related to prepaid packages are used, revenue is recognized as income. The deferred revenue as of June 30, 2024, was $776 and for the year ended December 31, 2023, deferred revenue was $778.</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Translation into United States dollars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conducts certain transactions in foreign currencies, which are recorded at the exchange rate as of the transaction date. All exchange gains and losses occurring from the remeasurement of monetary balance sheet items denominated in non-dollar currencies are deemed non-operating income in the condensed consolidated statements of operations and comprehensive loss. During the three and six months ended June 30, 2024, the Company recorded $25 in exchange gains and $141 in exchange losses, respectively in exchange gains and losses occurring from the remeasurement of monetary balance sheet items denominated in non-dollar currencies. During the three and six months ended June 30, 2023, the Company recorded $1,141 and $1,056 respectively in exchange loss.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Accounts of the foreign subsidiaries of XpresSpa are translated into United States dollars. Assets and liabilities have been translated primarily at period end exchange rates and revenues and expenses have been translated at average monthly rates for the three and six months ended June 30, 2024. The translation adjustments arising from the use of different exchange rates are included as foreign currency translation within the condensed consolidated statements of operations and comprehensive income (loss) and condensed consolidated statements of changes in stockholders’ equity.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uses the provisions of ASC Topic 805, Business Combinations (“ASC 805”) in the accounting for acquisitions of businesses. ASC 805 requires the Company to use the acquisition method of accounting by recognizing the identifiable tangible and intangible assets acquired and liabilities assumed, and any non-controlling interest in the acquired business, measured at their acquisition date fair values. Goodwill as of the acquisition date is measured as the excess of consideration transferred over the aforementioned amounts.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While the Company uses its best estimates and assumptions to accurately apply preliminary values to assets acquired and liabilities assumed at the acquisition date, these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 Upon the conclusion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of the measurement period or final determination of the values of the assets acquired or liabilities assumed, whichever comes first, any subsequent adjustments are recorded in the condensed consolidated statements of operations.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Accounting for business combinations requires management to make significant estimates and assumptions, especially at the acquisition date, including estimates for intangible assets. Although the Company believes the assumptions and estimates that have been made are reasonable and appropriate, they are based in part on historical experience and information obtained from the acquired companies and are inherently uncertain. Estimates in valuing certain of the intangible assets the Company has acquired include future expected cash flows, and discount rates.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Intangible assets include customer relationships, trade names, and technology, which were primarily acquired as part of the acquisition of XpresSpa in December 2016, HyperPointe in 2022 and Naples Wax Center in 2023 and were recorded based on the estimated fair value in purchase price allocation. In addition, intangible assets include software and website development costs that were capitalized as part of the Company’s development of a mobile application and website for the Treat brand. The Company accounts for these costs in accordance with ASC 350-40, Internal-Use Software. The intangible assets are amortized over their estimated useful lives, which are periodically evaluated for reasonableness.</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Company’s intangible assets are reviewed for impairment whenever events or changes in circumstances indicate that the carrying amount of an asset may not be recoverable. The fair value is then compared to the carrying value and an impairment charge is recognized by the amount in which the carrying value exceeds the fair value of the asset. In assessing the recoverability of the Company’s intangible assets, the Company must make estimates and assumptions regarding future cash flows and other factors to determine the fair value of the respective assets. These estimates and assumptions could have a significant impact on whether an impairment charge is recognized and the magnitude of any such charge. Fair value estimates are made at a specific point in time, based on relevant information.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Goodwill represents the cost of a business acquisition in excess of the fair value of the net assets acquired. Goodwill is not amortized and is reviewed for impairment annually, or more frequently if facts and circumstances indicate that it is more likely than not that the fair value of a reporting unit is less than its carrying amount, including goodwill. If it is more likely than not that the fair value of a reporting unit is less than its carrying amount, the company performs a quantitative test to identify and measure the amount of goodwill impairment loss. The Company compares the fair value of the reporting unit with its carrying amount. If the carrying amount exceeds fair value, goodwill of the reporting unit is considered impaired, and that excess is recognized as a goodwill impairment loss. During the three and six months ended June 30, 2024, and 2023, the Company did not record any goodwill impairment loss.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Certain balances in the unaudited condensed consolidated financial statements for the three and six months ended June 30, 2023, have been reclassified to conform to the presentation in the unaudited condensed consolidated financial statements for the three and six months ended June 30, 2024, primarily the presentation of revenue, general and administrative expense, the realized and unrealized gain on investments and other operating expenses. The above separation affected revenue classifications, general and administrative expenses, the realized and unrealized gain on investments and other operating expense in the comparative 2023 financial statements. Such reclassifications did not have a material impact on the unaudited condensed consolidated financial statements.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Long-lived assets are tested for impairment at the lowest level at which there are identifiable operating cash flows. The Company’s long-lived assets consist primarily of leasehold improvements and right to use lease assets for each of its locations (considered the asset group). The Company reviews its long-lived assets for recoverability yearly or sooner if events or changes in circumstances indicate that the carrying value of long-lived assets may not be recoverable. If indicators are present, the Company performs a recoverability test by comparing the sum of the estimated undiscounted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future cash flows attributable to the asset group in question to its carrying amount. An impairment loss is recognized if it is determined that the long-lived asset group is not recoverable and is calculated based on the excess of the carrying amount of the long-lived asset group over the long-lived asset group’s fair value. The Company estimates the fair value of long-lived assets using present value income approach. Future cash flows are calculated based on forecasts over the estimated remaining useful life of the asset group, which for each of the Company’s locations, is the remaining term of the operating lease.</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estimates used to calculate future cash flows are subjective in nature and involve uncertainties and matters of significant judgments and therefore cannot be determined with precision. Changes in assumptions could significantly affect the estimated fair value of each asset group. The Company will calculate the future cash flow using what it believes to be the most predictable of several scenarios. Typically, the changes in assumptions run under different business scenarios would not result in a material change in the assessment of the potential impairment or the impairment amount of a locations long-lived asset group. But if these estimates or related assumptions were to change materially, the Company may be required to record an impairment charge.</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recorded impairment of long-lived assets of $0 and $652, respectively compared to $0 for the three and six months ended June 30,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ASU No. 2023-07, Segment Reporting (Topic 280): Improvements to Reportable Segment Disclosures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No. 2023-07, Segment Reporting (Topic 280): Improvements to Reportable Segment Disclosures (ASU 2023-07), which requires an enhanced disclosure of significant segment expenses on an annual and interim basis. This guidance will be effective for the annual periods beginning the year ended December 31, 2024, and for interim periods beginning January 1, 2025. Early adoption is permitted. Upon adoption, the guidance should be applied retrospectively to all prior periods presented in the financial statements. The Company is currently evaluating segment expense disclosures related to its Annual Report on Form 10-K for fiscal year 2024.</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ASU No. 2023-09, Income Taxes (Topic 740): Improvements to Income Tax Disclosures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the year ended December 31, 2025. Early adoption is permitted. Upon adoption, the guidance can be applied prospectively or retrospectively. The Company is currently evaluating income tax disclosures related to its Annual Report on Form 10-K for fiscal year 2025.</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 Potentially Dilutive Securities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table below presents the computation of basic and diluted net loss per share of Common Stock:</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numerator:</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XWELL, Inc.</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denominator:</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4,182,617</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4,170,528</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4,182,959</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4,168,920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net (loss) per share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4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loss per share data presented above excludes from</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the calculation of diluted net (loss) income, the following</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potentially dilutive securities, having an anti-dilutive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impact, in case of net loss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Both vested and unvested options to purchase an equal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 of Common Stock</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415,388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382,085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415,388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382,085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Unvested RSUs to issue an equal number of shares of</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Warrants to purchase an equal number of shares of Common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6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number of potentially dilutive securities excluded</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from the calculation of earnings/(loss) per share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398,917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attributable to common shareholders</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September 28, 2023, the Company effected a 1-for-20 reverse stock split, (the “Reverse Stock Split”) whereby every twenty shares of its Common Stock were reduced to one share of its Common Stock and the price per share of its Common Stock was multiplied by 20. All references to shares and per share amounts have been adjusted to reflect the reverse stock split.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Cash, Cash Equivalents, and Restricted Cash</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 reconciliation of the Company’s cash and cash equivalents in the Unaudited Condensed Consolidated Balance Sheets to cash, cash equivalents and restricted cash in the Unaudited Condensed Consolidated Statements of Cash Flows as of June 30, 2024, and December 31, 2023 is as follows: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160" w:type="dxa"/>
            <w:vAlign w:val="bottom"/>
          </w:tcPr>
          <w:p>
            <w:pPr>
              <w:spacing w:after="0"/>
              <w:rPr>
                <w:sz w:val="20"/>
                <w:szCs w:val="20"/>
                <w:color w:val="auto"/>
              </w:rPr>
            </w:pPr>
          </w:p>
        </w:tc>
        <w:tc>
          <w:tcPr>
            <w:tcW w:w="27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  December 31, 2023</w:t>
            </w:r>
          </w:p>
        </w:tc>
      </w:tr>
      <w:tr>
        <w:trPr>
          <w:trHeight w:val="210"/>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denominated in United States dollars</w:t>
            </w: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w:t>
            </w:r>
          </w:p>
        </w:tc>
      </w:tr>
      <w:tr>
        <w:trPr>
          <w:trHeight w:val="21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denominated in currency other than United States dollars</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w:t>
            </w: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16"/>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Credit and debit card receivables</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10"/>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1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9,188</w:t>
            </w:r>
          </w:p>
        </w:tc>
      </w:tr>
      <w:tr>
        <w:trPr>
          <w:trHeight w:val="20"/>
        </w:trPr>
        <w:tc>
          <w:tcPr>
            <w:tcW w:w="6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places its cash and temporary cash investments with credit quality institutions. At times, such cash denominated in United States dollars may be in excess of the Federal Deposit Insurance Corporation (“FDIC”) insurance limit. As of June 30, 2024, and December 31, 2023, deposits in excess of FDIC limits were $2,805 and $4,195, respectively. As of June 30, 2024, and December 31, 2023, the Company held cash balances in overseas accounts, totaling $2,204 and $2,395 respectively, which are not insured by the FDIC. If the Company were to distribute the amounts held overseas,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Company would need to follow an approval and distribution process as defined in its operating and partnership agreements, which may delay and/or reduce the availability of that cash to the Company.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Other current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June 30, 2024, and December 31, 2023, other current assets consisted of the following:</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8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16"/>
        </w:trPr>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0"/>
        </w:trPr>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r>
      <w:tr>
        <w:trPr>
          <w:trHeight w:val="20"/>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Intangible Assets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provides information regarding the Company’s intangible assets subject to amortization, which consist of the following:</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187"/>
        </w:trPr>
        <w:tc>
          <w:tcPr>
            <w:tcW w:w="2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6"/>
              </w:rPr>
              <w:t>Net</w:t>
            </w:r>
          </w:p>
        </w:tc>
      </w:tr>
      <w:tr>
        <w:trPr>
          <w:trHeight w:val="216"/>
        </w:trPr>
        <w:tc>
          <w:tcPr>
            <w:tcW w:w="2180" w:type="dxa"/>
            <w:vAlign w:val="bottom"/>
          </w:tcPr>
          <w:p>
            <w:pPr>
              <w:spacing w:after="0"/>
              <w:rPr>
                <w:sz w:val="18"/>
                <w:szCs w:val="18"/>
                <w:color w:val="auto"/>
              </w:rPr>
            </w:pPr>
          </w:p>
        </w:tc>
        <w:tc>
          <w:tcPr>
            <w:tcW w:w="122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98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0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Carrying</w:t>
            </w:r>
          </w:p>
        </w:tc>
      </w:tr>
      <w:tr>
        <w:trPr>
          <w:trHeight w:val="238"/>
        </w:trPr>
        <w:tc>
          <w:tcPr>
            <w:tcW w:w="2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80" w:type="dxa"/>
            <w:vAlign w:val="bottom"/>
          </w:tcPr>
          <w:p>
            <w:pPr>
              <w:spacing w:after="0"/>
              <w:rPr>
                <w:sz w:val="20"/>
                <w:szCs w:val="20"/>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0" w:type="dxa"/>
            <w:vAlign w:val="bottom"/>
          </w:tcPr>
          <w:p>
            <w:pPr>
              <w:spacing w:after="0"/>
              <w:rPr>
                <w:sz w:val="20"/>
                <w:szCs w:val="20"/>
                <w:color w:val="auto"/>
              </w:rPr>
            </w:pP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09"/>
        </w:trPr>
        <w:tc>
          <w:tcPr>
            <w:tcW w:w="2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16"/>
        </w:trPr>
        <w:tc>
          <w:tcPr>
            <w:tcW w:w="2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Licenses</w:t>
            </w:r>
          </w:p>
        </w:tc>
        <w:tc>
          <w:tcPr>
            <w:tcW w:w="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0"/>
        </w:trPr>
        <w:tc>
          <w:tcPr>
            <w:tcW w:w="2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r>
      <w:tr>
        <w:trPr>
          <w:trHeight w:val="20"/>
        </w:trPr>
        <w:tc>
          <w:tcPr>
            <w:tcW w:w="2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intangible assets are amortized over their expected useful lives. The Company recorded amortization expense of $78 and $377 during the three months ended June 30, 2024 and 2023, respectively, and $159 and $759 during the six months ended June 30, 2024 and 2023, respectively.</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Based on the intangible assets balance as of June 30, 2024, the estimated amortization expense for the remainder of the calendar year and each of the succeeding calendar years is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06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Calendar Years ending December 31,</w:t>
            </w:r>
          </w:p>
        </w:tc>
        <w:tc>
          <w:tcPr>
            <w:tcW w:w="2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2024</w:t>
            </w:r>
          </w:p>
        </w:tc>
        <w:tc>
          <w:tcPr>
            <w:tcW w:w="2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80" w:type="dxa"/>
            <w:vAlign w:val="bottom"/>
            <w:vMerge w:val="restart"/>
          </w:tcPr>
          <w:p>
            <w:pPr>
              <w:jc w:val="right"/>
              <w:ind w:right="149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9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Accrued expenses and other current liabilities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June 30, 2024, and December 31, 2023, accrued expenses and other current liabilities consisted of the following:</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7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4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accrual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Tax-related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Common area maintenance accruals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accruals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Gift certificates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card processing fees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miscellaneous accruals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09"/>
        </w:trPr>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2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w:t>
            </w:r>
          </w:p>
        </w:tc>
      </w:tr>
      <w:tr>
        <w:trPr>
          <w:trHeight w:val="20"/>
        </w:trPr>
        <w:tc>
          <w:tcPr>
            <w:tcW w:w="5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Acquisition of Naples Wax, LLC</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September 12, 2023, the Company acquired all of the equity interests in Naples Wax, LLC, d/b/a Naples Wax Centers, a Florida limited liability company, for an aggregate purchase price of $1,624, of which $1,574 was paid in cash at closing. The remaining $50 was held for six months as a holdback to cover any potential indemnification claims. $14 was paid in the quarter ended March 31, 2024. The remaining $36 was offset by operating expenses.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applies the provisions of Financial Accounting Standards Board (“FASB”) Accounting Standards Codification (“ASC”) Topic 805, Business Combinations (“ASC 805”) in the accounting for acquisitions of businesses. ASC 805 requires the Company to use the acquisition method of accounting by recognizing the identifiable tangible and intangible assets acquired and liabilities assumed, and any non-controlling interest in the acquired business, measured at their acquisition date fair values. Goodwill as of the acquisition date is measured as the excess of consideration transferred over the aforementioned amounts.</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While the company uses its best estimates and assumptions to accurately apply preliminary values to assets acquired and liabilities assumed at the acquisition date, these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 As of June 30, 2024, no impairment of the Company’s goodwill was required. The purchase accounting for the acquisition remains incomplete as management continues to gather and evaluate information about circumstances that existed as of the acquisition date. Upon the conclusion of the measurement period or final determination of the values of the assets acquired or liabilities assumed, whichever comes first, any subsequent adjustments are recorded in the condensed consolidated statements of operations.</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Accounting for business combinations requires management to make estimates and assumptions, especially at the acquisition date, including estimates for intangible assets. Although the Company believes the assumptions and estimates that have been made are reasonable and appropriate, they are based in part on historical experience and information obtained from the acquired companies and are inherently uncertain. Estimates in valuing certain of the intangible assets the Company has acquired include future expected cash flows, and discount rates.</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income tax purposes, this acquisition of 100% of the units is treated as an asset acquisition. As a result of the acquisition of Naples Wax, the company generated tax deductible goodwill of $1,371.</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leases spa and clinic locations at various domestic and international airports. Additionally, the Company leases its corporate office in New York City and other off airport locations in various US cities. Certain leases entered into by the Company are accounted for in accordance with ASC 842. The Company determines if an arrangement is a lease at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inception and if it qualifies under ASC 842. The Company’s lease arrangements generally contain fixed payments throughout the term of the lease and most also contain a variable component to determine the lease obligation where a certain percentage of sales is used to calculate the lease payments. The Company enters into leases that expire, are amended and extended, or are extended on a month-to-month basis. Leases are not included in the calculation of the total lease liability and the right of use asset when they are month-to-month.</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All qualifying leases held by the Company are classified as operating leases. Operating lease assets represent the Company’s right to use an underlying asset for the lease term and lease liabilities represent its obligation to make lease payments arising from the lease. Operating lease assets and liabilities are recognized at commencement date based on the present value of lease payments over the lease term. The Company records its operating lease assets and liabilities based on required guaranteed payments under each lease agreement. The Company uses its incremental borrowing rate, which approximates the rate at which the Company can borrow funds on a secured basis, using the information available at commencement date of the lease in determining the present value of guaranteed lease payments. The interest rate implicit in the lease is generally not determinable in transactions where a company is the lessee.</w:t>
      </w:r>
    </w:p>
    <w:p>
      <w:pPr>
        <w:spacing w:after="0" w:line="19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reviews all of its existing lease agreements to determine whether there were any modifications to lease agreements and to assess if any agreements should be accounted for pursuant to the guidance in ASC 842.</w:t>
      </w:r>
    </w:p>
    <w:p>
      <w:pPr>
        <w:spacing w:after="0" w:line="162"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activity in the Company’s current and long-term operating lease liabilities for the six months ended June 30, 2024 and 2023:</w:t>
      </w:r>
    </w:p>
    <w:p>
      <w:pPr>
        <w:spacing w:after="0" w:line="17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19685</wp:posOffset>
            </wp:positionV>
            <wp:extent cx="18605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60550" cy="8890"/>
                    </a:xfrm>
                    <a:prstGeom prst="rect">
                      <a:avLst/>
                    </a:prstGeom>
                    <a:noFill/>
                  </pic:spPr>
                </pic:pic>
              </a:graphicData>
            </a:graphic>
          </wp:anchor>
        </w:drawing>
      </w:r>
    </w:p>
    <w:p>
      <w:pPr>
        <w:spacing w:after="0" w:line="11" w:lineRule="exact"/>
        <w:rPr>
          <w:sz w:val="20"/>
          <w:szCs w:val="20"/>
          <w:color w:val="auto"/>
        </w:rPr>
      </w:pPr>
    </w:p>
    <w:p>
      <w:pPr>
        <w:ind w:left="6480"/>
        <w:spacing w:after="0"/>
        <w:tabs>
          <w:tab w:leader="none" w:pos="810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59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34"/>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600" w:type="dxa"/>
            <w:vAlign w:val="bottom"/>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(1,687)</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w:t>
            </w:r>
          </w:p>
        </w:tc>
      </w:tr>
      <w:tr>
        <w:trPr>
          <w:trHeight w:val="414"/>
        </w:trPr>
        <w:tc>
          <w:tcPr>
            <w:tcW w:w="6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9"/>
              </w:rPr>
              <w:t>As of June 30, 2024, operating leases contain the following future minimum commitments: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45"/>
        </w:trPr>
        <w:tc>
          <w:tcPr>
            <w:tcW w:w="598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Calendar Years ending December 31,</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80" w:type="dxa"/>
            <w:vAlign w:val="bottom"/>
          </w:tcPr>
          <w:p>
            <w:pPr>
              <w:spacing w:after="0"/>
              <w:rPr>
                <w:sz w:val="24"/>
                <w:szCs w:val="24"/>
                <w:color w:val="auto"/>
              </w:rPr>
            </w:pPr>
          </w:p>
        </w:tc>
      </w:tr>
      <w:tr>
        <w:trPr>
          <w:trHeight w:val="209"/>
        </w:trPr>
        <w:tc>
          <w:tcPr>
            <w:tcW w:w="920" w:type="dxa"/>
            <w:vAlign w:val="bottom"/>
          </w:tcPr>
          <w:p>
            <w:pPr>
              <w:spacing w:after="0"/>
              <w:rPr>
                <w:sz w:val="18"/>
                <w:szCs w:val="18"/>
                <w:color w:val="auto"/>
              </w:rPr>
            </w:pPr>
          </w:p>
        </w:tc>
        <w:tc>
          <w:tcPr>
            <w:tcW w:w="5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2024</w:t>
            </w: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1,711</w:t>
            </w:r>
          </w:p>
        </w:tc>
        <w:tc>
          <w:tcPr>
            <w:tcW w:w="8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2,837</w:t>
            </w:r>
          </w:p>
        </w:tc>
        <w:tc>
          <w:tcPr>
            <w:tcW w:w="8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1,913</w:t>
            </w:r>
          </w:p>
        </w:tc>
        <w:tc>
          <w:tcPr>
            <w:tcW w:w="8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1,803</w:t>
            </w:r>
          </w:p>
        </w:tc>
        <w:tc>
          <w:tcPr>
            <w:tcW w:w="8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1,436</w:t>
            </w:r>
          </w:p>
        </w:tc>
        <w:tc>
          <w:tcPr>
            <w:tcW w:w="8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1,214</w:t>
            </w:r>
          </w:p>
        </w:tc>
        <w:tc>
          <w:tcPr>
            <w:tcW w:w="8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2,611</w:t>
            </w:r>
          </w:p>
        </w:tc>
        <w:tc>
          <w:tcPr>
            <w:tcW w:w="880" w:type="dxa"/>
            <w:vAlign w:val="bottom"/>
          </w:tcPr>
          <w:p>
            <w:pPr>
              <w:spacing w:after="0"/>
              <w:rPr>
                <w:sz w:val="18"/>
                <w:szCs w:val="18"/>
                <w:color w:val="auto"/>
              </w:rPr>
            </w:pPr>
          </w:p>
        </w:tc>
      </w:tr>
      <w:tr>
        <w:trPr>
          <w:trHeight w:val="210"/>
        </w:trPr>
        <w:tc>
          <w:tcPr>
            <w:tcW w:w="9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13,525</w:t>
            </w:r>
          </w:p>
        </w:tc>
        <w:tc>
          <w:tcPr>
            <w:tcW w:w="8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interest expense at incremental borrowing rate</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880" w:type="dxa"/>
            <w:vAlign w:val="bottom"/>
          </w:tcPr>
          <w:p>
            <w:pPr>
              <w:spacing w:after="0"/>
              <w:rPr>
                <w:sz w:val="18"/>
                <w:szCs w:val="18"/>
                <w:color w:val="auto"/>
              </w:rPr>
            </w:pPr>
          </w:p>
        </w:tc>
      </w:tr>
      <w:tr>
        <w:trPr>
          <w:trHeight w:val="209"/>
        </w:trPr>
        <w:tc>
          <w:tcPr>
            <w:tcW w:w="59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Net present value of lease liabilities</w:t>
            </w:r>
          </w:p>
        </w:tc>
        <w:tc>
          <w:tcPr>
            <w:tcW w:w="60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48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11,098</w:t>
            </w:r>
          </w:p>
        </w:tc>
        <w:tc>
          <w:tcPr>
            <w:tcW w:w="88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assumptions and pertinent information related to the Company’s accounting for operating leases are:</w:t>
      </w:r>
    </w:p>
    <w:p>
      <w:pPr>
        <w:spacing w:after="0" w:line="257"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5.80 years</w:t>
            </w:r>
          </w:p>
        </w:tc>
      </w:tr>
      <w:tr>
        <w:trPr>
          <w:trHeight w:val="198"/>
        </w:trPr>
        <w:tc>
          <w:tcPr>
            <w:tcW w:w="5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discount rate used to determine present value of operating</w:t>
            </w:r>
          </w:p>
        </w:tc>
        <w:tc>
          <w:tcPr>
            <w:tcW w:w="1240" w:type="dxa"/>
            <w:vAlign w:val="bottom"/>
          </w:tcPr>
          <w:p>
            <w:pPr>
              <w:spacing w:after="0"/>
              <w:rPr>
                <w:sz w:val="17"/>
                <w:szCs w:val="17"/>
                <w:color w:val="auto"/>
              </w:rPr>
            </w:pPr>
          </w:p>
        </w:tc>
      </w:t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7.21 %</w:t>
            </w: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Cash paid for minimum annual rental obligations for the three and six months ended June 30, 2024, was $319 and $769 respectively. Cash paid for minimum annual rental obligations for the three and six months ended June 30, 2023, was $598 and $1,259 respectively.</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Variable lease payments calculated monthly as a percentage of product and services revenue were $341 and $700 for the three and six months ended June 30, 2024, respectively. Variable lease payments calculated monthly as a percentage of product and services revenue were $365 and $711 for the three and six months ended June 30, 2023, respectively.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Note 10. Other Assets</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June 30, 2024 and December 31, 2023, assets consisted of the following:</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46"/>
        </w:trPr>
        <w:tc>
          <w:tcPr>
            <w:tcW w:w="6180" w:type="dxa"/>
            <w:vAlign w:val="bottom"/>
          </w:tcPr>
          <w:p>
            <w:pPr>
              <w:spacing w:after="0"/>
              <w:rPr>
                <w:sz w:val="24"/>
                <w:szCs w:val="24"/>
                <w:color w:val="auto"/>
              </w:rPr>
            </w:pPr>
          </w:p>
        </w:tc>
        <w:tc>
          <w:tcPr>
            <w:tcW w:w="2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  December 31, 2023</w:t>
            </w:r>
          </w:p>
        </w:tc>
      </w:tr>
      <w:tr>
        <w:trPr>
          <w:trHeight w:val="209"/>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investments</w:t>
            </w: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deposits</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r>
      <w:tr>
        <w:trPr>
          <w:trHeight w:val="21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1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200" w:type="dxa"/>
            <w:vAlign w:val="bottom"/>
          </w:tcPr>
          <w:p>
            <w:pPr>
              <w:spacing w:after="0"/>
              <w:rPr>
                <w:sz w:val="18"/>
                <w:szCs w:val="18"/>
                <w:color w:val="auto"/>
              </w:rPr>
            </w:pPr>
          </w:p>
        </w:tc>
        <w:tc>
          <w:tcPr>
            <w:tcW w:w="5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w:t>
            </w:r>
          </w:p>
        </w:tc>
      </w:tr>
      <w:tr>
        <w:trPr>
          <w:trHeight w:val="20"/>
        </w:trPr>
        <w:tc>
          <w:tcPr>
            <w:tcW w:w="6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Stockholders’ Equity</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2023 Reverse Stock Split</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September 28, 2023, the Company effected the “Reverse Stock Split”, whereby every twenty shares of our common stock were reduced to one share of its common stock and the price per share of its common stock was multiplied by 20. All references to shares and per share amounts, including shares of common stock underlying stock options, warrants, and applicable exercise prices, have been retroactively adjusted for all periods presented herein to give effect to the Reverse Stock Split as required in accordance with United States of America generally accepted accounting principles.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has a stock-based compensation plan available to grant stock options and RSUs to the Company’s directors, employees and consultants.</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 xml:space="preserve">In September 2020, the Board of Directors approved a new stock-based compensation plan available to grant stock options, restricted stock and Restricted Stock Units (“RSUs”) aggregating to 250,000 shares of Common Stock, to the Company’s directors, employees and consultants. Shareholder approval of the plan was subsequently obtained on October 28, 2020. On October 4, 2022, shareholders approved </w:t>
      </w:r>
      <w:r>
        <w:rPr>
          <w:rFonts w:ascii="Times New Roman" w:cs="Times New Roman" w:eastAsia="Times New Roman" w:hAnsi="Times New Roman"/>
          <w:sz w:val="18"/>
          <w:szCs w:val="18"/>
          <w:color w:val="212529"/>
        </w:rPr>
        <w:t>the amendment to the Company’s 2020 Equity Incentive Plan to increase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number of shares authorized for issuance under the Plan by 375,000 shares of Common Stock to an aggregate of 625,000 shares. </w:t>
      </w:r>
      <w:r>
        <w:rPr>
          <w:rFonts w:ascii="Times New Roman" w:cs="Times New Roman" w:eastAsia="Times New Roman" w:hAnsi="Times New Roman"/>
          <w:sz w:val="18"/>
          <w:szCs w:val="18"/>
          <w:color w:val="000000"/>
        </w:rPr>
        <w:t>Under the 2020 Equity Incentive Plan (the “2020 Plan”), a maximum of 171,874 shares of Common Stock</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remained available for issuance as of June 30, 2024.</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Company’s previous Employee, Director and Consultant Equity Incentive Plan (the “2012 Plan”) was terminated upon receipt of shareholder approval of the 2020 Plan. Awards granted under the 2012 Plan remain in effect pursuant to their terms. Generally, stock options are granted with exercise prices equal to the fair market value on the date of grant, vest in four equal quarterly installments, and expire 10 years from the date of grant. RSU’s granted generally vest over a period of one year.</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September 2020, XpresTest created a stock-based compensation plan available to grant stock options, restricted stock and RSU’s to the XpresTest’s directors, employees and consultants. Under the XpresTest 2020 Equity Incentive Plan (the “XpresTest Plan”), a maximum of 200 shares of XpresTest common stock may be awarded, which would represent 20% of the total number of shares of common stock of XpresTest as of June 30, 2024. Certain named executive officers, consultants, and directors of the Company are eligible to participate in the XpresTest Plan. The XpresTest Plan RSAs vest upon satisfaction of certain service and performance-based conditions. The fair value of the XpresTest Plan RSAs is determined based on the weighted average of (i) Fair Value of XpresTest under the Indirect Valuation Method developing assumptions for XpresSpa Net Market Cap and XpresSpa standalone Fair Value, and (ii) Direct Valuation Method developing assumptions for XpresTest Representative Forecasted Revenue for 2021 and Peer companies Revenue’s Multiples.</w:t>
      </w:r>
    </w:p>
    <w:p>
      <w:pPr>
        <w:spacing w:after="0" w:line="194"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June 30, 2024, and 2023, there was $50 and $144, respectively of unrecognized stock-based compensation related to the XpresTest Plan.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fair value of stock options is estimated as of the date of grant using the Black-Scholes-Merton (“Black-Scholes”) option-pricing model. The Company uses the simplified method to estimate the expected term of options due to insufficient history and high turnover in the past.</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following variables were used as inputs in the model:</w:t>
            </w:r>
          </w:p>
        </w:tc>
        <w:tc>
          <w:tcPr>
            <w:tcW w:w="1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30"/>
        </w:trPr>
        <w:tc>
          <w:tcPr>
            <w:tcW w:w="56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price of the Company’s Common Stock on the grant date:</w:t>
            </w:r>
          </w:p>
        </w:tc>
        <w:tc>
          <w:tcPr>
            <w:tcW w:w="1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580" w:type="dxa"/>
            <w:vAlign w:val="bottom"/>
            <w:shd w:val="clear" w:color="auto" w:fill="CCEEFF"/>
          </w:tcPr>
          <w:p>
            <w:pPr>
              <w:spacing w:after="0"/>
              <w:rPr>
                <w:sz w:val="18"/>
                <w:szCs w:val="18"/>
                <w:color w:val="auto"/>
              </w:rPr>
            </w:pPr>
          </w:p>
        </w:tc>
      </w:tr>
      <w:tr>
        <w:trPr>
          <w:trHeight w:val="21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580" w:type="dxa"/>
            <w:vAlign w:val="bottom"/>
          </w:tcPr>
          <w:p>
            <w:pPr>
              <w:spacing w:after="0"/>
              <w:rPr>
                <w:sz w:val="18"/>
                <w:szCs w:val="18"/>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121.04</w:t>
            </w:r>
          </w:p>
        </w:tc>
        <w:tc>
          <w:tcPr>
            <w:tcW w:w="5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40" w:type="dxa"/>
            <w:vAlign w:val="bottom"/>
          </w:tcPr>
          <w:p>
            <w:pPr>
              <w:spacing w:after="0"/>
              <w:rPr>
                <w:sz w:val="18"/>
                <w:szCs w:val="18"/>
                <w:color w:val="auto"/>
              </w:rPr>
            </w:pPr>
          </w:p>
        </w:tc>
        <w:tc>
          <w:tcPr>
            <w:tcW w:w="16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0 %</w:t>
            </w:r>
          </w:p>
        </w:tc>
      </w:tr>
      <w:tr>
        <w:trPr>
          <w:trHeight w:val="21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average risk-free rate:</w:t>
            </w:r>
          </w:p>
        </w:tc>
        <w:tc>
          <w:tcPr>
            <w:tcW w:w="16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5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1640" w:type="dxa"/>
            <w:vAlign w:val="bottom"/>
          </w:tcPr>
          <w:p>
            <w:pPr>
              <w:spacing w:after="0"/>
              <w:rPr>
                <w:sz w:val="20"/>
                <w:szCs w:val="20"/>
                <w:color w:val="auto"/>
              </w:rPr>
            </w:pPr>
          </w:p>
        </w:tc>
        <w:tc>
          <w:tcPr>
            <w:tcW w:w="1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6.32 years</w:t>
            </w:r>
          </w:p>
        </w:tc>
      </w:tr>
    </w:tbl>
    <w:p>
      <w:pPr>
        <w:spacing w:after="0" w:line="17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Total stock-based compensation for the three and six months ended June 30, 2024, was $304 and $586 respectively. Total stock-based compensation for the three and six months ended June 30, 2023, was $626 and $1,238, respectively.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summarize information about stock options and RSU activity for the six months ended June 30, 2024:</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160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80" w:type="dxa"/>
            <w:vAlign w:val="bottom"/>
          </w:tcPr>
          <w:p>
            <w:pPr>
              <w:spacing w:after="0"/>
              <w:rPr>
                <w:sz w:val="20"/>
                <w:szCs w:val="20"/>
                <w:color w:val="auto"/>
              </w:rPr>
            </w:pPr>
          </w:p>
        </w:tc>
        <w:tc>
          <w:tcPr>
            <w:tcW w:w="164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XpresTest RSAs</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No. of</w:t>
            </w:r>
          </w:p>
        </w:tc>
        <w:tc>
          <w:tcPr>
            <w:tcW w:w="10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 of</w:t>
            </w:r>
          </w:p>
        </w:tc>
        <w:tc>
          <w:tcPr>
            <w:tcW w:w="11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No.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0" w:type="dxa"/>
            <w:vAlign w:val="bottom"/>
          </w:tcPr>
          <w:p>
            <w:pPr>
              <w:spacing w:after="0"/>
              <w:rPr>
                <w:sz w:val="1"/>
                <w:szCs w:val="1"/>
                <w:color w:val="auto"/>
              </w:rPr>
            </w:pPr>
          </w:p>
        </w:tc>
      </w:tr>
      <w:tr>
        <w:trPr>
          <w:trHeight w:val="238"/>
        </w:trPr>
        <w:tc>
          <w:tcPr>
            <w:tcW w:w="24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RSUs</w:t>
            </w:r>
          </w:p>
        </w:tc>
        <w:tc>
          <w:tcPr>
            <w:tcW w:w="200" w:type="dxa"/>
            <w:vAlign w:val="bottom"/>
          </w:tcPr>
          <w:p>
            <w:pPr>
              <w:spacing w:after="0"/>
              <w:rPr>
                <w:sz w:val="20"/>
                <w:szCs w:val="20"/>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RSAs</w:t>
            </w:r>
          </w:p>
        </w:tc>
        <w:tc>
          <w:tcPr>
            <w:tcW w:w="180" w:type="dxa"/>
            <w:vAlign w:val="bottom"/>
          </w:tcPr>
          <w:p>
            <w:pPr>
              <w:spacing w:after="0"/>
              <w:rPr>
                <w:sz w:val="20"/>
                <w:szCs w:val="20"/>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range</w:t>
            </w:r>
          </w:p>
        </w:tc>
        <w:tc>
          <w:tcPr>
            <w:tcW w:w="0" w:type="dxa"/>
            <w:vAlign w:val="bottom"/>
          </w:tcPr>
          <w:p>
            <w:pPr>
              <w:spacing w:after="0"/>
              <w:rPr>
                <w:sz w:val="1"/>
                <w:szCs w:val="1"/>
                <w:color w:val="auto"/>
              </w:rPr>
            </w:pPr>
          </w:p>
        </w:tc>
      </w:tr>
      <w:tr>
        <w:trPr>
          <w:trHeight w:val="178"/>
        </w:trPr>
        <w:tc>
          <w:tcPr>
            <w:tcW w:w="242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Outstanding as of December</w:t>
            </w:r>
          </w:p>
        </w:tc>
        <w:tc>
          <w:tcPr>
            <w:tcW w:w="6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47,570</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341,205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4.60 - 49,200</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Exercised/Vested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1.50 - 34.40</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8.00 - 49,200</w:t>
            </w:r>
          </w:p>
        </w:tc>
        <w:tc>
          <w:tcPr>
            <w:tcW w:w="0" w:type="dxa"/>
            <w:vAlign w:val="bottom"/>
          </w:tcPr>
          <w:p>
            <w:pPr>
              <w:spacing w:after="0"/>
              <w:rPr>
                <w:sz w:val="1"/>
                <w:szCs w:val="1"/>
                <w:color w:val="auto"/>
              </w:rPr>
            </w:pPr>
          </w:p>
        </w:tc>
      </w:tr>
      <w:tr>
        <w:trPr>
          <w:trHeight w:val="178"/>
        </w:trPr>
        <w:tc>
          <w:tcPr>
            <w:tcW w:w="24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Outstanding as of</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415,388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600" w:type="dxa"/>
            <w:vAlign w:val="bottom"/>
            <w:vMerge w:val="continue"/>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660" w:type="dxa"/>
            <w:vAlign w:val="bottom"/>
            <w:gridSpan w:val="2"/>
            <w:vMerge w:val="continue"/>
          </w:tcPr>
          <w:p>
            <w:pPr>
              <w:spacing w:after="0"/>
              <w:rPr>
                <w:sz w:val="22"/>
                <w:szCs w:val="22"/>
                <w:color w:val="auto"/>
              </w:rPr>
            </w:pPr>
          </w:p>
        </w:tc>
        <w:tc>
          <w:tcPr>
            <w:tcW w:w="2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47,570</w:t>
            </w:r>
          </w:p>
        </w:tc>
        <w:tc>
          <w:tcPr>
            <w:tcW w:w="18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1.50 - 7,080</w:t>
            </w:r>
          </w:p>
        </w:tc>
        <w:tc>
          <w:tcPr>
            <w:tcW w:w="0" w:type="dxa"/>
            <w:vAlign w:val="bottom"/>
          </w:tcPr>
          <w:p>
            <w:pPr>
              <w:spacing w:after="0"/>
              <w:rPr>
                <w:sz w:val="1"/>
                <w:szCs w:val="1"/>
                <w:color w:val="auto"/>
              </w:rPr>
            </w:pPr>
          </w:p>
        </w:tc>
      </w:tr>
      <w:tr>
        <w:trPr>
          <w:trHeight w:val="151"/>
        </w:trPr>
        <w:tc>
          <w:tcPr>
            <w:tcW w:w="2420" w:type="dxa"/>
            <w:vAlign w:val="bottom"/>
            <w:tcBorders>
              <w:top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Exercisable as of</w:t>
            </w:r>
          </w:p>
        </w:tc>
        <w:tc>
          <w:tcPr>
            <w:tcW w:w="6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371,279</w:t>
            </w: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6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1.50 - 7,080</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Company’s provision for income taxes consists of federal, state, local, and foreign taxes in amounts necessary to align the Company’s year-to-date provision for income taxes with the effective tax rate that the Company expects to achieve for the full year. Each quarter, the Company updates its estimate of the annual effective tax rate and records cumulative adjustments as deemed necessary. The income tax provision for the three and six months ended June 30, 2024, reflects an estimated global annual effective tax rate of approximately 0% from continuing operations.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of June 30, 2024, deferred tax assets generated from the Company’s U.S. activities were offset by a valuation allowance because realization depends on generating future taxable income, which, in the Company’s estimation, is not more likely than not to be generated before such net operating loss carryforwards expire. Net operating loss carryforwards generated after December 31, 2017, do not expire. The Company expects its effective tax rate for its current fiscal year to be significantly lower than the statutory rate as a result of a full valuation allowance; therefore, any loss before income taxes does not generate a corresponding income tax benefit. Income tax expense/(benefit) for the three and six months ended June 30, 2024 was $0, which was attributed to state taxing jurisdictions in which a measure of income is utilized to determine a tax liability. The final annual tax rate cannot be determined until the end of the fiscal year; therefore, the actual tax rate could differ from current estimates.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Certain of the Company’s outstanding legal matters include speculative claims for substantial or indeterminate amounts of damages. The Company regularly evaluates developments in its legal matters that could affect the amount of any potential liability and adjusts as appropriate. A significant judgment is required to determine both the likelihood of there being any potential liability and the estimated amount of a loss related to the Company’s legal matters.</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outstanding legal matters and assessed the probability and likelihood of the occurrence of liability. Based on management’s estimates, the Company has recorded accruals of $940 and $449 as of June 30, 2024 and December 31, 2023, respectively, which is included in Accrued expenses and other current liabilities in the condensed consolidated balance sheets.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expenses legal fees in the period in which they are incurred.</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OTG Management PHL B v. XpresSpa Philadelphia Terminal B et al.</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May 9, 2022, a lawsuit was filed in the Philadelphia Court of Common Pleas by OTG Management at Philadelphia International Airport, claiming that XWELL improperly backed out of its sublease for space at Terminal B and now owes between $864 and $2,250 in accelerated rent for the 12-year contract. They claim that by refusing to complete the project, failing to commence and maintain operations, refusing to pay rent and improperly purporting to terminate the lease (among other acts and omissions), XWELL breached the lease. On June 20, 2024, an Order to Settle, Discontinue and End with Prejudice was filed as to all claims.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CPC Pain &amp; Wellness SPV, LLC</w:t>
      </w:r>
    </w:p>
    <w:p>
      <w:pPr>
        <w:spacing w:after="0" w:line="22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On July 19, 2024, CPC Pain &amp; Wellness SPV, LLC (“CPC”), a recently formed special purpose vehicle that announced it had acquired a 9.42% stake in XWELL in June 2024, filed suit in the Court of Chancery of the State of Delaware against the Company, Chairman Bruce T. Bernstein, and directors Michael Lebowitz, Robert Weinstein, Gaëlle Wizenberg, and Scott R. Milford (the “Action”). In the Action, CPC alleged, in pertinent part, that the Board of Directors breached their fiduciary duties and that the Company and Board of Directors engaged in an unlawful, unenforceable, and inequitable application of the Company’s Third Amended and Restated Bylaws to reject CPC’s notice of intent to propose its own slate of directors for election at the 2024 annual meeting of stockholders. On August 2, 2024, the Court set the Action for</w:t>
      </w:r>
    </w:p>
    <w:p>
      <w:pPr>
        <w:spacing w:after="0" w:line="3" w:lineRule="exact"/>
        <w:rPr>
          <w:sz w:val="20"/>
          <w:szCs w:val="20"/>
          <w:color w:val="auto"/>
        </w:rPr>
      </w:pPr>
    </w:p>
    <w:p>
      <w:pPr>
        <w:jc w:val="both"/>
        <w:ind w:left="60" w:right="79"/>
        <w:spacing w:after="0" w:line="255" w:lineRule="auto"/>
        <w:rPr>
          <w:sz w:val="20"/>
          <w:szCs w:val="20"/>
          <w:color w:val="auto"/>
        </w:rPr>
      </w:pPr>
      <w:r>
        <w:rPr>
          <w:rFonts w:ascii="Times New Roman" w:cs="Times New Roman" w:eastAsia="Times New Roman" w:hAnsi="Times New Roman"/>
          <w:sz w:val="18"/>
          <w:szCs w:val="18"/>
          <w:color w:val="auto"/>
        </w:rPr>
        <w:t>trial on September 18-19, 2024. The Company has vigorously defended these claims. As a result of the Company’s efforts, on August 9, 2024, CPC dismissed all claims in the Action, agreed to irrevocably withdraw its nominations, and agreed not assert any claims related to the 2024 annual meeting.</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Settlement Agreement</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August 5, 2024, the Company, XpresSpa Middle East B.V., and certain parties thereto (such parties, the “Settlor Parties” entered into a Settlement Agreement (the “Settlement Agreement”), pursuant to which the Company agreed to issue an aggregate of 416,000 shares of common stock (the “Settlement Shares”) which were issued on August 6, 2024,</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and have a fair market value of $2.26 per share to the Settlor Parties in consideration for their entry into the Settlement Agreement. The Settlement Shares were not registered under the Securities Act of 1933, as amended (the “Securities Act”), and were issued in reliance on one or more exemptions from registration under the Securities Act, including pursuant to Rule 903 of Regulation S under the Securities Act.</w:t>
      </w:r>
    </w:p>
    <w:p>
      <w:pPr>
        <w:spacing w:after="0" w:line="39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the event that an action is brought against the Company or one of its subsidiaries, the Company will investigate the allegation and vigorously defend itself.</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XWELL is contingently liable to a surety company under certain general indemnity agreements required by various airports relating to its lease agreements. XWELL agrees to indemnify the surety for any payments made on contracts of suretyship, guaranty, or indemnity. The Company believes that all contingent liabilities will be satisfied by its performance under the specified lease agreements.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Segment Information</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a result of the Company’s transition to a pure-play wellness services company, the Company currently has four reportable operating segments: XpresSpa, XpresTest, Naples Wax Center, and Treat. The Company analyzes the results of the Company’s business through the four reportable segments. The XpresSpa segment provides travelers premium spa services, including massage, nail and skin care, as well as spa and travel products. The XpresTest segment provided diagnostic COVID-19 tests at XpresCheck Wellness Centers in airports, to airport employees and to the traveling public but has transitioned to the CDC’s bio-surveillance program. XpresTest’s HyperPointe business provides a broad range of service and support options for its customers, including technical support services and advanced services. The Treat segment is a wellness brand that provides access to wellness services for travelers at on-site centers. The Naples Wax Center segment operates three high-performing locations with core products and service offerings from face and body waxing to a range of skincare and cosmetic products. The Treat segment is a wellness brand that provides access to wellness services for travelers at on-site centers.</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chief operating decision maker evaluates the operating results and performance of the Company’s segments through operating income. Expenses that can be specifically identified with a segment have been included as deductions in determining operating income. Any remaining expenses and other charges are included in Corporate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440" w:type="dxa"/>
            <w:vAlign w:val="bottom"/>
          </w:tcPr>
          <w:p>
            <w:pPr>
              <w:spacing w:after="0"/>
              <w:rPr>
                <w:sz w:val="17"/>
                <w:szCs w:val="17"/>
                <w:color w:val="auto"/>
              </w:rPr>
            </w:pPr>
          </w:p>
        </w:tc>
      </w:tr>
      <w:tr>
        <w:trPr>
          <w:trHeight w:val="212"/>
        </w:trPr>
        <w:tc>
          <w:tcPr>
            <w:tcW w:w="37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40" w:type="dxa"/>
            <w:vAlign w:val="bottom"/>
            <w:tcBorders>
              <w:bottom w:val="single" w:sz="8" w:color="auto"/>
            </w:tcBorders>
          </w:tcPr>
          <w:p>
            <w:pPr>
              <w:spacing w:after="0"/>
              <w:rPr>
                <w:sz w:val="18"/>
                <w:szCs w:val="18"/>
                <w:color w:val="auto"/>
              </w:rPr>
            </w:pPr>
          </w:p>
        </w:tc>
      </w:tr>
      <w:tr>
        <w:trPr>
          <w:trHeight w:val="202"/>
        </w:trPr>
        <w:tc>
          <w:tcPr>
            <w:tcW w:w="37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Pr>
          <w:p>
            <w:pPr>
              <w:spacing w:after="0"/>
              <w:rPr>
                <w:sz w:val="17"/>
                <w:szCs w:val="17"/>
                <w:color w:val="auto"/>
              </w:rPr>
            </w:pPr>
          </w:p>
        </w:tc>
      </w:tr>
      <w:tr>
        <w:trPr>
          <w:trHeight w:val="196"/>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3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r>
      <w:tr>
        <w:trPr>
          <w:trHeight w:val="203"/>
        </w:trPr>
        <w:tc>
          <w:tcPr>
            <w:tcW w:w="3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XpresSpa</w:t>
            </w:r>
          </w:p>
        </w:tc>
        <w:tc>
          <w:tcPr>
            <w:tcW w:w="3200" w:type="dxa"/>
            <w:vAlign w:val="bottom"/>
            <w:gridSpan w:val="2"/>
          </w:tcPr>
          <w:p>
            <w:pPr>
              <w:jc w:val="right"/>
              <w:ind w:right="69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4,815</w:t>
            </w:r>
          </w:p>
        </w:tc>
        <w:tc>
          <w:tcPr>
            <w:tcW w:w="1080" w:type="dxa"/>
            <w:vAlign w:val="bottom"/>
            <w:gridSpan w:val="2"/>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5,228</w:t>
            </w:r>
          </w:p>
        </w:tc>
      </w:tr>
      <w:tr>
        <w:trPr>
          <w:trHeight w:val="203"/>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XpresTest</w:t>
            </w:r>
          </w:p>
        </w:tc>
        <w:tc>
          <w:tcPr>
            <w:tcW w:w="2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3,842</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2,859</w:t>
            </w:r>
          </w:p>
        </w:tc>
      </w:tr>
      <w:tr>
        <w:trPr>
          <w:trHeight w:val="203"/>
        </w:trPr>
        <w:tc>
          <w:tcPr>
            <w:tcW w:w="3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Naples Wax</w:t>
            </w:r>
          </w:p>
        </w:tc>
        <w:tc>
          <w:tcPr>
            <w:tcW w:w="2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Treat</w:t>
            </w:r>
          </w:p>
        </w:tc>
        <w:tc>
          <w:tcPr>
            <w:tcW w:w="2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03"/>
        </w:trPr>
        <w:tc>
          <w:tcPr>
            <w:tcW w:w="37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Corporate and other</w:t>
            </w:r>
          </w:p>
        </w:tc>
        <w:tc>
          <w:tcPr>
            <w:tcW w:w="234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37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23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9,282</w:t>
            </w: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8,175</w:t>
            </w:r>
          </w:p>
        </w:tc>
      </w:tr>
      <w:tr>
        <w:trPr>
          <w:trHeight w:val="20"/>
        </w:trPr>
        <w:tc>
          <w:tcPr>
            <w:tcW w:w="3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6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XpresSpa</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(2,075)</w:t>
            </w:r>
          </w:p>
        </w:tc>
        <w:tc>
          <w:tcPr>
            <w:tcW w:w="180" w:type="dxa"/>
            <w:vAlign w:val="bottom"/>
          </w:tcPr>
          <w:p>
            <w:pPr>
              <w:spacing w:after="0"/>
              <w:rPr>
                <w:sz w:val="17"/>
                <w:szCs w:val="17"/>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(2,822)</w:t>
            </w:r>
          </w:p>
        </w:tc>
      </w:tr>
      <w:tr>
        <w:trPr>
          <w:trHeight w:val="203"/>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XpresTest</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r>
      <w:tr>
        <w:trPr>
          <w:trHeight w:val="203"/>
        </w:trPr>
        <w:tc>
          <w:tcPr>
            <w:tcW w:w="6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Naples Wax</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Treat</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r>
      <w:tr>
        <w:trPr>
          <w:trHeight w:val="203"/>
        </w:trPr>
        <w:tc>
          <w:tcPr>
            <w:tcW w:w="6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Corporate and other</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(2,061)</w:t>
            </w: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(2,025)</w:t>
            </w:r>
          </w:p>
        </w:tc>
      </w:tr>
      <w:tr>
        <w:trPr>
          <w:trHeight w:val="196"/>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operating (loss)</w:t>
            </w: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w:t>
            </w:r>
          </w:p>
        </w:tc>
        <w:tc>
          <w:tcPr>
            <w:tcW w:w="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(4,724)</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Depreciation &amp; Amortization</w:t>
            </w: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6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XpresSpa</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80" w:type="dxa"/>
            <w:vAlign w:val="bottom"/>
          </w:tcPr>
          <w:p>
            <w:pPr>
              <w:spacing w:after="0"/>
              <w:rPr>
                <w:sz w:val="17"/>
                <w:szCs w:val="17"/>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r>
      <w:tr>
        <w:trPr>
          <w:trHeight w:val="203"/>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XpresTest</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02"/>
        </w:trPr>
        <w:tc>
          <w:tcPr>
            <w:tcW w:w="6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Naples Wax</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Treat</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03"/>
        </w:trPr>
        <w:tc>
          <w:tcPr>
            <w:tcW w:w="6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Corporate and other</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196"/>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Depreciation &amp; Amortization</w:t>
            </w: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35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32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520" w:type="dxa"/>
            <w:vAlign w:val="bottom"/>
          </w:tcPr>
          <w:p>
            <w:pPr>
              <w:spacing w:after="0"/>
              <w:rPr>
                <w:sz w:val="17"/>
                <w:szCs w:val="17"/>
                <w:color w:val="auto"/>
              </w:rPr>
            </w:pPr>
          </w:p>
        </w:tc>
      </w:tr>
      <w:tr>
        <w:trPr>
          <w:trHeight w:val="212"/>
        </w:trPr>
        <w:tc>
          <w:tcPr>
            <w:tcW w:w="35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ind w:right="58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20" w:type="dxa"/>
            <w:vAlign w:val="bottom"/>
            <w:tcBorders>
              <w:bottom w:val="single" w:sz="8" w:color="auto"/>
            </w:tcBorders>
          </w:tcPr>
          <w:p>
            <w:pPr>
              <w:spacing w:after="0"/>
              <w:rPr>
                <w:sz w:val="18"/>
                <w:szCs w:val="18"/>
                <w:color w:val="auto"/>
              </w:rPr>
            </w:pPr>
          </w:p>
        </w:tc>
      </w:tr>
      <w:tr>
        <w:trPr>
          <w:trHeight w:val="202"/>
        </w:trPr>
        <w:tc>
          <w:tcPr>
            <w:tcW w:w="35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Pr>
          <w:p>
            <w:pPr>
              <w:spacing w:after="0"/>
              <w:rPr>
                <w:sz w:val="17"/>
                <w:szCs w:val="17"/>
                <w:color w:val="auto"/>
              </w:rPr>
            </w:pPr>
          </w:p>
        </w:tc>
      </w:tr>
      <w:tr>
        <w:trPr>
          <w:trHeight w:val="196"/>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5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r>
      <w:tr>
        <w:trPr>
          <w:trHeight w:val="203"/>
        </w:trPr>
        <w:tc>
          <w:tcPr>
            <w:tcW w:w="3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XpresSpa</w:t>
            </w:r>
          </w:p>
        </w:tc>
        <w:tc>
          <w:tcPr>
            <w:tcW w:w="3380" w:type="dxa"/>
            <w:vAlign w:val="bottom"/>
            <w:gridSpan w:val="2"/>
          </w:tcPr>
          <w:p>
            <w:pPr>
              <w:jc w:val="right"/>
              <w:ind w:right="65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9,160</w:t>
            </w:r>
          </w:p>
        </w:tc>
        <w:tc>
          <w:tcPr>
            <w:tcW w:w="180" w:type="dxa"/>
            <w:vAlign w:val="bottom"/>
          </w:tcPr>
          <w:p>
            <w:pPr>
              <w:spacing w:after="0"/>
              <w:rPr>
                <w:sz w:val="17"/>
                <w:szCs w:val="17"/>
                <w:color w:val="auto"/>
              </w:rPr>
            </w:pPr>
          </w:p>
        </w:tc>
        <w:tc>
          <w:tcPr>
            <w:tcW w:w="820" w:type="dxa"/>
            <w:vAlign w:val="bottom"/>
            <w:gridSpan w:val="2"/>
          </w:tcPr>
          <w:p>
            <w:pPr>
              <w:jc w:val="right"/>
              <w:ind w:right="684"/>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9,727</w:t>
            </w:r>
          </w:p>
        </w:tc>
      </w:tr>
      <w:tr>
        <w:trPr>
          <w:trHeight w:val="202"/>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XpresTest</w:t>
            </w:r>
          </w:p>
        </w:tc>
        <w:tc>
          <w:tcPr>
            <w:tcW w:w="25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5,219</w:t>
            </w:r>
          </w:p>
        </w:tc>
      </w:tr>
      <w:tr>
        <w:trPr>
          <w:trHeight w:val="203"/>
        </w:trPr>
        <w:tc>
          <w:tcPr>
            <w:tcW w:w="3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Naples Wax</w:t>
            </w:r>
          </w:p>
        </w:tc>
        <w:tc>
          <w:tcPr>
            <w:tcW w:w="2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Treat</w:t>
            </w:r>
          </w:p>
        </w:tc>
        <w:tc>
          <w:tcPr>
            <w:tcW w:w="256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r>
      <w:tr>
        <w:trPr>
          <w:trHeight w:val="196"/>
        </w:trPr>
        <w:tc>
          <w:tcPr>
            <w:tcW w:w="3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2560" w:type="dxa"/>
            <w:vAlign w:val="bottom"/>
          </w:tcPr>
          <w:p>
            <w:pPr>
              <w:spacing w:after="0"/>
              <w:rPr>
                <w:sz w:val="17"/>
                <w:szCs w:val="17"/>
                <w:color w:val="auto"/>
              </w:rPr>
            </w:pPr>
          </w:p>
        </w:tc>
        <w:tc>
          <w:tcPr>
            <w:tcW w:w="82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18,008</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8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15,238</w:t>
            </w:r>
          </w:p>
        </w:tc>
      </w:tr>
      <w:tr>
        <w:trPr>
          <w:trHeight w:val="20"/>
        </w:trPr>
        <w:tc>
          <w:tcPr>
            <w:tcW w:w="35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3720" w:type="dxa"/>
            <w:vAlign w:val="bottom"/>
          </w:tcPr>
          <w:p>
            <w:pPr>
              <w:spacing w:after="0"/>
              <w:rPr>
                <w:sz w:val="18"/>
                <w:szCs w:val="18"/>
                <w:color w:val="auto"/>
              </w:rPr>
            </w:pP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2"/>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23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03"/>
        </w:trPr>
        <w:tc>
          <w:tcPr>
            <w:tcW w:w="3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XpresSpa</w:t>
            </w:r>
          </w:p>
        </w:tc>
        <w:tc>
          <w:tcPr>
            <w:tcW w:w="3180" w:type="dxa"/>
            <w:vAlign w:val="bottom"/>
            <w:gridSpan w:val="2"/>
          </w:tcPr>
          <w:p>
            <w:pPr>
              <w:jc w:val="right"/>
              <w:ind w:right="67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(4,180)</w:t>
            </w:r>
          </w:p>
        </w:tc>
        <w:tc>
          <w:tcPr>
            <w:tcW w:w="4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(5,954)</w:t>
            </w:r>
          </w:p>
        </w:tc>
      </w:tr>
      <w:tr>
        <w:trPr>
          <w:trHeight w:val="203"/>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XpresTest</w:t>
            </w:r>
          </w:p>
        </w:tc>
        <w:tc>
          <w:tcPr>
            <w:tcW w:w="2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03"/>
        </w:trPr>
        <w:tc>
          <w:tcPr>
            <w:tcW w:w="3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Naples Wax</w:t>
            </w:r>
          </w:p>
        </w:tc>
        <w:tc>
          <w:tcPr>
            <w:tcW w:w="2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Treat</w:t>
            </w:r>
          </w:p>
        </w:tc>
        <w:tc>
          <w:tcPr>
            <w:tcW w:w="2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w:t>
            </w:r>
          </w:p>
        </w:tc>
      </w:tr>
      <w:tr>
        <w:trPr>
          <w:trHeight w:val="203"/>
        </w:trPr>
        <w:tc>
          <w:tcPr>
            <w:tcW w:w="37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Corporate and other</w:t>
            </w:r>
          </w:p>
        </w:tc>
        <w:tc>
          <w:tcPr>
            <w:tcW w:w="23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(3,250)</w:t>
            </w: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(4,456)</w:t>
            </w:r>
          </w:p>
        </w:tc>
      </w:tr>
      <w:tr>
        <w:trPr>
          <w:trHeight w:val="196"/>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operating loss</w:t>
            </w:r>
          </w:p>
        </w:tc>
        <w:tc>
          <w:tcPr>
            <w:tcW w:w="23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(4,271)</w:t>
            </w:r>
          </w:p>
        </w:tc>
        <w:tc>
          <w:tcPr>
            <w:tcW w:w="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(11,012)</w:t>
            </w:r>
          </w:p>
        </w:tc>
      </w:tr>
      <w:tr>
        <w:trPr>
          <w:trHeight w:val="20"/>
        </w:trPr>
        <w:tc>
          <w:tcPr>
            <w:tcW w:w="3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4200" w:type="dxa"/>
            <w:vAlign w:val="bottom"/>
          </w:tcPr>
          <w:p>
            <w:pPr>
              <w:spacing w:after="0"/>
              <w:rPr>
                <w:sz w:val="18"/>
                <w:szCs w:val="18"/>
                <w:color w:val="auto"/>
              </w:rPr>
            </w:pPr>
          </w:p>
        </w:tc>
        <w:tc>
          <w:tcPr>
            <w:tcW w:w="27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2"/>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Depreciation &amp; amortization</w:t>
            </w:r>
          </w:p>
        </w:tc>
        <w:tc>
          <w:tcPr>
            <w:tcW w:w="18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03"/>
        </w:trPr>
        <w:tc>
          <w:tcPr>
            <w:tcW w:w="4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XpresSpa</w:t>
            </w:r>
          </w:p>
        </w:tc>
        <w:tc>
          <w:tcPr>
            <w:tcW w:w="2780" w:type="dxa"/>
            <w:vAlign w:val="bottom"/>
            <w:gridSpan w:val="2"/>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4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w:t>
            </w:r>
          </w:p>
        </w:tc>
      </w:tr>
      <w:tr>
        <w:trPr>
          <w:trHeight w:val="203"/>
        </w:trPr>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XpresTest</w:t>
            </w:r>
          </w:p>
        </w:tc>
        <w:tc>
          <w:tcPr>
            <w:tcW w:w="18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203"/>
        </w:trPr>
        <w:tc>
          <w:tcPr>
            <w:tcW w:w="4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Naples Wax</w:t>
            </w: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Treat</w:t>
            </w:r>
          </w:p>
        </w:tc>
        <w:tc>
          <w:tcPr>
            <w:tcW w:w="18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02"/>
        </w:trPr>
        <w:tc>
          <w:tcPr>
            <w:tcW w:w="4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Corporate and other</w:t>
            </w:r>
          </w:p>
        </w:tc>
        <w:tc>
          <w:tcPr>
            <w:tcW w:w="186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196"/>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depreciation &amp; amortization</w:t>
            </w:r>
          </w:p>
        </w:tc>
        <w:tc>
          <w:tcPr>
            <w:tcW w:w="18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w:t>
            </w:r>
          </w:p>
        </w:tc>
      </w:tr>
      <w:tr>
        <w:trPr>
          <w:trHeight w:val="20"/>
        </w:trPr>
        <w:tc>
          <w:tcPr>
            <w:tcW w:w="4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3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480" w:type="dxa"/>
            <w:vAlign w:val="bottom"/>
          </w:tcPr>
          <w:p>
            <w:pPr>
              <w:spacing w:after="0"/>
              <w:rPr>
                <w:sz w:val="17"/>
                <w:szCs w:val="17"/>
                <w:color w:val="auto"/>
              </w:rPr>
            </w:pPr>
          </w:p>
        </w:tc>
      </w:tr>
      <w:tr>
        <w:trPr>
          <w:trHeight w:val="212"/>
        </w:trPr>
        <w:tc>
          <w:tcPr>
            <w:tcW w:w="3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80" w:type="dxa"/>
            <w:vAlign w:val="bottom"/>
            <w:tcBorders>
              <w:bottom w:val="single" w:sz="8" w:color="auto"/>
            </w:tcBorders>
          </w:tcPr>
          <w:p>
            <w:pPr>
              <w:spacing w:after="0"/>
              <w:rPr>
                <w:sz w:val="18"/>
                <w:szCs w:val="18"/>
                <w:color w:val="auto"/>
              </w:rPr>
            </w:pPr>
          </w:p>
        </w:tc>
      </w:tr>
      <w:tr>
        <w:trPr>
          <w:trHeight w:val="202"/>
        </w:trPr>
        <w:tc>
          <w:tcPr>
            <w:tcW w:w="39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Pr>
          <w:p>
            <w:pPr>
              <w:spacing w:after="0"/>
              <w:rPr>
                <w:sz w:val="17"/>
                <w:szCs w:val="17"/>
                <w:color w:val="auto"/>
              </w:rPr>
            </w:pPr>
          </w:p>
        </w:tc>
      </w:tr>
      <w:tr>
        <w:trPr>
          <w:trHeight w:val="196"/>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Capital expenditures</w:t>
            </w:r>
          </w:p>
        </w:tc>
        <w:tc>
          <w:tcPr>
            <w:tcW w:w="2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r>
      <w:tr>
        <w:trPr>
          <w:trHeight w:val="203"/>
        </w:trPr>
        <w:tc>
          <w:tcPr>
            <w:tcW w:w="3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XpresSpa</w:t>
            </w:r>
          </w:p>
        </w:tc>
        <w:tc>
          <w:tcPr>
            <w:tcW w:w="3060" w:type="dxa"/>
            <w:vAlign w:val="bottom"/>
            <w:gridSpan w:val="2"/>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040" w:type="dxa"/>
            <w:vAlign w:val="bottom"/>
            <w:gridSpan w:val="2"/>
          </w:tcPr>
          <w:p>
            <w:pPr>
              <w:jc w:val="right"/>
              <w:ind w:right="69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w:t>
            </w:r>
          </w:p>
        </w:tc>
      </w:tr>
      <w:tr>
        <w:trPr>
          <w:trHeight w:val="203"/>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XpresTest</w:t>
            </w:r>
          </w:p>
        </w:tc>
        <w:tc>
          <w:tcPr>
            <w:tcW w:w="2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03"/>
        </w:trPr>
        <w:tc>
          <w:tcPr>
            <w:tcW w:w="3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Naples Wax</w:t>
            </w:r>
          </w:p>
        </w:tc>
        <w:tc>
          <w:tcPr>
            <w:tcW w:w="2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Treat</w:t>
            </w:r>
          </w:p>
        </w:tc>
        <w:tc>
          <w:tcPr>
            <w:tcW w:w="2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03"/>
        </w:trPr>
        <w:tc>
          <w:tcPr>
            <w:tcW w:w="39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Corporate and other</w:t>
            </w:r>
          </w:p>
        </w:tc>
        <w:tc>
          <w:tcPr>
            <w:tcW w:w="21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196"/>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capital expenditures</w:t>
            </w:r>
          </w:p>
        </w:tc>
        <w:tc>
          <w:tcPr>
            <w:tcW w:w="2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w:t>
            </w:r>
          </w:p>
        </w:tc>
      </w:tr>
      <w:tr>
        <w:trPr>
          <w:trHeight w:val="20"/>
        </w:trPr>
        <w:tc>
          <w:tcPr>
            <w:tcW w:w="39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389"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3800" w:type="dxa"/>
            <w:vAlign w:val="bottom"/>
            <w:tcBorders>
              <w:bottom w:val="single" w:sz="8" w:color="CCEEFF"/>
            </w:tcBorders>
          </w:tcPr>
          <w:p>
            <w:pPr>
              <w:spacing w:after="0"/>
              <w:rPr>
                <w:sz w:val="18"/>
                <w:szCs w:val="18"/>
                <w:color w:val="auto"/>
              </w:rPr>
            </w:pPr>
          </w:p>
        </w:tc>
        <w:tc>
          <w:tcPr>
            <w:tcW w:w="2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2"/>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Long-lived Assets</w:t>
            </w:r>
          </w:p>
        </w:tc>
        <w:tc>
          <w:tcPr>
            <w:tcW w:w="2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3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XpresSpa</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8,530</w:t>
            </w:r>
          </w:p>
        </w:tc>
        <w:tc>
          <w:tcPr>
            <w:tcW w:w="6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8,268</w:t>
            </w:r>
          </w:p>
        </w:tc>
      </w:tr>
      <w:tr>
        <w:trPr>
          <w:trHeight w:val="203"/>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XpresTest</w:t>
            </w:r>
          </w:p>
        </w:tc>
        <w:tc>
          <w:tcPr>
            <w:tcW w:w="2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03"/>
        </w:trPr>
        <w:tc>
          <w:tcPr>
            <w:tcW w:w="3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Naples Wax</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2,871</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w:t>
            </w:r>
          </w:p>
        </w:tc>
      </w:tr>
      <w:tr>
        <w:trPr>
          <w:trHeight w:val="203"/>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Treat</w:t>
            </w:r>
          </w:p>
        </w:tc>
        <w:tc>
          <w:tcPr>
            <w:tcW w:w="2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r>
      <w:tr>
        <w:trPr>
          <w:trHeight w:val="202"/>
        </w:trPr>
        <w:tc>
          <w:tcPr>
            <w:tcW w:w="3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Corporate and other</w:t>
            </w:r>
          </w:p>
        </w:tc>
        <w:tc>
          <w:tcPr>
            <w:tcW w:w="22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w:t>
            </w:r>
          </w:p>
        </w:tc>
      </w:tr>
      <w:tr>
        <w:trPr>
          <w:trHeight w:val="196"/>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long-lived Assets</w:t>
            </w:r>
          </w:p>
        </w:tc>
        <w:tc>
          <w:tcPr>
            <w:tcW w:w="22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11,801</w:t>
            </w:r>
          </w:p>
        </w:tc>
        <w:tc>
          <w:tcPr>
            <w:tcW w:w="1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10,838</w:t>
            </w:r>
          </w:p>
        </w:tc>
      </w:tr>
      <w:tr>
        <w:trPr>
          <w:trHeight w:val="20"/>
        </w:trPr>
        <w:tc>
          <w:tcPr>
            <w:tcW w:w="38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3720" w:type="dxa"/>
            <w:vAlign w:val="bottom"/>
            <w:tcBorders>
              <w:bottom w:val="single" w:sz="8" w:color="CCEEFF"/>
            </w:tcBorders>
          </w:tcPr>
          <w:p>
            <w:pPr>
              <w:spacing w:after="0"/>
              <w:rPr>
                <w:sz w:val="18"/>
                <w:szCs w:val="18"/>
                <w:color w:val="auto"/>
              </w:rPr>
            </w:pPr>
          </w:p>
        </w:tc>
        <w:tc>
          <w:tcPr>
            <w:tcW w:w="2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2"/>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3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XpresSpa</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19,369</w:t>
            </w:r>
          </w:p>
        </w:tc>
        <w:tc>
          <w:tcPr>
            <w:tcW w:w="6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18,453</w:t>
            </w:r>
          </w:p>
        </w:tc>
      </w:tr>
      <w:tr>
        <w:trPr>
          <w:trHeight w:val="203"/>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XpresTest</w:t>
            </w:r>
          </w:p>
        </w:tc>
        <w:tc>
          <w:tcPr>
            <w:tcW w:w="2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3,976</w:t>
            </w: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2,408</w:t>
            </w:r>
          </w:p>
        </w:tc>
      </w:tr>
      <w:tr>
        <w:trPr>
          <w:trHeight w:val="203"/>
        </w:trPr>
        <w:tc>
          <w:tcPr>
            <w:tcW w:w="3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Naples Wax</w:t>
            </w:r>
          </w:p>
        </w:tc>
        <w:tc>
          <w:tcPr>
            <w:tcW w:w="2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3,847</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2,951</w:t>
            </w:r>
          </w:p>
        </w:tc>
      </w:tr>
      <w:tr>
        <w:trPr>
          <w:trHeight w:val="203"/>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Treat</w:t>
            </w:r>
          </w:p>
        </w:tc>
        <w:tc>
          <w:tcPr>
            <w:tcW w:w="2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w:t>
            </w:r>
          </w:p>
        </w:tc>
      </w:tr>
      <w:tr>
        <w:trPr>
          <w:trHeight w:val="203"/>
        </w:trPr>
        <w:tc>
          <w:tcPr>
            <w:tcW w:w="37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Corporate and other</w:t>
            </w:r>
          </w:p>
        </w:tc>
        <w:tc>
          <w:tcPr>
            <w:tcW w:w="23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8,679</w:t>
            </w:r>
          </w:p>
        </w:tc>
        <w:tc>
          <w:tcPr>
            <w:tcW w:w="1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14,333</w:t>
            </w:r>
          </w:p>
        </w:tc>
      </w:tr>
      <w:tr>
        <w:trPr>
          <w:trHeight w:val="196"/>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3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36,290</w:t>
            </w:r>
          </w:p>
        </w:tc>
        <w:tc>
          <w:tcPr>
            <w:tcW w:w="1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38,993</w:t>
            </w:r>
          </w:p>
        </w:tc>
      </w:tr>
      <w:tr>
        <w:trPr>
          <w:trHeight w:val="20"/>
        </w:trPr>
        <w:tc>
          <w:tcPr>
            <w:tcW w:w="3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August 2024 Registered Direct Offering</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August 6, 2024, the Company entered into a securities purchase agreement with certain institutional and accredited investors, pursuant to which the Company agreed to sell and issue in a registered direct offering (the “August 2024 Offering”), an aggregate of 652,705 shares (the “August 2024 Shares”) of the Company’s common stock. The gross proceeds to the Company from the August 2024 Offering, prior to deducting estimated fees and expenses, were approximately $1.4 million. The August 2024 Offering closed on August 8, 2024.</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August 2024 Shares were offered and sold by the Company pursuant to a shelf registration statement on Form S-3 (File No. 333-273726), previously filed with the SEC on August 4, 2023, and declared effective by the SEC on September 29, 2023, and the base prospectus included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(the “Exchange Act”). Forward-looking statements are often identified by the use of words such as, but not limited to, “anticipates,” “believes,” “can,” “continues,” “could,” “estimates,” “expects,” “intends,” “may,” “will be,” “plans,” “projects,” “seeks,” “should,” “targets,”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for the year ended December 31, 2023, filed with the Securities and Exchange Commission (the “SEC”) on April 16, 2024, as subsequently amended on April 17, 2024 and April 29, 2024 (the “Annual Report”) and this Quarterly Report on Form 10-Q and any future reports we file with the SEC. The forward-looking statements set forth herein speak only as of the date of this report. Except as required by law, we undertake no obligation to update any forward-looking statements to reflect events or circumstances after the date of such statements.</w:t>
      </w:r>
    </w:p>
    <w:p>
      <w:pPr>
        <w:spacing w:after="0" w:line="192"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i w:val="1"/>
          <w:iCs w:val="1"/>
          <w:color w:val="auto"/>
        </w:rPr>
        <w:t>All references in this Quarterly Report on Form 10-Q to “we,” “us” and “our” refer to XWELL, Inc., a Delaware corporation, and its consolidated subsidiaries.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XWELL is a global wellness company operating multiple brands and focused on bringing restorative, regenerative and reinvigorating products and services to travelers. XWELL currently has four reportable operating segments: XpresSpa®, XpresTest®, Naples Wax Center and Treat™.</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October 25, 2022, we changed our name to XWELL, Inc. (“XWELL” or the “Company”) from XpresSpa Group, Inc. Our common stock, par value $0.01 per share, which had previously been listed under the trading symbol “XSPA” on the Nasdaq Capital Market, now trades under the trading symbol “XWEL”. We filed an amended and restated certificate of incorporation with the Delaware Secretary of State on October 24, 2022 (the “Amended and Restated Certificate”) reflecting the name change. Rebranding to XWELL aligned our corporate strategy to build a pure-play wellness services company, in both the airport and off airport marketplaces.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Although we recognize four segments of business, we believe there is opportunity to leverage a segment of our products and services across the Company’s platform of brands. Additionally, we are expanding our retail strategy, not only adding more products for sale but aligning those products more efficiently to our service offerings. This product strategy includes, for example, adding muscle relaxation patches to a neck or back massage to continue treatment after the delivery of the service. We are also continuing to add new service offerings to our in and out of airport locations.</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also plan to build our capability for delivering health and wellness services outside of the airport. We believe operating outside of the airport complements our offering and represents the fastest way to scale the XWELL family of brands.</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will be looking to further expand internationally. With international travel returning to pre-pandemic levels, we continue to be opportunistic in our approach, by taking advantage of the current market to growth. We believe a strategy for international expansion further advances our ability to expand our other brands including bio surveillance outside of the United States.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XpresSpa</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XWELL’s subsidiary, XpresSpa Holdings, LLC (“XpresSpa”) has been a global airport retailer of spa services through our XpresSpa spa locations, offering travelers premium spa services, including massage, nail and skin care, as well as spa and travel products.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of June 30, 2024, there were 21 domestic XpresSpa locations in total, 19 Company-owned locations and two franchises. We also had 11 international locations operating as of June 30, 2024, including two XpresSpa locations in Dubai International Airport in the United Arab Emirates, one XpresSpa location in Zayad International Airport in Abu Dhabi, UAE, three XpresSpa locations in Schiphol Amsterdam Airport in the Netherlands and five XpresSpa locations in the Istanbul Airport in Turkey.</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XpresTest</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in partnership with certain COVID-19 testing partners, successfully launched its XpresCheck Wellness Centers, in June of 2020, through our XpresTest, Inc. subsidiary (“XpresTest”), which offered COVID-19 and other medical diagnostic testing services to the traveling public, as well as airline, airport and concessionaire employees, and TSA and U.S. Customs and Border Protection agents during the pandemic. During 2022 and 2023, as countries continued to relax their testing requirements resulting in rapid decline of testing volumes at the Company’s XpresCheck Wellness locations, the Company started to close XpresCheck Wellness Centers. As of December 31, 2023, we have closed all XpresCheck Wellness locations.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XpresTest began conducting bio surveillance monitoring with the Centers for Disease Control and Prevention (CDC) in collaboration with Concentric by Ginkgo BioWorks in 2021 and on January 31, 2022, we announced the extension of our initial program, bringing the total contract to $5,537. In August 2022, the program was renewed in partnership with Ginkgo BioWorks. A new two-year contract was initiated which represents approximately $7,330 in revenue (for the first year) for the XpresTest segment.</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program was further renewed in August 2023 through a new one-year contract. The revenue to XpresTest from such one-year extension totaled approximately $7,044. In March 2024, the program funding and scope were expanded, a revenue increase of $4,000, to an estimated $11,044 in revenue for XpresTest with new collection locations at U.S. international airports in Miami (MIA) and Chicago (ORD) and the roll out of multi-pathogen testing across the program.</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HyperPointe</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XWELL’s subsidiary, gcg Connect, LLC, operating as HyperPointe, provides direct to business marketing support across a number of health and health-related channels. From the creation of marketing campaigns for the pharmaceutical industry, to learning management systems to website and health related content creation, HyperPointe is a complementary service provider to our health-focused brands as well as providing the majority of services to the external community.</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reporting purposes, HyperPointe has been consolidated into the XpresTest segment.</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Treat</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Treat, which is operating through our subsidiary Treat, Inc. (“Treat”) is a wellness brand that provides access to wellness services for travelers at on-site centers (currently located in JFK International Airport). In April 2024, the decision was made to close the location in the Salt Lake City International Airport.</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Treat offers a full retail product offering and a suite of wellness and spa services. Travelers can purchase time blocks to use our wellness rooms to engage in interactive services like self-guided yoga, meditation, and low impact weight exercises or to relax and unplug from the hectic pace of the airport and renew themselves before or after their trip.</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Naples Wax Center</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September 12, 2023, we acquired our subsidiary Naples Wax, LLC d/b/a Naples Wax Centers (“Naples Wax Centers” or “Naples Wax”), a group of upscale hair removal boutiques in Florida, for a purchase price of $1,624. Aiming to provide a memorable customer experience, Naples Wax Center operates three high-performing locations with core products and service offerings from face and body waxing to a range of skincare and cosmetic products. The acquisition of Naples Wax Center is intended to enable us to move beyond our airport client base with a business that can be adapted to a larger wellness platform while also growing our retail footprint to serve our long-term financial goals.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XWELL Studios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Q4 of 2023, we began plans to open our first XWELL Studios location in Jacksonville, Florida in 2024. XWELL Studios is an out-of-airport concept providing leased space to established wellness service providers. Revenue will be derived from both lease payments received from the wellness practitioners and the sale of retail at the wellness center.</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believe that these strategic imperatives will be accomplished through development of an infrastructure specifically focused on enabling scalable and efficient growth.</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August 2024 Registered Direct Offering</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August 6, 2024, we entered into a securities purchase agreement with certain institutional and accredited investors, pursuant to which we agreed to sell and issue in a registered direct offering (the “August 2024 Offering”), an aggregate of 652,705 shares (the “August 2024 Shares”) of our common stock. The gross proceeds to us from the August 2024 Offering, prior to deducting estimated fees and expenses, were approximately $1.4 million. The August 2024 Offering closed on August 8, 2024.</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August 2024 Shares were offered and sold by us pursuant to a shelf registration statement on Form S-3 (File No. 333-273726), previously filed with the SEC on August 4, 2023, and declared effective by the SEC on September 29, 2023, and the base prospectus included therein.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2023 Reverse Stock Split</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September 28, 2023, we effected a 1-for-20 reverse stock split (the “Reverse Stock Split”), whereby every twenty shares of our common stock were reduced to one share of our common stock and the price per share of our common stock was multiplied by 20. All references to shares and per share amounts, including shares of common stock underlying stock options, warrants, and applicable exercise prices, have been retroactively adjusted for all periods presented herein to give effect to the Reverse Stock Split as required in accordance with US GAAP.</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recognize revenue from the sale of XpresSpa, Treat and Naples Wax services when they are rendered at our stores and from the sale of products at the time goods are purchased at our stores or online (usually by credit card), net of discounts and applicable sales taxes.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During the third quarter of 2022, XpresTest, in partnership with Ginkgo BioWorks in continuation of their support to the CDC’s traveler-based SARS-CoV-2 genomic surveillance program was awarded a new contract. We recognize revenue over time for both sample collection performance obligations, using the input method based on time elapsed to measure progress towards satisfying each of the performance obligations. The Company recognizes revenue ratably (straight line basis) over the term of the contract (one year).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HyperPointe provides a broad range of service and support options for our customers, including technical support services and advanced services. Technical support services represent the majority of these offerings which are distinct performance obligations that are satisfied over time with revenue recognized ratably over the contract term.</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Cost of sales for our XpresSpa, XpresTest, Naples Wax and Treat segments consist of location and segment level costs. Location and segment level costs include all costs that are directly attributable to operations, primarily payroll and related benefit costs for personnel, occupancy costs and cost of products sold.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management and administrative personnel, overhead and occupancy costs, insurance and various professional fees, as well as stock-based compensation for directors, management and administrative personnel.</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2024, compared to the three months ended June 30, 2023</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46"/>
        </w:trPr>
        <w:tc>
          <w:tcPr>
            <w:tcW w:w="55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7"/>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09"/>
        </w:trPr>
        <w:tc>
          <w:tcPr>
            <w:tcW w:w="55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4"/>
              </w:rPr>
              <w:t>Variance</w:t>
            </w:r>
          </w:p>
        </w:tc>
      </w:tr>
      <w:tr>
        <w:trPr>
          <w:trHeight w:val="210"/>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8,175</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r>
      <w:tr>
        <w:trPr>
          <w:trHeight w:val="20"/>
        </w:trPr>
        <w:tc>
          <w:tcPr>
            <w:tcW w:w="5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increase in revenue of $1,107 or 14%, was primarily due to the increase in the XpresTest CDC contract and the addition of Naples Wax.</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56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0" w:type="dxa"/>
            <w:vAlign w:val="bottom"/>
          </w:tcPr>
          <w:p>
            <w:pPr>
              <w:spacing w:after="0"/>
              <w:rPr>
                <w:sz w:val="18"/>
                <w:szCs w:val="18"/>
                <w:color w:val="auto"/>
              </w:rPr>
            </w:pPr>
          </w:p>
        </w:tc>
      </w:tr>
      <w:tr>
        <w:trPr>
          <w:trHeight w:val="209"/>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0" w:type="dxa"/>
            <w:vAlign w:val="bottom"/>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decrease in cost of sales of $782 or 11%, is a result of three XpresSpa locations closing during 2023. The largest component in the cost of sales is labor costs at the location-level. Cost of sales also includes rent and related occupancy costs, which can primarily include rent based on percentage of sales, as well as other product costs directly associated with the procurement of retail inventory, and other operating costs.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56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0" w:type="dxa"/>
            <w:vAlign w:val="bottom"/>
          </w:tcPr>
          <w:p>
            <w:pPr>
              <w:spacing w:after="0"/>
              <w:rPr>
                <w:sz w:val="18"/>
                <w:szCs w:val="18"/>
                <w:color w:val="auto"/>
              </w:rPr>
            </w:pPr>
          </w:p>
        </w:tc>
      </w:tr>
      <w:tr>
        <w:trPr>
          <w:trHeight w:val="21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0" w:type="dxa"/>
            <w:vAlign w:val="bottom"/>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decrease in depreciation and amortization of approximately 62% was primarily due to the write-off of the stores that were permanently closed in 2023. Fewer locations resulted in lower depreciation of leasehold improvements. Depreciation and amortization expense also decreased because of the impairments and disposals of fixed assets during the year ended December 31, 2023 and the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Impairment/loss on disposal of assets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45"/>
        </w:trPr>
        <w:tc>
          <w:tcPr>
            <w:tcW w:w="57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Borders>
              <w:bottom w:val="single" w:sz="8" w:color="auto"/>
            </w:tcBorders>
          </w:tcPr>
          <w:p>
            <w:pPr>
              <w:spacing w:after="0"/>
              <w:rPr>
                <w:sz w:val="24"/>
                <w:szCs w:val="24"/>
                <w:color w:val="auto"/>
              </w:rPr>
            </w:pPr>
          </w:p>
        </w:tc>
      </w:tr>
      <w:tr>
        <w:trPr>
          <w:trHeight w:val="210"/>
        </w:trPr>
        <w:tc>
          <w:tcPr>
            <w:tcW w:w="57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Variance</w:t>
            </w:r>
          </w:p>
        </w:tc>
      </w:tr>
      <w:tr>
        <w:trPr>
          <w:trHeight w:val="209"/>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increase in loss on disposal of assets of approximately 6% was due to the closing of one XpresSpa in Orlando.</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6"/>
        </w:trPr>
        <w:tc>
          <w:tcPr>
            <w:tcW w:w="5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56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0" w:type="dxa"/>
            <w:vAlign w:val="bottom"/>
          </w:tcPr>
          <w:p>
            <w:pPr>
              <w:spacing w:after="0"/>
              <w:rPr>
                <w:sz w:val="18"/>
                <w:szCs w:val="18"/>
                <w:color w:val="auto"/>
              </w:rPr>
            </w:pPr>
          </w:p>
        </w:tc>
      </w:tr>
      <w:tr>
        <w:trPr>
          <w:trHeight w:val="209"/>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decrease of approximately 3% was primarily due to rightsizing our existing business and optimizing our cost structure. We have significantly reduced operating and overhead expenses while we continue to focus on returning to overall profitability.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Salaries and benefits</w:t>
      </w: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56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0" w:type="dxa"/>
            <w:vAlign w:val="bottom"/>
          </w:tcPr>
          <w:p>
            <w:pPr>
              <w:spacing w:after="0"/>
              <w:rPr>
                <w:sz w:val="18"/>
                <w:szCs w:val="18"/>
                <w:color w:val="auto"/>
              </w:rPr>
            </w:pPr>
          </w:p>
        </w:tc>
      </w:tr>
      <w:tr>
        <w:trPr>
          <w:trHeight w:val="21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benefits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0" w:type="dxa"/>
            <w:vAlign w:val="bottom"/>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decrease of approximately 22% was primarily due to headcount reductions as we continue rightsizing our existing business.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non-operating expense, net</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7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57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Variance</w:t>
            </w:r>
          </w:p>
        </w:tc>
        <w:tc>
          <w:tcPr>
            <w:tcW w:w="20" w:type="dxa"/>
            <w:vAlign w:val="bottom"/>
          </w:tcPr>
          <w:p>
            <w:pPr>
              <w:spacing w:after="0"/>
              <w:rPr>
                <w:sz w:val="18"/>
                <w:szCs w:val="18"/>
                <w:color w:val="auto"/>
              </w:rPr>
            </w:pPr>
          </w:p>
        </w:tc>
      </w:tr>
      <w:tr>
        <w:trPr>
          <w:trHeight w:val="210"/>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summary of the transactions included in other non-operating expense, net for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30, 2024 and 2023:</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3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0" w:type="dxa"/>
            <w:vAlign w:val="bottom"/>
          </w:tcPr>
          <w:p>
            <w:pPr>
              <w:spacing w:after="0"/>
              <w:rPr>
                <w:sz w:val="1"/>
                <w:szCs w:val="1"/>
                <w:color w:val="auto"/>
              </w:rPr>
            </w:pPr>
          </w:p>
        </w:tc>
      </w:tr>
      <w:tr>
        <w:trPr>
          <w:trHeight w:val="210"/>
        </w:trPr>
        <w:tc>
          <w:tcPr>
            <w:tcW w:w="336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fees and financing charges</w:t>
            </w:r>
          </w:p>
        </w:tc>
        <w:tc>
          <w:tcPr>
            <w:tcW w:w="3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22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29</w:t>
            </w: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36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3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income, net</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45"/>
        </w:trPr>
        <w:tc>
          <w:tcPr>
            <w:tcW w:w="5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40" w:type="dxa"/>
            <w:vAlign w:val="bottom"/>
            <w:tcBorders>
              <w:bottom w:val="single" w:sz="8" w:color="auto"/>
            </w:tcBorders>
          </w:tcPr>
          <w:p>
            <w:pPr>
              <w:spacing w:after="0"/>
              <w:rPr>
                <w:sz w:val="24"/>
                <w:szCs w:val="24"/>
                <w:color w:val="auto"/>
              </w:rPr>
            </w:pPr>
          </w:p>
        </w:tc>
      </w:tr>
      <w:tr>
        <w:trPr>
          <w:trHeight w:val="210"/>
        </w:trPr>
        <w:tc>
          <w:tcPr>
            <w:tcW w:w="57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Variance</w:t>
            </w:r>
          </w:p>
        </w:tc>
      </w:tr>
      <w:tr>
        <w:trPr>
          <w:trHeight w:val="209"/>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5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decrease of $8 was primarily due to having less cash in interest bearing accounts.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compared to the six months ended June 30, 2023</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3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19685</wp:posOffset>
            </wp:positionV>
            <wp:extent cx="16802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11" w:lineRule="exact"/>
        <w:rPr>
          <w:sz w:val="20"/>
          <w:szCs w:val="20"/>
          <w:color w:val="auto"/>
        </w:rPr>
      </w:pPr>
    </w:p>
    <w:p>
      <w:pPr>
        <w:ind w:left="6480"/>
        <w:spacing w:after="0"/>
        <w:tabs>
          <w:tab w:leader="none" w:pos="7340" w:val="left"/>
          <w:tab w:leader="none" w:pos="816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7"/>
          <w:szCs w:val="17"/>
          <w:b w:val="1"/>
          <w:bCs w:val="1"/>
          <w:color w:val="auto"/>
        </w:rPr>
        <w:t>Variance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4896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3" w:lineRule="exact"/>
        <w:rPr>
          <w:sz w:val="20"/>
          <w:szCs w:val="20"/>
          <w:color w:val="auto"/>
        </w:rPr>
      </w:pPr>
    </w:p>
    <w:p>
      <w:pPr>
        <w:ind w:left="60"/>
        <w:spacing w:after="0"/>
        <w:tabs>
          <w:tab w:leader="none" w:pos="6280" w:val="left"/>
          <w:tab w:leader="none" w:pos="7180" w:val="left"/>
          <w:tab w:leader="none" w:pos="8060" w:val="left"/>
          <w:tab w:leader="none" w:pos="8460" w:val="left"/>
        </w:tabs>
        <w:rPr>
          <w:sz w:val="20"/>
          <w:szCs w:val="20"/>
          <w:color w:val="auto"/>
        </w:rPr>
      </w:pPr>
      <w:r>
        <w:rPr>
          <w:rFonts w:ascii="Times New Roman" w:cs="Times New Roman" w:eastAsia="Times New Roman" w:hAnsi="Times New Roman"/>
          <w:sz w:val="18"/>
          <w:szCs w:val="18"/>
          <w:color w:val="auto"/>
        </w:rPr>
        <w:t>Total revenue</w:t>
      </w:r>
      <w:r>
        <w:rPr>
          <w:sz w:val="20"/>
          <w:szCs w:val="20"/>
          <w:color w:val="auto"/>
        </w:rPr>
        <w:tab/>
      </w:r>
      <w:r>
        <w:rPr>
          <w:rFonts w:ascii="Times New Roman" w:cs="Times New Roman" w:eastAsia="Times New Roman" w:hAnsi="Times New Roman"/>
          <w:sz w:val="18"/>
          <w:szCs w:val="18"/>
          <w:u w:val="single" w:color="auto"/>
          <w:color w:val="auto"/>
        </w:rPr>
        <w:t>$ 18,008</w:t>
        <w:tab/>
        <w:t>$ 15,238</w:t>
        <w:tab/>
        <w:t>$</w:t>
      </w:r>
      <w:r>
        <w:rPr>
          <w:sz w:val="20"/>
          <w:szCs w:val="20"/>
          <w:color w:val="auto"/>
        </w:rPr>
        <w:tab/>
      </w:r>
      <w:r>
        <w:rPr>
          <w:rFonts w:ascii="Times New Roman" w:cs="Times New Roman" w:eastAsia="Times New Roman" w:hAnsi="Times New Roman"/>
          <w:sz w:val="17"/>
          <w:szCs w:val="17"/>
          <w:u w:val="single" w:color="auto"/>
          <w:color w:val="auto"/>
        </w:rPr>
        <w:t>2,770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31750</wp:posOffset>
            </wp:positionV>
            <wp:extent cx="16802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increase in revenue of $2,770 or 18%, was primarily due to the increase in the XpresTest CDC contract and the addition of Naples Wax.</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23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19685</wp:posOffset>
            </wp:positionV>
            <wp:extent cx="17233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23390" cy="8255"/>
                    </a:xfrm>
                    <a:prstGeom prst="rect">
                      <a:avLst/>
                    </a:prstGeom>
                    <a:noFill/>
                  </pic:spPr>
                </pic:pic>
              </a:graphicData>
            </a:graphic>
          </wp:anchor>
        </w:drawing>
      </w:r>
    </w:p>
    <w:p>
      <w:pPr>
        <w:spacing w:after="0" w:line="11" w:lineRule="exact"/>
        <w:rPr>
          <w:sz w:val="20"/>
          <w:szCs w:val="20"/>
          <w:color w:val="auto"/>
        </w:rPr>
      </w:pPr>
    </w:p>
    <w:p>
      <w:pPr>
        <w:ind w:left="6400"/>
        <w:spacing w:after="0"/>
        <w:tabs>
          <w:tab w:leader="none" w:pos="7280" w:val="left"/>
          <w:tab w:leader="none" w:pos="812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7"/>
          <w:szCs w:val="17"/>
          <w:b w:val="1"/>
          <w:bCs w:val="1"/>
          <w:color w:val="auto"/>
        </w:rPr>
        <w:t>Variance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4896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3" w:lineRule="exact"/>
        <w:rPr>
          <w:sz w:val="20"/>
          <w:szCs w:val="20"/>
          <w:color w:val="auto"/>
        </w:rPr>
      </w:pPr>
    </w:p>
    <w:p>
      <w:pPr>
        <w:ind w:left="60"/>
        <w:spacing w:after="0"/>
        <w:tabs>
          <w:tab w:leader="none" w:pos="6220" w:val="left"/>
          <w:tab w:leader="none" w:pos="7100" w:val="left"/>
          <w:tab w:leader="none" w:pos="8000" w:val="left"/>
          <w:tab w:leader="none" w:pos="8400" w:val="left"/>
        </w:tabs>
        <w:rPr>
          <w:sz w:val="20"/>
          <w:szCs w:val="20"/>
          <w:color w:val="auto"/>
        </w:rPr>
      </w:pPr>
      <w:r>
        <w:rPr>
          <w:rFonts w:ascii="Times New Roman" w:cs="Times New Roman" w:eastAsia="Times New Roman" w:hAnsi="Times New Roman"/>
          <w:sz w:val="18"/>
          <w:szCs w:val="18"/>
          <w:color w:val="auto"/>
        </w:rPr>
        <w:t>Cost of sales</w:t>
      </w:r>
      <w:r>
        <w:rPr>
          <w:sz w:val="20"/>
          <w:szCs w:val="20"/>
          <w:color w:val="auto"/>
        </w:rPr>
        <w:tab/>
      </w:r>
      <w:r>
        <w:rPr>
          <w:rFonts w:ascii="Times New Roman" w:cs="Times New Roman" w:eastAsia="Times New Roman" w:hAnsi="Times New Roman"/>
          <w:sz w:val="18"/>
          <w:szCs w:val="18"/>
          <w:u w:val="single" w:color="auto"/>
          <w:color w:val="auto"/>
        </w:rPr>
        <w:t>$ 12,264</w:t>
        <w:tab/>
        <w:t>$ 13,526</w:t>
        <w:tab/>
        <w:t>$</w:t>
      </w:r>
      <w:r>
        <w:rPr>
          <w:sz w:val="20"/>
          <w:szCs w:val="20"/>
          <w:color w:val="auto"/>
        </w:rPr>
        <w:tab/>
      </w:r>
      <w:r>
        <w:rPr>
          <w:rFonts w:ascii="Times New Roman" w:cs="Times New Roman" w:eastAsia="Times New Roman" w:hAnsi="Times New Roman"/>
          <w:sz w:val="17"/>
          <w:szCs w:val="17"/>
          <w:u w:val="single" w:color="auto"/>
          <w:color w:val="auto"/>
        </w:rPr>
        <w:t>(1,262)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31750</wp:posOffset>
            </wp:positionV>
            <wp:extent cx="17233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23390" cy="8890"/>
                    </a:xfrm>
                    <a:prstGeom prst="rect">
                      <a:avLst/>
                    </a:prstGeom>
                    <a:noFill/>
                  </pic:spPr>
                </pic:pic>
              </a:graphicData>
            </a:graphic>
          </wp:anchor>
        </w:drawing>
      </w:r>
    </w:p>
    <w:p>
      <w:pPr>
        <w:spacing w:after="0" w:line="24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decrease in cost of sales of $1,262 or 9%, is a result of three XpresSpa locations closing during 2023. The largest component in the cost of sales is labor costs at the location-level. Cost of sales also includes rent and related occupancy costs, which can primarily include rent based on percentage of sales, as well as other product costs directly associated with the procurement of retail inventory, and other operating costs.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5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0" w:type="dxa"/>
            <w:vAlign w:val="bottom"/>
          </w:tcPr>
          <w:p>
            <w:pPr>
              <w:spacing w:after="0"/>
              <w:rPr>
                <w:sz w:val="18"/>
                <w:szCs w:val="18"/>
                <w:color w:val="auto"/>
              </w:rPr>
            </w:pPr>
          </w:p>
        </w:tc>
      </w:tr>
      <w:tr>
        <w:trPr>
          <w:trHeight w:val="210"/>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0" w:type="dxa"/>
            <w:vAlign w:val="bottom"/>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decrease in depreciation and amortization of approximately 62% was primarily due to the write-off of the stores that were permanently closed in 2023. Fewer locations resulted in lower depreciation of leasehold improvements. Depreciation and amortization expense also decreased because of the impairments and disposals of fixed assets during the year ended December 31, 2023 and the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Impairment/loss on disposal of assets</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45"/>
        </w:trPr>
        <w:tc>
          <w:tcPr>
            <w:tcW w:w="5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400" w:type="dxa"/>
            <w:vAlign w:val="bottom"/>
            <w:tcBorders>
              <w:bottom w:val="single" w:sz="8" w:color="auto"/>
            </w:tcBorders>
          </w:tcPr>
          <w:p>
            <w:pPr>
              <w:spacing w:after="0"/>
              <w:rPr>
                <w:sz w:val="24"/>
                <w:szCs w:val="24"/>
                <w:color w:val="auto"/>
              </w:rPr>
            </w:pPr>
          </w:p>
        </w:tc>
      </w:tr>
      <w:tr>
        <w:trPr>
          <w:trHeight w:val="210"/>
        </w:trPr>
        <w:tc>
          <w:tcPr>
            <w:tcW w:w="5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Variance</w:t>
            </w:r>
          </w:p>
        </w:tc>
      </w:tr>
      <w:tr>
        <w:trPr>
          <w:trHeight w:val="209"/>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0"/>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increase of approximately $653 was primarily due to the write-off of the Salt Lake City International Airport Treat location that was closed as of May 1, 2024 and one XpresSpa location in Orlando that was closed as of May 31,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3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4077335</wp:posOffset>
            </wp:positionH>
            <wp:positionV relativeFrom="paragraph">
              <wp:posOffset>19685</wp:posOffset>
            </wp:positionV>
            <wp:extent cx="16033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7320" w:val="left"/>
          <w:tab w:leader="none" w:pos="812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7"/>
          <w:szCs w:val="17"/>
          <w:b w:val="1"/>
          <w:bCs w:val="1"/>
          <w:color w:val="auto"/>
        </w:rPr>
        <w:t>Variance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4896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3" w:lineRule="exact"/>
        <w:rPr>
          <w:sz w:val="20"/>
          <w:szCs w:val="20"/>
          <w:color w:val="auto"/>
        </w:rPr>
      </w:pPr>
    </w:p>
    <w:p>
      <w:pPr>
        <w:ind w:left="60"/>
        <w:spacing w:after="0"/>
        <w:tabs>
          <w:tab w:leader="none" w:pos="6400" w:val="left"/>
          <w:tab w:leader="none" w:pos="7200" w:val="left"/>
          <w:tab w:leader="none" w:pos="8000" w:val="left"/>
          <w:tab w:leader="none" w:pos="8400" w:val="left"/>
        </w:tabs>
        <w:rPr>
          <w:sz w:val="20"/>
          <w:szCs w:val="20"/>
          <w:color w:val="auto"/>
        </w:rPr>
      </w:pPr>
      <w:r>
        <w:rPr>
          <w:rFonts w:ascii="Times New Roman" w:cs="Times New Roman" w:eastAsia="Times New Roman" w:hAnsi="Times New Roman"/>
          <w:sz w:val="18"/>
          <w:szCs w:val="18"/>
          <w:color w:val="auto"/>
        </w:rPr>
        <w:t>General and administrative</w:t>
      </w:r>
      <w:r>
        <w:rPr>
          <w:sz w:val="20"/>
          <w:szCs w:val="20"/>
          <w:color w:val="auto"/>
        </w:rPr>
        <w:tab/>
      </w:r>
      <w:r>
        <w:rPr>
          <w:rFonts w:ascii="Times New Roman" w:cs="Times New Roman" w:eastAsia="Times New Roman" w:hAnsi="Times New Roman"/>
          <w:sz w:val="18"/>
          <w:szCs w:val="18"/>
          <w:u w:val="single" w:color="auto"/>
          <w:color w:val="auto"/>
        </w:rPr>
        <w:t>$ 5,156</w:t>
        <w:tab/>
        <w:t>$ 7,281</w:t>
        <w:tab/>
        <w:t>$</w:t>
      </w:r>
      <w:r>
        <w:rPr>
          <w:sz w:val="20"/>
          <w:szCs w:val="20"/>
          <w:color w:val="auto"/>
        </w:rPr>
        <w:tab/>
      </w:r>
      <w:r>
        <w:rPr>
          <w:rFonts w:ascii="Times New Roman" w:cs="Times New Roman" w:eastAsia="Times New Roman" w:hAnsi="Times New Roman"/>
          <w:sz w:val="17"/>
          <w:szCs w:val="17"/>
          <w:u w:val="single" w:color="auto"/>
          <w:color w:val="auto"/>
        </w:rPr>
        <w:t>(2,125)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4077335</wp:posOffset>
            </wp:positionH>
            <wp:positionV relativeFrom="paragraph">
              <wp:posOffset>31750</wp:posOffset>
            </wp:positionV>
            <wp:extent cx="16033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decrease of approximately 29% was primarily due to rightsizing our existing business and optimizing our cost structure. We have significantly reduced operating and overhead expenses while we continue to focus on returning to overall profitability.</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Salaries and benefits</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5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0" w:type="dxa"/>
            <w:vAlign w:val="bottom"/>
          </w:tcPr>
          <w:p>
            <w:pPr>
              <w:spacing w:after="0"/>
              <w:rPr>
                <w:sz w:val="18"/>
                <w:szCs w:val="18"/>
                <w:color w:val="auto"/>
              </w:rPr>
            </w:pPr>
          </w:p>
        </w:tc>
      </w:tr>
      <w:tr>
        <w:trPr>
          <w:trHeight w:val="210"/>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benefits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3,735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0" w:type="dxa"/>
            <w:vAlign w:val="bottom"/>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decrease of approximately 12% was primarily due to headcount reductions as we continue rightsizing our existing business.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non-operating expense, net</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3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59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Variance</w:t>
            </w:r>
          </w:p>
        </w:tc>
        <w:tc>
          <w:tcPr>
            <w:tcW w:w="20" w:type="dxa"/>
            <w:vAlign w:val="bottom"/>
          </w:tcPr>
          <w:p>
            <w:pPr>
              <w:spacing w:after="0"/>
              <w:rPr>
                <w:sz w:val="18"/>
                <w:szCs w:val="18"/>
                <w:color w:val="auto"/>
              </w:rPr>
            </w:pPr>
          </w:p>
        </w:tc>
      </w:tr>
      <w:tr>
        <w:trPr>
          <w:trHeight w:val="210"/>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transactions included in other non-operating expense, net for the six months ended June 30, 2024 and 2023:</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21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67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fees and financing charges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 net</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3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59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Variance</w:t>
            </w:r>
          </w:p>
        </w:tc>
        <w:tc>
          <w:tcPr>
            <w:tcW w:w="20" w:type="dxa"/>
            <w:vAlign w:val="bottom"/>
          </w:tcPr>
          <w:p>
            <w:pPr>
              <w:spacing w:after="0"/>
              <w:rPr>
                <w:sz w:val="18"/>
                <w:szCs w:val="18"/>
                <w:color w:val="auto"/>
              </w:rPr>
            </w:pPr>
          </w:p>
        </w:tc>
      </w:tr>
      <w:tr>
        <w:trPr>
          <w:trHeight w:val="209"/>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decrease of $22 was primarily due to having less cash in interest bearing accounts.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of June 30, 2024, we had cash and cash equivalents of $5,418 (excluding restricted cash), $12,965 in marketable securities, and total current assets of $23,135. Our total current liabilities balance, which includes accounts payable, deferred revenue, accrued expenses, and operating lease liabilities was $10,440 as of June 30, 2024, and $9,330 as of December 31, 2023. The working capital surplus was $12,695 as of June 30, 2024, compared to a working capital surplus of $17,236 as of December 31, 2023.</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have carried out an assessment of our ability to continue as a going concern. As of the date of this Quarterly Report on Form 10Q, we believe that we have sufficient liquidity to fund operations for the next twelve months. Our primary liquidity and capital requirements are for the maintenance of our current XpresSpa and Treat locations and brand, as well as the expansion of Naples Wax and our off-airport strategy. During the six months ended June 30, 2024 and 2023, we used $4,125 and $8,618 in operations, respectively.</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August 31, 2021, our board of directors initially authorized a stock repurchase program that permitted the purchase and repurchase of up to 750,000 shares of our common stock through September 15, 2022. In May 2022, the Board increased the share repurchase program by an additional 500,000 shares and extended its effectiveness through September 15, 2023. Under this stock repurchase program, management has discretion in determining the conditions under which shares may be purchased from time to time. The program does not require us to repurchase any specific number of shares, and may be modified, suspended or terminated at any time without prior notice.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included with this Quarterly Report on Form 10Q should be read in conjunction with the audited consolidated financial statements included in our Annual Report on Form 10-K for the year ended December 31, 2023, as amended, filed with the SEC which includes a description of our critical accounting estimates that involve subjective and complex judgments that could potentially affect reported results. There have been no material changes to our critical accounting estimates as to the methodologies or assumptions we apply under them. We continue to monitor such methodologies and assumptions.</w:t>
      </w:r>
    </w:p>
    <w:p>
      <w:pPr>
        <w:spacing w:after="0" w:line="183"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or Rule 15d-15(e) promulgated under the Exchange Act) that are designed to ensure that information required to be disclosed in Exchange Act reports is recorded, processed, summarized and reported within the time periods specified in the SEC’s rules and forms, and that such information is accumulated and communicated to our management, including our Chief Executive Officer and Chief</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Financial Officer (Principal Financial and Accounting Officer), as appropriate, to allow timely decisions regarding required disclosure.</w:t>
      </w:r>
    </w:p>
    <w:p>
      <w:pPr>
        <w:spacing w:after="0" w:line="13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June 30, 2024, we carried out an evaluation, under the supervision and with the participation of our management, including our Chief Executive Officer and Chief Financial Officer, of the effectiveness of the design and operation of our disclosure controls and procedures.</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This type of evaluation is performed on a quarterly basis so that conclusions of management, including our Chief Executive Officer and the Chief Financial Officer, concerning the effectiveness of the disclosure controls can be reported in our periodic reports on Form 10-Q and Form 10-K. The overall goals of these evaluation activities are to monitor our disclosure controls and to modify them as necessary. We intend to maintain the disclosure controls as dynamic systems that we adjust as circumstances merit. Based on the foregoing, our Chief Executive Officer and the Chief Financial Officer concluded that our disclosure controls and procedures were not effective as of June 30, 2024.</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Remediation Plan for Material Weakness in Internal Control over Financial Reporting</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Management is committed to the remediation of the Company’s material weaknesses, as well as the continued improvement of the Company’s internal control over financial reporting. Management has implemented, and continues to implement, the actions described below to remediate the underlying causes of the control deficiencies that gave rise to the material weaknesses. Until the remediation efforts described below, including any additional measures management identifies as necessary, are completed, the material weaknesses described above will continue to exist. We cannot provide any assurance that the below remediation efforts will be successful or that our internal control over financial reporting will be effective as a result of these efforts. Management has commenced the following actions and will continue to assess additional opportunities for remediation on an ongoing basis:</w:t>
      </w:r>
    </w:p>
    <w:p>
      <w:pPr>
        <w:spacing w:after="0" w:line="192" w:lineRule="exact"/>
        <w:rPr>
          <w:sz w:val="20"/>
          <w:szCs w:val="20"/>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turned on the multi-currency features related to its cloud-based accounting systems.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engaged outside service providers to assist with the valuation, accounting, and recording of key reporting areas such as leases, revenue recognition and stock compensation expense.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contracted an independent consulting firm to assist with the preparation of the Financial Statements and U.S. GAAP accounting research.</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engaged outside service providers to review the applicable complementary user entity controls described in the service organizations’ reports for their potential impact on the Company’s financial reporting.</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Other than as set forth in the foregoing paragraph, there have been no changes in our internal control over financial reporting identified in connection with the evaluation required by Rule 13a-15(d) and 15d-15(d) of the Exchange Act that occurred during the six months ended June 30, 2024 that has materially affected, or is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7"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color w:val="auto"/>
        </w:rPr>
        <w:t xml:space="preserve">For information regarding legal proceedings, see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 our notes to the condensed consolidated financial statements included in “Item 1.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337"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discussed in Item 1A. Risk Factors in our Annual Report on Form 10-K for the year ended December 31,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060" w:type="dxa"/>
            <w:vAlign w:val="bottom"/>
            <w:gridSpan w:val="11"/>
          </w:tcPr>
          <w:p>
            <w:pPr>
              <w:ind w:left="10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7"/>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50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Amended and Restated Bylaws of XWELL, Inc. (incorporated by reference to Exhibit 3.1 to the Company’s</w:t>
              </w:r>
            </w:hyperlink>
          </w:p>
        </w:tc>
      </w:tr>
      <w:tr>
        <w:trPr>
          <w:trHeight w:val="196"/>
        </w:trPr>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Current Report on Form 8-K filed with the SEC on May 21, 2024).</w:t>
              </w:r>
            </w:hyperlink>
          </w:p>
        </w:tc>
        <w:tc>
          <w:tcPr>
            <w:tcW w:w="3020" w:type="dxa"/>
            <w:vAlign w:val="bottom"/>
            <w:gridSpan w:val="4"/>
          </w:tcPr>
          <w:p>
            <w:pPr>
              <w:spacing w:after="0"/>
              <w:rPr>
                <w:sz w:val="17"/>
                <w:szCs w:val="17"/>
                <w:color w:val="auto"/>
              </w:rPr>
            </w:pPr>
          </w:p>
        </w:tc>
      </w:tr>
      <w:tr>
        <w:trPr>
          <w:trHeight w:val="62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Form of Securities Purchase Agreement, dated as of August 6, 2024, by and among the Company and the</w:t>
              </w:r>
            </w:hyperlink>
          </w:p>
        </w:tc>
      </w:tr>
      <w:tr>
        <w:trPr>
          <w:trHeight w:val="196"/>
        </w:trPr>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purchasers signatory thereto (incorporated by reference to Exhibit 10.1 to the Company’s Current Report on</w:t>
              </w:r>
            </w:hyperlink>
          </w:p>
        </w:tc>
      </w:tr>
      <w:tr>
        <w:trPr>
          <w:trHeight w:val="196"/>
        </w:trPr>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60" w:type="dxa"/>
            <w:vAlign w:val="bottom"/>
            <w:gridSpan w:val="9"/>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Form 8-K filed with the SEC on August 7, 2024).</w:t>
              </w:r>
            </w:hyperlink>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Exchange Act, Rules 13a – 14(a) and 15d – 14(a), as</w:t>
            </w:r>
          </w:p>
        </w:tc>
      </w:tr>
      <w:tr>
        <w:trPr>
          <w:trHeight w:val="196"/>
        </w:trPr>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w:t>
            </w:r>
          </w:p>
        </w:tc>
      </w:tr>
      <w:tr>
        <w:trPr>
          <w:trHeight w:val="196"/>
        </w:trPr>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Exchange Act, Rules 13a – 14(a) and 15d – 14(a), as</w:t>
            </w:r>
          </w:p>
        </w:tc>
      </w:tr>
      <w:tr>
        <w:trPr>
          <w:trHeight w:val="196"/>
        </w:trPr>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w:t>
            </w:r>
          </w:p>
        </w:tc>
      </w:tr>
      <w:tr>
        <w:trPr>
          <w:trHeight w:val="196"/>
        </w:trPr>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Certifications  of  Principal  Executive  Officer  and</w:t>
            </w: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Principal  Financial  Officer  Pursuant  to  18  U.S.C.</w:t>
            </w: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Section 1350, as adopted pursuant to Section 906 of the</w:t>
            </w:r>
          </w:p>
        </w:tc>
      </w:tr>
      <w:tr>
        <w:trPr>
          <w:trHeight w:val="196"/>
        </w:trPr>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r>
      <w:tr>
        <w:trPr>
          <w:trHeight w:val="45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1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r>
      <w:tr>
        <w:trPr>
          <w:trHeight w:val="234"/>
        </w:trPr>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Linkbase Document</w:t>
            </w:r>
          </w:p>
        </w:tc>
      </w:tr>
      <w:tr>
        <w:trPr>
          <w:trHeight w:val="41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34"/>
        </w:trPr>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41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34"/>
        </w:trPr>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41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r>
      <w:tr>
        <w:trPr>
          <w:trHeight w:val="234"/>
        </w:trPr>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Linkbase Document</w:t>
            </w:r>
          </w:p>
        </w:tc>
      </w:tr>
      <w:tr>
        <w:trPr>
          <w:trHeight w:val="63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w:t>
            </w:r>
          </w:p>
        </w:tc>
      </w:tr>
      <w:tr>
        <w:trPr>
          <w:trHeight w:val="234"/>
        </w:trPr>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419735</wp:posOffset>
            </wp:positionV>
            <wp:extent cx="14141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100" w:hanging="1044"/>
        <w:spacing w:after="0"/>
        <w:tabs>
          <w:tab w:leader="none" w:pos="11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Filed herewith.</w:t>
      </w:r>
    </w:p>
    <w:p>
      <w:pPr>
        <w:spacing w:after="0" w:line="31" w:lineRule="exact"/>
        <w:rPr>
          <w:sz w:val="20"/>
          <w:szCs w:val="20"/>
          <w:color w:val="auto"/>
        </w:rPr>
      </w:pPr>
    </w:p>
    <w:p>
      <w:pPr>
        <w:ind w:left="1100" w:hanging="1044"/>
        <w:spacing w:after="0"/>
        <w:tabs>
          <w:tab w:leader="none" w:pos="11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Furnished herein.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XWELL, Inc.</w:t>
            </w:r>
          </w:p>
        </w:tc>
        <w:tc>
          <w:tcPr>
            <w:tcW w:w="3240" w:type="dxa"/>
            <w:vAlign w:val="bottom"/>
          </w:tcPr>
          <w:p>
            <w:pPr>
              <w:spacing w:after="0"/>
              <w:rPr>
                <w:sz w:val="20"/>
                <w:szCs w:val="20"/>
                <w:color w:val="auto"/>
              </w:rPr>
            </w:pPr>
          </w:p>
        </w:tc>
      </w:tr>
      <w:tr>
        <w:trPr>
          <w:trHeight w:val="675"/>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August 14, 2024</w:t>
            </w: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By:</w:t>
            </w:r>
          </w:p>
        </w:tc>
        <w:tc>
          <w:tcPr>
            <w:tcW w:w="32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/s/ Scott R. Milford</w:t>
            </w:r>
          </w:p>
        </w:tc>
      </w:tr>
      <w:tr>
        <w:trPr>
          <w:trHeight w:val="187"/>
        </w:trPr>
        <w:tc>
          <w:tcPr>
            <w:tcW w:w="420" w:type="dxa"/>
            <w:vAlign w:val="bottom"/>
          </w:tcPr>
          <w:p>
            <w:pPr>
              <w:spacing w:after="0"/>
              <w:rPr>
                <w:sz w:val="16"/>
                <w:szCs w:val="16"/>
                <w:color w:val="auto"/>
              </w:rPr>
            </w:pPr>
          </w:p>
        </w:tc>
        <w:tc>
          <w:tcPr>
            <w:tcW w:w="392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240" w:type="dxa"/>
            <w:vAlign w:val="bottom"/>
            <w:tcBorders>
              <w:top w:val="single" w:sz="8" w:color="auto"/>
            </w:tcBorders>
          </w:tcPr>
          <w:p>
            <w:pPr>
              <w:jc w:val="center"/>
              <w:ind w:right="770"/>
              <w:spacing w:after="0" w:line="188" w:lineRule="exact"/>
              <w:rPr>
                <w:sz w:val="20"/>
                <w:szCs w:val="20"/>
                <w:color w:val="auto"/>
              </w:rPr>
            </w:pPr>
            <w:r>
              <w:rPr>
                <w:rFonts w:ascii="Times New Roman" w:cs="Times New Roman" w:eastAsia="Times New Roman" w:hAnsi="Times New Roman"/>
                <w:sz w:val="18"/>
                <w:szCs w:val="18"/>
                <w:b w:val="1"/>
                <w:bCs w:val="1"/>
                <w:color w:val="auto"/>
              </w:rPr>
              <w:t>Scott R. Milford</w:t>
            </w:r>
          </w:p>
        </w:tc>
      </w:tr>
      <w:tr>
        <w:trPr>
          <w:trHeight w:val="216"/>
        </w:trPr>
        <w:tc>
          <w:tcPr>
            <w:tcW w:w="4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4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8"/>
        </w:trPr>
        <w:tc>
          <w:tcPr>
            <w:tcW w:w="4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4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648"/>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August 14, 2024</w:t>
            </w: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By:</w:t>
            </w:r>
          </w:p>
        </w:tc>
        <w:tc>
          <w:tcPr>
            <w:tcW w:w="32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/s/ Suzanne A. Scrabis</w:t>
            </w:r>
          </w:p>
        </w:tc>
      </w:tr>
      <w:tr>
        <w:trPr>
          <w:trHeight w:val="211"/>
        </w:trPr>
        <w:tc>
          <w:tcPr>
            <w:tcW w:w="420" w:type="dxa"/>
            <w:vAlign w:val="bottom"/>
          </w:tcPr>
          <w:p>
            <w:pPr>
              <w:spacing w:after="0"/>
              <w:rPr>
                <w:sz w:val="18"/>
                <w:szCs w:val="18"/>
                <w:color w:val="auto"/>
              </w:rPr>
            </w:pPr>
          </w:p>
        </w:tc>
        <w:tc>
          <w:tcPr>
            <w:tcW w:w="392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40" w:type="dxa"/>
            <w:vAlign w:val="bottom"/>
            <w:tcBorders>
              <w:top w:val="single" w:sz="8" w:color="auto"/>
            </w:tcBorders>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Suzanne A. Scrabis</w:t>
            </w:r>
          </w:p>
        </w:tc>
      </w:tr>
    </w:tbl>
    <w:p>
      <w:pPr>
        <w:jc w:val="center"/>
        <w:ind w:left="48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7" w:lineRule="exact"/>
        <w:rPr>
          <w:sz w:val="20"/>
          <w:szCs w:val="20"/>
          <w:color w:val="auto"/>
        </w:rPr>
      </w:pPr>
    </w:p>
    <w:p>
      <w:pPr>
        <w:jc w:val="center"/>
        <w:ind w:left="48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R. Milford, certify that:</w:t>
      </w:r>
    </w:p>
    <w:p>
      <w:pPr>
        <w:spacing w:after="0" w:line="225"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XWELL, Inc.;</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18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1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right="20" w:firstLine="8"/>
        <w:spacing w:after="0" w:line="266" w:lineRule="auto"/>
        <w:tabs>
          <w:tab w:leader="none" w:pos="21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0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8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19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20" w:firstLine="8"/>
        <w:spacing w:after="0" w:line="282" w:lineRule="auto"/>
        <w:tabs>
          <w:tab w:leader="none" w:pos="18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1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14, 2024</w:t>
      </w:r>
    </w:p>
    <w:p>
      <w:pPr>
        <w:spacing w:after="0" w:line="239" w:lineRule="exact"/>
        <w:rPr>
          <w:sz w:val="20"/>
          <w:szCs w:val="20"/>
          <w:color w:val="auto"/>
        </w:rPr>
      </w:pPr>
    </w:p>
    <w:p>
      <w:pPr>
        <w:ind w:left="3980"/>
        <w:spacing w:after="0"/>
        <w:tabs>
          <w:tab w:leader="none" w:pos="4300" w:val="left"/>
        </w:tabs>
        <w:rPr>
          <w:sz w:val="20"/>
          <w:szCs w:val="20"/>
          <w:color w:val="auto"/>
        </w:rPr>
      </w:pPr>
      <w:r>
        <w:rPr>
          <w:rFonts w:ascii="Times New Roman" w:cs="Times New Roman" w:eastAsia="Times New Roman" w:hAnsi="Times New Roman"/>
          <w:sz w:val="18"/>
          <w:szCs w:val="18"/>
          <w:color w:val="auto"/>
        </w:rPr>
        <w:t>/s/</w:t>
        <w:tab/>
        <w:t>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17145</wp:posOffset>
            </wp:positionV>
            <wp:extent cx="31457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Suzanne A. Scrabis, certify that:</w:t>
      </w:r>
    </w:p>
    <w:p>
      <w:pPr>
        <w:spacing w:after="0" w:line="225"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XWELL, Inc.;</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18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1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right="20" w:firstLine="8"/>
        <w:spacing w:after="0" w:line="266" w:lineRule="auto"/>
        <w:tabs>
          <w:tab w:leader="none" w:pos="21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0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8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19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20" w:firstLine="8"/>
        <w:spacing w:after="0" w:line="282" w:lineRule="auto"/>
        <w:tabs>
          <w:tab w:leader="none" w:pos="18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1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14, 2024</w:t>
      </w:r>
    </w:p>
    <w:p>
      <w:pPr>
        <w:spacing w:after="0" w:line="239" w:lineRule="exact"/>
        <w:rPr>
          <w:sz w:val="20"/>
          <w:szCs w:val="20"/>
          <w:color w:val="auto"/>
        </w:rPr>
      </w:pPr>
    </w:p>
    <w:p>
      <w:pPr>
        <w:ind w:left="3800"/>
        <w:spacing w:after="0"/>
        <w:tabs>
          <w:tab w:leader="none" w:pos="42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SUZANNE A. SCRABIS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17145</wp:posOffset>
            </wp:positionV>
            <wp:extent cx="31457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ind w:left="1040" w:right="82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CERTIFICATIONS OF PRINCIPAL EXECUTIVE OFFICER AND PRINCIPAL FINANCIAL OFFICER PURSUANT TO SECTION 906 OF THE SARBANES-OXLEY ACT OF 2002</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undersigned officer of XWELL, Inc., a Delaware corporation (the “Company”), does hereby certify, to such officer’s knowledge, that: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Quarterly Report for the quarter ended June 30, 2024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14, 2024</w:t>
      </w:r>
    </w:p>
    <w:p>
      <w:pPr>
        <w:spacing w:after="0" w:line="225" w:lineRule="exact"/>
        <w:rPr>
          <w:sz w:val="20"/>
          <w:szCs w:val="20"/>
          <w:color w:val="auto"/>
        </w:rPr>
      </w:pPr>
    </w:p>
    <w:p>
      <w:pPr>
        <w:ind w:left="3980"/>
        <w:spacing w:after="0"/>
        <w:tabs>
          <w:tab w:leader="none" w:pos="4300" w:val="left"/>
        </w:tabs>
        <w:rPr>
          <w:sz w:val="20"/>
          <w:szCs w:val="20"/>
          <w:color w:val="auto"/>
        </w:rPr>
      </w:pPr>
      <w:r>
        <w:rPr>
          <w:rFonts w:ascii="Times New Roman" w:cs="Times New Roman" w:eastAsia="Times New Roman" w:hAnsi="Times New Roman"/>
          <w:sz w:val="18"/>
          <w:szCs w:val="18"/>
          <w:color w:val="auto"/>
        </w:rPr>
        <w:t>/s/</w:t>
        <w:tab/>
        <w:t>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17145</wp:posOffset>
            </wp:positionV>
            <wp:extent cx="31457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Scott R. Milford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ind w:left="3860"/>
        <w:spacing w:after="0"/>
        <w:tabs>
          <w:tab w:leader="none" w:pos="4200" w:val="left"/>
        </w:tabs>
        <w:rPr>
          <w:sz w:val="20"/>
          <w:szCs w:val="20"/>
          <w:color w:val="auto"/>
        </w:rPr>
      </w:pPr>
      <w:r>
        <w:rPr>
          <w:rFonts w:ascii="Times New Roman" w:cs="Times New Roman" w:eastAsia="Times New Roman" w:hAnsi="Times New Roman"/>
          <w:sz w:val="18"/>
          <w:szCs w:val="18"/>
          <w:color w:val="auto"/>
        </w:rPr>
        <w:t>/s/</w:t>
        <w:tab/>
        <w:t>SUZANNE A. SCRABIS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17145</wp:posOffset>
            </wp:positionV>
            <wp:extent cx="31457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Suzanne A. Scrabis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decimal"/>
      <w:start w:val="5"/>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decimal"/>
      <w:start w:val="5"/>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54" Type="http://schemas.openxmlformats.org/officeDocument/2006/relationships/hyperlink" Target="https://www.sec.gov/Archives/edgar/data/1410428/000110465924063832/tm2415030d1_ex3-1.htm" TargetMode="External"/><Relationship Id="rId55" Type="http://schemas.openxmlformats.org/officeDocument/2006/relationships/hyperlink" Target="https://www.sec.gov/Archives/edgar/data/1410428/000110465924086582/tm2421027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2024-08-14T16:06:09Z</dcterms:created>
  <dcterms:modified xsi:type="dcterms:W3CDTF">2024-08-14T16:06:09Z</dcterms:modified>
</cp:coreProperties>
</file>