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1"/>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80" w:type="dxa"/>
            <w:vAlign w:val="bottom"/>
            <w:gridSpan w:val="8"/>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20" w:type="dxa"/>
            <w:vAlign w:val="bottom"/>
            <w:gridSpan w:val="4"/>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X</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5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11"/>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5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7"/>
          </w:tcPr>
          <w:p>
            <w:pPr>
              <w:ind w:left="160"/>
              <w:spacing w:after="0"/>
              <w:rPr>
                <w:sz w:val="20"/>
                <w:szCs w:val="20"/>
                <w:color w:val="auto"/>
              </w:rPr>
            </w:pPr>
            <w:r>
              <w:rPr>
                <w:rFonts w:ascii="Arial" w:cs="Arial" w:eastAsia="Arial" w:hAnsi="Arial"/>
                <w:sz w:val="18"/>
                <w:szCs w:val="18"/>
                <w:color w:val="0000FF"/>
                <w:w w:val="99"/>
              </w:rPr>
              <w:t>12/13/2011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gridSpan w:val="13"/>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80" w:type="dxa"/>
            <w:vAlign w:val="bottom"/>
            <w:gridSpan w:val="8"/>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60" w:type="dxa"/>
            <w:vAlign w:val="bottom"/>
            <w:gridSpan w:val="13"/>
            <w:vMerge w:val="continue"/>
          </w:tcPr>
          <w:p>
            <w:pPr>
              <w:spacing w:after="0"/>
              <w:rPr>
                <w:sz w:val="13"/>
                <w:szCs w:val="13"/>
                <w:color w:val="auto"/>
              </w:rPr>
            </w:pPr>
          </w:p>
        </w:tc>
        <w:tc>
          <w:tcPr>
            <w:tcW w:w="3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ind w:left="20"/>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6"/>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6"/>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3"/>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240" w:type="dxa"/>
            <w:vAlign w:val="bottom"/>
            <w:gridSpan w:val="2"/>
          </w:tcPr>
          <w:p>
            <w:pPr>
              <w:jc w:val="center"/>
              <w:ind w:left="219"/>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jc w:val="center"/>
              <w:ind w:left="179"/>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7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240" w:type="dxa"/>
            <w:vAlign w:val="bottom"/>
            <w:gridSpan w:val="2"/>
          </w:tcPr>
          <w:p>
            <w:pPr>
              <w:jc w:val="center"/>
              <w:ind w:left="259"/>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8"/>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6"/>
              </w:rPr>
              <w:t>Transaction(s)</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8"/>
                <w:szCs w:val="8"/>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7"/>
              </w:rPr>
              <w:t>(Instr. 3 and 4)</w:t>
            </w: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8"/>
                <w:szCs w:val="18"/>
                <w:color w:val="0000FF"/>
                <w:w w:val="90"/>
              </w:rPr>
              <w:t>12/13/2011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color w:val="0000FF"/>
              </w:rPr>
              <w:t>5,701</w:t>
            </w:r>
          </w:p>
        </w:tc>
        <w:tc>
          <w:tcPr>
            <w:tcW w:w="400" w:type="dxa"/>
            <w:vAlign w:val="bottom"/>
            <w:vMerge w:val="restart"/>
          </w:tcPr>
          <w:p>
            <w:pPr>
              <w:jc w:val="center"/>
              <w:ind w:left="6"/>
              <w:spacing w:after="0"/>
              <w:rPr>
                <w:sz w:val="20"/>
                <w:szCs w:val="20"/>
                <w:color w:val="auto"/>
              </w:rPr>
            </w:pPr>
            <w:r>
              <w:rPr>
                <w:rFonts w:ascii="Arial" w:cs="Arial" w:eastAsia="Arial" w:hAnsi="Arial"/>
                <w:sz w:val="18"/>
                <w:szCs w:val="18"/>
                <w:color w:val="0000FF"/>
                <w:w w:val="91"/>
              </w:rPr>
              <w:t>D</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1.0466</w:t>
            </w:r>
            <w:r>
              <w:rPr>
                <w:rFonts w:ascii="Arial" w:cs="Arial" w:eastAsia="Arial" w:hAnsi="Arial"/>
                <w:sz w:val="22"/>
                <w:szCs w:val="22"/>
                <w:color w:val="008000"/>
                <w:vertAlign w:val="superscript"/>
              </w:rPr>
              <w:t>(4)</w:t>
            </w:r>
          </w:p>
        </w:tc>
        <w:tc>
          <w:tcPr>
            <w:tcW w:w="60" w:type="dxa"/>
            <w:vAlign w:val="bottom"/>
          </w:tcPr>
          <w:p>
            <w:pPr>
              <w:spacing w:after="0"/>
              <w:rPr>
                <w:sz w:val="22"/>
                <w:szCs w:val="22"/>
                <w:color w:val="auto"/>
              </w:rPr>
            </w:pPr>
          </w:p>
        </w:tc>
        <w:tc>
          <w:tcPr>
            <w:tcW w:w="1620" w:type="dxa"/>
            <w:vAlign w:val="bottom"/>
            <w:gridSpan w:val="4"/>
            <w:vMerge w:val="restart"/>
          </w:tcPr>
          <w:p>
            <w:pPr>
              <w:ind w:left="120"/>
              <w:spacing w:after="0"/>
              <w:rPr>
                <w:sz w:val="20"/>
                <w:szCs w:val="20"/>
                <w:color w:val="auto"/>
              </w:rPr>
            </w:pPr>
            <w:r>
              <w:rPr>
                <w:rFonts w:ascii="Arial" w:cs="Arial" w:eastAsia="Arial" w:hAnsi="Arial"/>
                <w:sz w:val="35"/>
                <w:szCs w:val="35"/>
                <w:color w:val="0000FF"/>
                <w:vertAlign w:val="subscript"/>
              </w:rPr>
              <w:t>913,003</w:t>
            </w:r>
            <w:r>
              <w:rPr>
                <w:rFonts w:ascii="Arial" w:cs="Arial" w:eastAsia="Arial" w:hAnsi="Arial"/>
                <w:sz w:val="11"/>
                <w:szCs w:val="11"/>
                <w:color w:val="008000"/>
              </w:rPr>
              <w:t>(1)(2)(3)</w:t>
            </w:r>
          </w:p>
        </w:tc>
        <w:tc>
          <w:tcPr>
            <w:tcW w:w="520" w:type="dxa"/>
            <w:vAlign w:val="bottom"/>
            <w:vMerge w:val="restart"/>
          </w:tcPr>
          <w:p>
            <w:pPr>
              <w:jc w:val="center"/>
              <w:ind w:right="349"/>
              <w:spacing w:after="0"/>
              <w:rPr>
                <w:sz w:val="20"/>
                <w:szCs w:val="20"/>
                <w:color w:val="auto"/>
              </w:rPr>
            </w:pPr>
            <w:r>
              <w:rPr>
                <w:rFonts w:ascii="Arial" w:cs="Arial" w:eastAsia="Arial" w:hAnsi="Arial"/>
                <w:sz w:val="18"/>
                <w:szCs w:val="18"/>
                <w:color w:val="0000FF"/>
              </w:rPr>
              <w:t>I</w:t>
            </w:r>
          </w:p>
        </w:tc>
        <w:tc>
          <w:tcPr>
            <w:tcW w:w="480" w:type="dxa"/>
            <w:vAlign w:val="bottom"/>
          </w:tcPr>
          <w:p>
            <w:pPr>
              <w:ind w:left="60"/>
              <w:spacing w:after="0"/>
              <w:rPr>
                <w:sz w:val="20"/>
                <w:szCs w:val="20"/>
                <w:color w:val="auto"/>
              </w:rPr>
            </w:pPr>
            <w:r>
              <w:rPr>
                <w:rFonts w:ascii="Arial" w:cs="Arial" w:eastAsia="Arial" w:hAnsi="Arial"/>
                <w:sz w:val="18"/>
                <w:szCs w:val="18"/>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360"/>
              <w:spacing w:after="0"/>
              <w:rPr>
                <w:sz w:val="20"/>
                <w:szCs w:val="20"/>
                <w:color w:val="auto"/>
              </w:rPr>
            </w:pPr>
            <w:r>
              <w:rPr>
                <w:rFonts w:ascii="Arial" w:cs="Arial" w:eastAsia="Arial" w:hAnsi="Arial"/>
                <w:sz w:val="18"/>
                <w:szCs w:val="18"/>
                <w:color w:val="0000FF"/>
                <w:w w:val="90"/>
              </w:rPr>
              <w:t>12/14/2011</w:t>
            </w: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40"/>
              <w:spacing w:after="0"/>
              <w:rPr>
                <w:sz w:val="20"/>
                <w:szCs w:val="20"/>
                <w:color w:val="auto"/>
              </w:rPr>
            </w:pPr>
            <w:r>
              <w:rPr>
                <w:rFonts w:ascii="Arial" w:cs="Arial" w:eastAsia="Arial" w:hAnsi="Arial"/>
                <w:sz w:val="14"/>
                <w:szCs w:val="14"/>
                <w:color w:val="0000FF"/>
              </w:rPr>
              <w:t>S</w:t>
            </w:r>
          </w:p>
        </w:tc>
        <w:tc>
          <w:tcPr>
            <w:tcW w:w="4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right"/>
              <w:ind w:right="90"/>
              <w:spacing w:after="0"/>
              <w:rPr>
                <w:sz w:val="20"/>
                <w:szCs w:val="20"/>
                <w:color w:val="auto"/>
              </w:rPr>
            </w:pPr>
            <w:r>
              <w:rPr>
                <w:rFonts w:ascii="Arial" w:cs="Arial" w:eastAsia="Arial" w:hAnsi="Arial"/>
                <w:sz w:val="18"/>
                <w:szCs w:val="18"/>
                <w:color w:val="0000FF"/>
              </w:rPr>
              <w:t>10,000</w:t>
            </w:r>
          </w:p>
        </w:tc>
        <w:tc>
          <w:tcPr>
            <w:tcW w:w="400" w:type="dxa"/>
            <w:vAlign w:val="bottom"/>
            <w:tcBorders>
              <w:top w:val="single" w:sz="8" w:color="2C2C2C"/>
            </w:tcBorders>
            <w:vMerge w:val="restart"/>
          </w:tcPr>
          <w:p>
            <w:pPr>
              <w:jc w:val="center"/>
              <w:ind w:left="6"/>
              <w:spacing w:after="0"/>
              <w:rPr>
                <w:sz w:val="20"/>
                <w:szCs w:val="20"/>
                <w:color w:val="auto"/>
              </w:rPr>
            </w:pPr>
            <w:r>
              <w:rPr>
                <w:rFonts w:ascii="Arial" w:cs="Arial" w:eastAsia="Arial" w:hAnsi="Arial"/>
                <w:sz w:val="18"/>
                <w:szCs w:val="18"/>
                <w:color w:val="0000FF"/>
                <w:w w:val="91"/>
              </w:rPr>
              <w:t>D</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1.204</w:t>
            </w:r>
            <w:r>
              <w:rPr>
                <w:rFonts w:ascii="Arial" w:cs="Arial" w:eastAsia="Arial" w:hAnsi="Arial"/>
                <w:sz w:val="22"/>
                <w:szCs w:val="22"/>
                <w:color w:val="008000"/>
                <w:vertAlign w:val="superscript"/>
              </w:rPr>
              <w:t>(5)</w:t>
            </w:r>
          </w:p>
        </w:tc>
        <w:tc>
          <w:tcPr>
            <w:tcW w:w="60" w:type="dxa"/>
            <w:vAlign w:val="bottom"/>
            <w:tcBorders>
              <w:top w:val="single" w:sz="8" w:color="2C2C2C"/>
            </w:tcBorders>
          </w:tcPr>
          <w:p>
            <w:pPr>
              <w:spacing w:after="0"/>
              <w:rPr>
                <w:sz w:val="22"/>
                <w:szCs w:val="22"/>
                <w:color w:val="auto"/>
              </w:rPr>
            </w:pPr>
          </w:p>
        </w:tc>
        <w:tc>
          <w:tcPr>
            <w:tcW w:w="1620" w:type="dxa"/>
            <w:vAlign w:val="bottom"/>
            <w:tcBorders>
              <w:top w:val="single" w:sz="8" w:color="2C2C2C"/>
            </w:tcBorders>
            <w:gridSpan w:val="4"/>
            <w:vMerge w:val="restart"/>
          </w:tcPr>
          <w:p>
            <w:pPr>
              <w:ind w:left="120"/>
              <w:spacing w:after="0"/>
              <w:rPr>
                <w:sz w:val="20"/>
                <w:szCs w:val="20"/>
                <w:color w:val="auto"/>
              </w:rPr>
            </w:pPr>
            <w:r>
              <w:rPr>
                <w:rFonts w:ascii="Arial" w:cs="Arial" w:eastAsia="Arial" w:hAnsi="Arial"/>
                <w:sz w:val="35"/>
                <w:szCs w:val="35"/>
                <w:color w:val="0000FF"/>
                <w:vertAlign w:val="subscript"/>
              </w:rPr>
              <w:t>903,003</w:t>
            </w:r>
            <w:r>
              <w:rPr>
                <w:rFonts w:ascii="Arial" w:cs="Arial" w:eastAsia="Arial" w:hAnsi="Arial"/>
                <w:sz w:val="11"/>
                <w:szCs w:val="11"/>
                <w:color w:val="008000"/>
              </w:rPr>
              <w:t>(1)(2)(3)</w:t>
            </w:r>
          </w:p>
        </w:tc>
        <w:tc>
          <w:tcPr>
            <w:tcW w:w="520" w:type="dxa"/>
            <w:vAlign w:val="bottom"/>
            <w:tcBorders>
              <w:top w:val="single" w:sz="8" w:color="2C2C2C"/>
            </w:tcBorders>
            <w:vMerge w:val="restart"/>
          </w:tcPr>
          <w:p>
            <w:pPr>
              <w:jc w:val="center"/>
              <w:ind w:right="349"/>
              <w:spacing w:after="0"/>
              <w:rPr>
                <w:sz w:val="20"/>
                <w:szCs w:val="20"/>
                <w:color w:val="auto"/>
              </w:rPr>
            </w:pPr>
            <w:r>
              <w:rPr>
                <w:rFonts w:ascii="Arial" w:cs="Arial" w:eastAsia="Arial" w:hAnsi="Arial"/>
                <w:sz w:val="18"/>
                <w:szCs w:val="18"/>
                <w:color w:val="0000FF"/>
              </w:rPr>
              <w:t>I</w:t>
            </w:r>
          </w:p>
        </w:tc>
        <w:tc>
          <w:tcPr>
            <w:tcW w:w="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4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5"/>
                <w:vertAlign w:val="subscript"/>
              </w:rPr>
              <w:t>Footnotes</w:t>
            </w:r>
            <w:r>
              <w:rPr>
                <w:rFonts w:ascii="Arial" w:cs="Arial" w:eastAsia="Arial" w:hAnsi="Arial"/>
                <w:sz w:val="11"/>
                <w:szCs w:val="11"/>
                <w:color w:val="008000"/>
                <w:w w:val="85"/>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2"/>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19"/>
          </w:tcPr>
          <w:p>
            <w:pPr>
              <w:jc w:val="center"/>
              <w:ind w:right="2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2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4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00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2"/>
          </w:tcPr>
          <w:p>
            <w:pPr>
              <w:ind w:left="46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Expiration</w:t>
            </w:r>
          </w:p>
        </w:tc>
        <w:tc>
          <w:tcPr>
            <w:tcW w:w="92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3"/>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Abbe Richard</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200"/>
              <w:spacing w:after="0"/>
              <w:rPr>
                <w:sz w:val="20"/>
                <w:szCs w:val="20"/>
                <w:color w:val="auto"/>
              </w:rPr>
            </w:pPr>
            <w:r>
              <w:rPr>
                <w:rFonts w:ascii="Arial" w:cs="Arial" w:eastAsia="Arial" w:hAnsi="Arial"/>
                <w:sz w:val="14"/>
                <w:szCs w:val="14"/>
                <w:color w:val="auto"/>
              </w:rPr>
              <w:t>(First)</w:t>
            </w:r>
          </w:p>
        </w:tc>
        <w:tc>
          <w:tcPr>
            <w:tcW w:w="184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0000FF"/>
              </w:rPr>
              <w:t>641 LEXINGTON AVENUE</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26TH FLOOR</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240" w:type="dxa"/>
            <w:vAlign w:val="bottom"/>
          </w:tcPr>
          <w:p>
            <w:pPr>
              <w:ind w:left="200"/>
              <w:spacing w:after="0"/>
              <w:rPr>
                <w:sz w:val="20"/>
                <w:szCs w:val="20"/>
                <w:color w:val="auto"/>
              </w:rPr>
            </w:pPr>
            <w:r>
              <w:rPr>
                <w:rFonts w:ascii="Arial" w:cs="Arial" w:eastAsia="Arial" w:hAnsi="Arial"/>
                <w:sz w:val="18"/>
                <w:szCs w:val="18"/>
                <w:color w:val="0000FF"/>
              </w:rPr>
              <w:t>NY</w:t>
            </w:r>
          </w:p>
        </w:tc>
        <w:tc>
          <w:tcPr>
            <w:tcW w:w="184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200"/>
              <w:spacing w:after="0"/>
              <w:rPr>
                <w:sz w:val="20"/>
                <w:szCs w:val="20"/>
                <w:color w:val="auto"/>
              </w:rPr>
            </w:pPr>
            <w:r>
              <w:rPr>
                <w:rFonts w:ascii="Arial" w:cs="Arial" w:eastAsia="Arial" w:hAnsi="Arial"/>
                <w:sz w:val="14"/>
                <w:szCs w:val="14"/>
                <w:color w:val="auto"/>
              </w:rPr>
              <w:t>(State)</w:t>
            </w:r>
          </w:p>
        </w:tc>
        <w:tc>
          <w:tcPr>
            <w:tcW w:w="184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39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3931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652,248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1" w:lineRule="exact"/>
        <w:rPr>
          <w:rFonts w:ascii="Arial" w:cs="Arial" w:eastAsia="Arial" w:hAnsi="Arial"/>
          <w:sz w:val="14"/>
          <w:szCs w:val="14"/>
          <w:color w:val="008000"/>
        </w:rPr>
      </w:pPr>
    </w:p>
    <w:p>
      <w:pPr>
        <w:ind w:right="1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weighted average sale price of $1.0466 per share, at prices ranging from $1.02 to $1.10 per share. Upon request by the staff of the Securities and Exchange Commission, the Issuer, or a security holder of the Issuer, full information regarding the number of shares sold at each separate price will be provided.</w:t>
      </w:r>
    </w:p>
    <w:p>
      <w:pPr>
        <w:spacing w:after="0" w:line="30" w:lineRule="exact"/>
        <w:rPr>
          <w:rFonts w:ascii="Arial" w:cs="Arial" w:eastAsia="Arial" w:hAnsi="Arial"/>
          <w:sz w:val="14"/>
          <w:szCs w:val="14"/>
          <w:color w:val="008000"/>
        </w:rPr>
      </w:pPr>
    </w:p>
    <w:p>
      <w:pPr>
        <w:ind w:right="2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weighted average sale price of $1.204 per share, at prices ranging from $1.01 to $1.32 per share. Upon request by the staff of the Securities and Exchange Commission, the Issuer, or a security holder of the Issuer, full information regarding the number of shares sold at each separate price will be provided.</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12/14/2011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12/14/2011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12/14/2011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5"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2019-12-18T02:42:44Z</dcterms:created>
  <dcterms:modified xsi:type="dcterms:W3CDTF">2019-12-18T02:42:44Z</dcterms:modified>
</cp:coreProperties>
</file>